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8C3FE" w14:textId="1391EBC8" w:rsidR="00AA65F6" w:rsidRPr="00AA65F6" w:rsidRDefault="00602812" w:rsidP="00F7223A">
      <w:pPr>
        <w:jc w:val="right"/>
        <w:rPr>
          <w:i/>
        </w:rPr>
      </w:pPr>
      <w:r>
        <w:rPr>
          <w:i/>
        </w:rPr>
        <w:t>Tie</w:t>
      </w:r>
      <w:r w:rsidR="006B1028">
        <w:rPr>
          <w:i/>
        </w:rPr>
        <w:t xml:space="preserve">slietu padomes sēde </w:t>
      </w:r>
      <w:r w:rsidR="00F7223A">
        <w:rPr>
          <w:i/>
        </w:rPr>
        <w:t>22.10.2021.</w:t>
      </w:r>
    </w:p>
    <w:p w14:paraId="3353E6BA" w14:textId="77777777" w:rsidR="00AA65F6" w:rsidRDefault="00AA65F6" w:rsidP="00EB1CF6">
      <w:pPr>
        <w:jc w:val="center"/>
        <w:rPr>
          <w:b/>
          <w:bCs/>
        </w:rPr>
      </w:pPr>
      <w:r>
        <w:rPr>
          <w:b/>
        </w:rPr>
        <w:t>Darba grupa</w:t>
      </w:r>
      <w:r w:rsidRPr="00AA65F6">
        <w:rPr>
          <w:b/>
        </w:rPr>
        <w:t xml:space="preserve"> </w:t>
      </w:r>
      <w:r w:rsidRPr="00AA65F6">
        <w:rPr>
          <w:b/>
          <w:bCs/>
        </w:rPr>
        <w:t>Tiesu efektivitātes stiprināšanai</w:t>
      </w:r>
    </w:p>
    <w:p w14:paraId="742D93F4" w14:textId="77777777" w:rsidR="006736D6" w:rsidRDefault="006736D6" w:rsidP="00EB1CF6">
      <w:pPr>
        <w:jc w:val="center"/>
        <w:rPr>
          <w:b/>
        </w:rPr>
      </w:pPr>
    </w:p>
    <w:p w14:paraId="34C74649" w14:textId="77777777" w:rsidR="00EB1CF6" w:rsidRDefault="00EB1CF6" w:rsidP="00EB1CF6">
      <w:pPr>
        <w:jc w:val="center"/>
        <w:rPr>
          <w:b/>
        </w:rPr>
      </w:pPr>
      <w:r>
        <w:rPr>
          <w:b/>
        </w:rPr>
        <w:t>RĪCĪBAS PLĀNS</w:t>
      </w:r>
    </w:p>
    <w:p w14:paraId="5BE03AC1" w14:textId="7B3267C7" w:rsidR="00DC70DF" w:rsidRPr="002C1F13" w:rsidRDefault="002B401D" w:rsidP="00F20519">
      <w:pPr>
        <w:jc w:val="center"/>
        <w:rPr>
          <w:b/>
        </w:rPr>
      </w:pPr>
      <w:r w:rsidRPr="002C1F13">
        <w:rPr>
          <w:b/>
        </w:rPr>
        <w:t xml:space="preserve">Tieslietu padomes stratēģijas 2021. - 2025. gadam 3. rīcības virzienā “Efektīva un kvalitatīva tiesu </w:t>
      </w:r>
      <w:r w:rsidR="00A63D34">
        <w:rPr>
          <w:b/>
        </w:rPr>
        <w:t>vara” minēto uzdevumu īstenošanai</w:t>
      </w:r>
      <w:bookmarkStart w:id="0" w:name="_GoBack"/>
      <w:bookmarkEnd w:id="0"/>
    </w:p>
    <w:p w14:paraId="443AEEF5" w14:textId="77777777" w:rsidR="002B401D" w:rsidRPr="002C1F13" w:rsidRDefault="002B401D" w:rsidP="002C1F13">
      <w:pPr>
        <w:pStyle w:val="ListParagraph"/>
        <w:numPr>
          <w:ilvl w:val="0"/>
          <w:numId w:val="1"/>
        </w:numPr>
        <w:rPr>
          <w:b/>
        </w:rPr>
      </w:pPr>
      <w:r w:rsidRPr="002C1F13">
        <w:rPr>
          <w:b/>
        </w:rPr>
        <w:t>Ievads</w:t>
      </w:r>
    </w:p>
    <w:p w14:paraId="23EDF59D" w14:textId="77777777" w:rsidR="009578A6" w:rsidRPr="009578A6" w:rsidRDefault="00126ECE" w:rsidP="009578A6">
      <w:pPr>
        <w:jc w:val="both"/>
        <w:rPr>
          <w:bCs/>
        </w:rPr>
      </w:pPr>
      <w:r w:rsidRPr="00126ECE">
        <w:t xml:space="preserve">Ņemot vērā Tieslietu padomes lomu tiesu sistēmas efektivitātes stiprināšanā un tiesu darba organizācijas pilnveidošanā, </w:t>
      </w:r>
      <w:proofErr w:type="gramStart"/>
      <w:r w:rsidR="009578A6" w:rsidRPr="00126ECE">
        <w:t>2021</w:t>
      </w:r>
      <w:r w:rsidR="009578A6" w:rsidRPr="009578A6">
        <w:t>.gada</w:t>
      </w:r>
      <w:proofErr w:type="gramEnd"/>
      <w:r w:rsidR="009578A6" w:rsidRPr="009578A6">
        <w:t xml:space="preserve"> </w:t>
      </w:r>
      <w:r>
        <w:t>1</w:t>
      </w:r>
      <w:r w:rsidR="009578A6" w:rsidRPr="009578A6">
        <w:t xml:space="preserve">4. jūnijā Tieslietu padome izveidojusi darba grupu </w:t>
      </w:r>
      <w:r w:rsidR="009578A6" w:rsidRPr="009578A6">
        <w:rPr>
          <w:bCs/>
        </w:rPr>
        <w:t xml:space="preserve">Tiesu efektivitātes stiprināšanai </w:t>
      </w:r>
      <w:r>
        <w:rPr>
          <w:bCs/>
        </w:rPr>
        <w:t xml:space="preserve">(lēmums Nr. 55), kurai uzdots līdz 15.oktobrim informēt </w:t>
      </w:r>
      <w:r w:rsidRPr="00126ECE">
        <w:rPr>
          <w:bCs/>
        </w:rPr>
        <w:t>par rīcības plāna izstrādi Tieslietu padomes darbības stratēģijas 2021.-2025. gadam 3. rīcības virzienā “Efektīva un kvalitatīva tiesu vara” minēto uzdevumu īstenošanai, rekomendējot prioritātes.</w:t>
      </w:r>
      <w:r>
        <w:rPr>
          <w:b/>
          <w:bCs/>
        </w:rPr>
        <w:t xml:space="preserve"> </w:t>
      </w:r>
    </w:p>
    <w:p w14:paraId="7AF43BE2" w14:textId="77777777" w:rsidR="00126ECE" w:rsidRDefault="00126ECE" w:rsidP="00126ECE">
      <w:pPr>
        <w:rPr>
          <w:b/>
        </w:rPr>
      </w:pPr>
      <w:r>
        <w:rPr>
          <w:b/>
        </w:rPr>
        <w:t xml:space="preserve">Darba grupas sastāvs: </w:t>
      </w:r>
    </w:p>
    <w:p w14:paraId="06AA419E" w14:textId="77777777" w:rsidR="00126ECE" w:rsidRPr="00126ECE" w:rsidRDefault="00126ECE" w:rsidP="0022736F">
      <w:pPr>
        <w:spacing w:after="0"/>
      </w:pPr>
      <w:r w:rsidRPr="00126ECE">
        <w:t>Zigmunds Dundurs</w:t>
      </w:r>
      <w:r>
        <w:t xml:space="preserve"> (darba grupas vadītājs)</w:t>
      </w:r>
      <w:r w:rsidRPr="00126ECE">
        <w:t xml:space="preserve"> – Rīgas pilsētas Vidzemes priekšpilsētas tiesas tiesnesis;</w:t>
      </w:r>
    </w:p>
    <w:p w14:paraId="4CA40F42" w14:textId="77777777" w:rsidR="00126ECE" w:rsidRPr="00126ECE" w:rsidRDefault="00126ECE" w:rsidP="0022736F">
      <w:pPr>
        <w:spacing w:after="0"/>
      </w:pPr>
      <w:r w:rsidRPr="00126ECE">
        <w:t>Aija Āva – Kurzemes rajona tiesas priekšsēdētāja;</w:t>
      </w:r>
    </w:p>
    <w:p w14:paraId="4CEA2E0B" w14:textId="3BFFBB28" w:rsidR="00126ECE" w:rsidRPr="00126ECE" w:rsidRDefault="00126ECE" w:rsidP="0022736F">
      <w:pPr>
        <w:spacing w:after="0"/>
      </w:pPr>
      <w:r w:rsidRPr="00126ECE">
        <w:t>Jānis Bordāns – tieslietu ministrs</w:t>
      </w:r>
      <w:r w:rsidR="001959AB">
        <w:t xml:space="preserve"> (uz pilnvarojuma pamata Inita Ilgaža – Tieslietu ministrijas valsts sekretāra vietniece tiesu jautājumos)</w:t>
      </w:r>
      <w:r w:rsidRPr="00126ECE">
        <w:t>;</w:t>
      </w:r>
    </w:p>
    <w:p w14:paraId="4EF53862" w14:textId="77777777" w:rsidR="00126ECE" w:rsidRPr="00126ECE" w:rsidRDefault="00126ECE" w:rsidP="0022736F">
      <w:pPr>
        <w:spacing w:after="0"/>
      </w:pPr>
      <w:r w:rsidRPr="00126ECE">
        <w:t>Jānis Rozenbergs – Latvijas Zvērinātu advokātu padomes priekšsēdētājs;</w:t>
      </w:r>
    </w:p>
    <w:p w14:paraId="3080E005" w14:textId="77777777" w:rsidR="00126ECE" w:rsidRPr="0022736F" w:rsidRDefault="00126ECE" w:rsidP="0022736F">
      <w:pPr>
        <w:spacing w:after="0"/>
      </w:pPr>
      <w:r w:rsidRPr="00126ECE">
        <w:t>J</w:t>
      </w:r>
      <w:r>
        <w:t>uris Stukāns – ģenerālprokurors.</w:t>
      </w:r>
    </w:p>
    <w:p w14:paraId="5B1EE02E" w14:textId="77777777" w:rsidR="009578A6" w:rsidRPr="009578A6" w:rsidRDefault="009578A6" w:rsidP="009578A6">
      <w:pPr>
        <w:rPr>
          <w:b/>
        </w:rPr>
      </w:pPr>
    </w:p>
    <w:p w14:paraId="4A8B1FAC" w14:textId="77777777" w:rsidR="002B401D" w:rsidRPr="002C1F13" w:rsidRDefault="00F20519" w:rsidP="002C1F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Tieslietu padomes iesaiste</w:t>
      </w:r>
      <w:r w:rsidR="00220E00">
        <w:rPr>
          <w:b/>
        </w:rPr>
        <w:t xml:space="preserve"> </w:t>
      </w:r>
      <w:r w:rsidR="002B401D" w:rsidRPr="002C1F13">
        <w:rPr>
          <w:b/>
        </w:rPr>
        <w:t>tiesu varas efektivitātes un kvalitātes jomā</w:t>
      </w:r>
    </w:p>
    <w:p w14:paraId="564AF6F4" w14:textId="77777777" w:rsidR="00815904" w:rsidRDefault="0022736F" w:rsidP="00220E00">
      <w:pPr>
        <w:ind w:firstLine="720"/>
        <w:jc w:val="both"/>
      </w:pPr>
      <w:r w:rsidRPr="0022736F">
        <w:t xml:space="preserve">Tiesu varas efektivitātes un kvalitātes jautājumiem Tieslietu padome savas kapacitātes un pilnvaru robežās pievērsusies vairākkārt. </w:t>
      </w:r>
    </w:p>
    <w:p w14:paraId="7672AF64" w14:textId="5D3BD396" w:rsidR="00815904" w:rsidRPr="00B109D8" w:rsidRDefault="00B109D8" w:rsidP="00B109D8">
      <w:pPr>
        <w:ind w:firstLine="720"/>
        <w:jc w:val="both"/>
        <w:rPr>
          <w:b/>
        </w:rPr>
      </w:pPr>
      <w:r>
        <w:t>Pielikums: Pārskats</w:t>
      </w:r>
      <w:r w:rsidR="00F20519" w:rsidRPr="00B109D8">
        <w:t xml:space="preserve"> </w:t>
      </w:r>
      <w:r w:rsidRPr="00B109D8">
        <w:t>par Tieslietu padomes rīcību tiesu varas efektivitātes un kvalitātes jautājumos (2016 – 2021)</w:t>
      </w:r>
      <w:r>
        <w:t>.</w:t>
      </w:r>
    </w:p>
    <w:p w14:paraId="28BF9959" w14:textId="2347685F" w:rsidR="002B401D" w:rsidRPr="002C1F13" w:rsidRDefault="000119EB" w:rsidP="002C1F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Tieslietu padomes stratēģijā noteiktie r</w:t>
      </w:r>
      <w:r w:rsidR="002B401D" w:rsidRPr="002C1F13">
        <w:rPr>
          <w:b/>
        </w:rPr>
        <w:t>īcības virzieni</w:t>
      </w:r>
      <w:r w:rsidR="00D637D4">
        <w:rPr>
          <w:b/>
        </w:rPr>
        <w:t>, tostarp prioritārie</w:t>
      </w:r>
    </w:p>
    <w:p w14:paraId="596AB549" w14:textId="77777777" w:rsidR="00D637D4" w:rsidRPr="004108D9" w:rsidRDefault="004108D9" w:rsidP="004108D9">
      <w:pPr>
        <w:spacing w:after="0"/>
        <w:ind w:firstLine="720"/>
        <w:jc w:val="both"/>
      </w:pPr>
      <w:r w:rsidRPr="004108D9">
        <w:t>Tieslietu padomes</w:t>
      </w:r>
      <w:r w:rsidR="00D637D4" w:rsidRPr="004108D9">
        <w:t xml:space="preserve"> stratēģijā </w:t>
      </w:r>
      <w:r w:rsidRPr="004108D9">
        <w:t xml:space="preserve">minēti šādi virzieni: </w:t>
      </w:r>
    </w:p>
    <w:p w14:paraId="6DB99612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“3.</w:t>
      </w:r>
      <w:r w:rsidRPr="004108D9">
        <w:tab/>
        <w:t xml:space="preserve">Efektīva un kvalitatīva tiesu vara </w:t>
      </w:r>
    </w:p>
    <w:p w14:paraId="03BF279B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 xml:space="preserve">Mērķis: Efektīva, ērta, savlaicīga, sabiedrībai saprotama un pieejama tiesu sistēma. </w:t>
      </w:r>
    </w:p>
    <w:p w14:paraId="575F0A8C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Šā mērķa īstenošanai Tieslietu padome prioritāri pievērsīsies šādiem uzdevumiem:</w:t>
      </w:r>
    </w:p>
    <w:p w14:paraId="74248143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3.1.</w:t>
      </w:r>
      <w:r w:rsidRPr="004108D9">
        <w:tab/>
        <w:t>apzināt spriedumu kvalitātes nodrošināšanai un pastāvīgai uzlabošanai būtiskos faktorus un sniegt redzējumu par problēmsituāciju risinājumu;</w:t>
      </w:r>
    </w:p>
    <w:p w14:paraId="377FD077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3.2.</w:t>
      </w:r>
      <w:r w:rsidRPr="004108D9">
        <w:tab/>
        <w:t>pastāvīgi uzraudzīt un izvērtēt lietu izskatīšanas termiņus un tiesu sistēmas resursu pietiekamību saprātīgu tiesvedības termiņu nodrošināšanai;</w:t>
      </w:r>
    </w:p>
    <w:p w14:paraId="3D6D3913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3.3.</w:t>
      </w:r>
      <w:r w:rsidRPr="004108D9">
        <w:tab/>
        <w:t>vērtēt tiesu sistēmas darba efektivitāti un piekļuves tiesām garantiju ievērošanu, it īpaši pievēršoties tiesu teritoriālās reformas rezultātiem un tās ietekmei uz tiesu sistēmas darbību, kā arī tālāku soļu nepieciešamībai;</w:t>
      </w:r>
    </w:p>
    <w:p w14:paraId="2233718F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3.4.</w:t>
      </w:r>
      <w:r w:rsidRPr="004108D9">
        <w:tab/>
        <w:t>rosināt diskusiju par tiesnešu kārtējās novērtēšanas procesa pilnveidošanu, nodrošināt vispusīgāku un objektīvāku vērtēšanu;</w:t>
      </w:r>
    </w:p>
    <w:p w14:paraId="2A9844C1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3.5.</w:t>
      </w:r>
      <w:r w:rsidRPr="004108D9">
        <w:tab/>
        <w:t>veicināt tiesu sistēmas darbu atvieglojošus digitalizācijas procesus;</w:t>
      </w:r>
    </w:p>
    <w:p w14:paraId="2E9276BB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3.6.</w:t>
      </w:r>
      <w:r w:rsidRPr="004108D9">
        <w:tab/>
        <w:t>attīstīt tiesnešu specializācijas standartus;</w:t>
      </w:r>
    </w:p>
    <w:p w14:paraId="43E1BCE0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lastRenderedPageBreak/>
        <w:t>3.7.</w:t>
      </w:r>
      <w:r w:rsidRPr="004108D9">
        <w:tab/>
        <w:t>proaktīvi veicināt problēmu apzināšanu tiesu sistēmā;</w:t>
      </w:r>
    </w:p>
    <w:p w14:paraId="4617A827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3.8.</w:t>
      </w:r>
      <w:r w:rsidRPr="004108D9">
        <w:tab/>
        <w:t>nodrošināt saikni ar tiesu priekšsēdētājiem;</w:t>
      </w:r>
    </w:p>
    <w:p w14:paraId="149AC4A6" w14:textId="77777777" w:rsidR="00D637D4" w:rsidRPr="004108D9" w:rsidRDefault="00D637D4" w:rsidP="004108D9">
      <w:pPr>
        <w:spacing w:after="0"/>
        <w:ind w:firstLine="720"/>
        <w:jc w:val="both"/>
      </w:pPr>
      <w:r w:rsidRPr="004108D9">
        <w:t>3.9.</w:t>
      </w:r>
      <w:r w:rsidRPr="004108D9">
        <w:tab/>
        <w:t>veicināt vienotas tiesu darbinieku vērtēšanas metodikas un tai piesaistītas vienotas atlīdzības sistēmas izveidošanu.”</w:t>
      </w:r>
    </w:p>
    <w:p w14:paraId="1076DE0A" w14:textId="77777777" w:rsidR="00167A10" w:rsidRDefault="00167A10" w:rsidP="00167A10">
      <w:pPr>
        <w:rPr>
          <w:b/>
          <w:i/>
        </w:rPr>
      </w:pPr>
    </w:p>
    <w:p w14:paraId="51F46EBA" w14:textId="7C850849" w:rsidR="004108D9" w:rsidRPr="007172B9" w:rsidRDefault="002C1F13" w:rsidP="00FF2916">
      <w:pPr>
        <w:pStyle w:val="ListParagraph"/>
        <w:numPr>
          <w:ilvl w:val="0"/>
          <w:numId w:val="1"/>
        </w:numPr>
      </w:pPr>
      <w:r w:rsidRPr="007172B9">
        <w:rPr>
          <w:b/>
        </w:rPr>
        <w:t xml:space="preserve">Darba grupas identificētie </w:t>
      </w:r>
      <w:r w:rsidR="004108D9" w:rsidRPr="007172B9">
        <w:rPr>
          <w:b/>
        </w:rPr>
        <w:t>prioritārie rīcības virzieni</w:t>
      </w:r>
    </w:p>
    <w:p w14:paraId="39DFC88C" w14:textId="77777777" w:rsidR="00FF2916" w:rsidRPr="00FF2916" w:rsidRDefault="00FF2916" w:rsidP="00FF2916">
      <w:pPr>
        <w:pStyle w:val="ListParagraph"/>
        <w:rPr>
          <w:i/>
        </w:rPr>
      </w:pPr>
    </w:p>
    <w:p w14:paraId="2948BD93" w14:textId="77777777" w:rsidR="004108D9" w:rsidRDefault="004108D9" w:rsidP="00C64876">
      <w:pPr>
        <w:pStyle w:val="ListParagraph"/>
        <w:numPr>
          <w:ilvl w:val="0"/>
          <w:numId w:val="2"/>
        </w:numPr>
        <w:jc w:val="both"/>
        <w:rPr>
          <w:b/>
        </w:rPr>
      </w:pPr>
      <w:r w:rsidRPr="00815904">
        <w:rPr>
          <w:b/>
        </w:rPr>
        <w:t>TIESNEŠU NOSLODZES IZLĪDZINĀŠANA LATVIJĀ</w:t>
      </w:r>
      <w:r w:rsidR="001B239B" w:rsidRPr="00815904">
        <w:rPr>
          <w:b/>
        </w:rPr>
        <w:t xml:space="preserve"> – INSTITUCIONĀLIE RISINĀJUMU MODEĻI</w:t>
      </w:r>
    </w:p>
    <w:p w14:paraId="055809C4" w14:textId="77777777" w:rsidR="0089542F" w:rsidRDefault="0089542F" w:rsidP="005774A8">
      <w:pPr>
        <w:jc w:val="both"/>
      </w:pPr>
    </w:p>
    <w:p w14:paraId="39C7555A" w14:textId="1D1BCA75" w:rsidR="0089542F" w:rsidRPr="0089542F" w:rsidRDefault="007070CF" w:rsidP="007070CF">
      <w:pPr>
        <w:ind w:left="710"/>
        <w:jc w:val="both"/>
      </w:pPr>
      <w:r>
        <w:rPr>
          <w:b/>
        </w:rPr>
        <w:t>1.1.</w:t>
      </w:r>
      <w:r w:rsidR="00493AAC" w:rsidRPr="007070CF">
        <w:rPr>
          <w:b/>
        </w:rPr>
        <w:t xml:space="preserve"> </w:t>
      </w:r>
      <w:r w:rsidR="007E5FCB" w:rsidRPr="007070CF">
        <w:rPr>
          <w:b/>
        </w:rPr>
        <w:t>Nodrošināt pietiekamus rīkus</w:t>
      </w:r>
      <w:r w:rsidR="00D97DC1" w:rsidRPr="007070CF">
        <w:rPr>
          <w:b/>
        </w:rPr>
        <w:t xml:space="preserve"> un efektīvu to izmantošanas praksi</w:t>
      </w:r>
      <w:r w:rsidR="007E5FCB" w:rsidRPr="007070CF">
        <w:rPr>
          <w:b/>
        </w:rPr>
        <w:t xml:space="preserve"> lietu</w:t>
      </w:r>
      <w:r w:rsidR="00493AAC" w:rsidRPr="007070CF">
        <w:rPr>
          <w:b/>
        </w:rPr>
        <w:t xml:space="preserve"> sastrēgumu operatīvai risināšanai </w:t>
      </w:r>
    </w:p>
    <w:p w14:paraId="2F22228E" w14:textId="5C7501E2" w:rsidR="0089542F" w:rsidRPr="0089542F" w:rsidRDefault="0089542F" w:rsidP="007070CF">
      <w:pPr>
        <w:jc w:val="both"/>
        <w:rPr>
          <w:i/>
        </w:rPr>
      </w:pPr>
      <w:r w:rsidRPr="0089542F">
        <w:rPr>
          <w:i/>
        </w:rPr>
        <w:t>Veicamie uzdevumi</w:t>
      </w:r>
      <w:r w:rsidR="007070CF">
        <w:rPr>
          <w:i/>
        </w:rPr>
        <w:t>:</w:t>
      </w:r>
    </w:p>
    <w:p w14:paraId="458DAA3E" w14:textId="2E78C02B" w:rsidR="00D2203D" w:rsidRPr="00FE72ED" w:rsidRDefault="00D2203D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 w:rsidRPr="00FE72ED">
        <w:rPr>
          <w:i/>
        </w:rPr>
        <w:t>Veikt analīzi par iespēju daļēji reformēt krimināllietu piekritības kārtību, paplašinot lietas iesniegšanas un izskatīšanas tiesā teritoriālo piekritību;</w:t>
      </w:r>
    </w:p>
    <w:p w14:paraId="01BDC7E2" w14:textId="57BCDE8B" w:rsidR="00D2203D" w:rsidRPr="00B109D8" w:rsidRDefault="00D2203D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 w:rsidRPr="00B109D8">
        <w:rPr>
          <w:i/>
        </w:rPr>
        <w:t>Apzināt iespējamās nepilnības procesuālajos likumos un to piemērošanā saistībā ar lietu nosūtīšanu citai tiesai lietas ātrākai izsk</w:t>
      </w:r>
      <w:r w:rsidR="006B1028">
        <w:rPr>
          <w:i/>
        </w:rPr>
        <w:t>atīšanai (Kriminālprocesa likuma</w:t>
      </w:r>
      <w:r w:rsidRPr="00B109D8">
        <w:rPr>
          <w:i/>
        </w:rPr>
        <w:t xml:space="preserve"> 445. panta pirmās daļas 1.punkts, kā arī Civilprocesa likuma 32.</w:t>
      </w:r>
      <w:r w:rsidRPr="006B1028">
        <w:rPr>
          <w:i/>
          <w:vertAlign w:val="superscript"/>
        </w:rPr>
        <w:t xml:space="preserve">1 </w:t>
      </w:r>
      <w:r w:rsidRPr="00B109D8">
        <w:rPr>
          <w:i/>
        </w:rPr>
        <w:t>pants), kā arī veikt analīzi par lietas nosūtīšanas citai tiesai instrumenta ietekmi uz lietas dalībniekiem (tiesas pieejamība, resursu lietderīga izmantošana, videokonferences režīma piemērošana)</w:t>
      </w:r>
      <w:r w:rsidR="00D32C4E" w:rsidRPr="00B109D8">
        <w:rPr>
          <w:i/>
        </w:rPr>
        <w:t>;</w:t>
      </w:r>
    </w:p>
    <w:p w14:paraId="47E3D289" w14:textId="68A9E677" w:rsidR="00D2203D" w:rsidRPr="00B109D8" w:rsidRDefault="00D2203D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 w:rsidRPr="00B109D8">
        <w:rPr>
          <w:i/>
        </w:rPr>
        <w:t>Izvērtēt tiesu priekšsēdētāju iesaisti tiesnešu darba organizācijā, tajā skaitā veikt analīzi par tiesas priekšsēdētājiem likumā noteikto kompetenču izmantošanu attiecībā uz lietu termiņu pārvaldību un tiesnešu noslodzes vadību.</w:t>
      </w:r>
    </w:p>
    <w:p w14:paraId="0A109DC0" w14:textId="77777777" w:rsidR="00D2203D" w:rsidRDefault="00D2203D" w:rsidP="0089542F">
      <w:pPr>
        <w:jc w:val="both"/>
      </w:pPr>
    </w:p>
    <w:p w14:paraId="7AC49960" w14:textId="77777777" w:rsidR="0089542F" w:rsidRPr="0089542F" w:rsidRDefault="0089542F" w:rsidP="0089542F">
      <w:pPr>
        <w:jc w:val="both"/>
      </w:pPr>
      <w:r w:rsidRPr="0089542F">
        <w:t xml:space="preserve">Balstoties uz analīzes rezultātiem, izsvērt šādu aktivitāšu veikšanu: </w:t>
      </w:r>
    </w:p>
    <w:p w14:paraId="7A41F268" w14:textId="56787483" w:rsidR="007E5FCB" w:rsidRPr="007E5FCB" w:rsidRDefault="007E5FCB" w:rsidP="00C64876">
      <w:pPr>
        <w:pStyle w:val="ListParagraph"/>
        <w:numPr>
          <w:ilvl w:val="0"/>
          <w:numId w:val="5"/>
        </w:numPr>
        <w:jc w:val="both"/>
      </w:pPr>
      <w:r w:rsidRPr="007E5FCB">
        <w:t>Izstrādāt Tieslietu padomes vadlīnijas tiesu priekšsēdētājiem – labās prakses ieviešanai tiesas pārvaldības jo</w:t>
      </w:r>
      <w:r w:rsidR="00D32C4E">
        <w:t>mā;</w:t>
      </w:r>
    </w:p>
    <w:p w14:paraId="633CE040" w14:textId="014B8801" w:rsidR="0089542F" w:rsidRPr="0089542F" w:rsidRDefault="0089542F" w:rsidP="00C64876">
      <w:pPr>
        <w:numPr>
          <w:ilvl w:val="0"/>
          <w:numId w:val="5"/>
        </w:numPr>
        <w:jc w:val="both"/>
      </w:pPr>
      <w:r w:rsidRPr="0089542F">
        <w:t xml:space="preserve">Veikt tiesu priekšsēdētājiem praktisko semināru par normatīvajos aktos paredzēto instrumentu būtību un nozīmi lietu izskatīšanas termiņu uzlabošanai; </w:t>
      </w:r>
    </w:p>
    <w:p w14:paraId="6CB993C4" w14:textId="77777777" w:rsidR="007070CF" w:rsidRDefault="0089542F" w:rsidP="00C64876">
      <w:pPr>
        <w:numPr>
          <w:ilvl w:val="0"/>
          <w:numId w:val="5"/>
        </w:numPr>
        <w:jc w:val="both"/>
      </w:pPr>
      <w:r w:rsidRPr="0089542F">
        <w:t>Izstrādāt grozījumus normatīvajos aktos, daļēji reformējot lietu piekritības kārtību</w:t>
      </w:r>
      <w:r w:rsidR="007070CF">
        <w:t>;</w:t>
      </w:r>
    </w:p>
    <w:p w14:paraId="2666C44F" w14:textId="661AA220" w:rsidR="007070CF" w:rsidRDefault="007070CF" w:rsidP="00C64876">
      <w:pPr>
        <w:pStyle w:val="ListParagraph"/>
        <w:numPr>
          <w:ilvl w:val="0"/>
          <w:numId w:val="5"/>
        </w:numPr>
        <w:jc w:val="both"/>
      </w:pPr>
      <w:r>
        <w:t>centralizēt lietu sadales sistēmu starp Rīgas tiesu apgabala tiesām (Rīgas pilsētas Vidzemes priekšpilsētas tiesa,</w:t>
      </w:r>
      <w:r w:rsidRPr="00CD716F">
        <w:t xml:space="preserve"> Rīgas pilsētas Latgales priekšpilsētas tiesa,</w:t>
      </w:r>
      <w:r>
        <w:t xml:space="preserve"> </w:t>
      </w:r>
      <w:r w:rsidRPr="00CD716F">
        <w:t>Rīgas pilsētas Pārdaugavas tiesa, Rīgas rajona tiesa)</w:t>
      </w:r>
      <w:r w:rsidR="00D2203D">
        <w:t xml:space="preserve"> – viena kanceleja</w:t>
      </w:r>
      <w:r w:rsidR="00D32C4E">
        <w:t>.</w:t>
      </w:r>
    </w:p>
    <w:p w14:paraId="43516F38" w14:textId="0FD62B59" w:rsidR="0089542F" w:rsidRPr="0089542F" w:rsidRDefault="0089542F" w:rsidP="007070CF">
      <w:pPr>
        <w:ind w:left="1080"/>
        <w:jc w:val="both"/>
      </w:pPr>
      <w:r w:rsidRPr="0089542F">
        <w:t xml:space="preserve"> </w:t>
      </w:r>
    </w:p>
    <w:p w14:paraId="334C2636" w14:textId="29C2BCDD" w:rsidR="00B464E6" w:rsidRPr="005774A8" w:rsidRDefault="001959AB" w:rsidP="00FE72ED">
      <w:pPr>
        <w:pStyle w:val="ListParagraph"/>
        <w:numPr>
          <w:ilvl w:val="1"/>
          <w:numId w:val="2"/>
        </w:numPr>
        <w:ind w:left="1134"/>
        <w:rPr>
          <w:b/>
        </w:rPr>
      </w:pPr>
      <w:r>
        <w:t xml:space="preserve"> </w:t>
      </w:r>
      <w:r w:rsidR="00B464E6" w:rsidRPr="005774A8">
        <w:rPr>
          <w:b/>
        </w:rPr>
        <w:t>Izvērtēt Latvijā veiktās tiesu te</w:t>
      </w:r>
      <w:r w:rsidR="00530DF5" w:rsidRPr="005774A8">
        <w:rPr>
          <w:b/>
        </w:rPr>
        <w:t>ritoriālās reformas rezultātus</w:t>
      </w:r>
      <w:r w:rsidR="007070CF" w:rsidRPr="005774A8">
        <w:rPr>
          <w:b/>
        </w:rPr>
        <w:t xml:space="preserve"> un tālākās attīstības iespējas</w:t>
      </w:r>
    </w:p>
    <w:p w14:paraId="0B62A72F" w14:textId="77777777" w:rsidR="00B464E6" w:rsidRPr="005774A8" w:rsidRDefault="00B464E6" w:rsidP="005774A8">
      <w:pPr>
        <w:jc w:val="both"/>
        <w:rPr>
          <w:i/>
        </w:rPr>
      </w:pPr>
      <w:r w:rsidRPr="005774A8">
        <w:rPr>
          <w:i/>
        </w:rPr>
        <w:t>Veicamie uzdevumi:</w:t>
      </w:r>
    </w:p>
    <w:p w14:paraId="5901C47E" w14:textId="27655733" w:rsidR="00176E0A" w:rsidRDefault="00176E0A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 w:rsidRPr="00176E0A">
        <w:rPr>
          <w:i/>
        </w:rPr>
        <w:t>Noskaidrot iesaistīto institūciju viedokli par īstenotās teritoriālās reformas plusiem un mīnusiem (tiesu priekšsēdētāji, advokatūras, prokuratūras, policijas pārstāvji)</w:t>
      </w:r>
      <w:r w:rsidR="00D32C4E">
        <w:rPr>
          <w:i/>
        </w:rPr>
        <w:t>;</w:t>
      </w:r>
    </w:p>
    <w:p w14:paraId="316C15D2" w14:textId="75CEFC24" w:rsidR="00176E0A" w:rsidRDefault="00176E0A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 w:rsidRPr="00176E0A">
        <w:rPr>
          <w:i/>
        </w:rPr>
        <w:lastRenderedPageBreak/>
        <w:t>Veikt salīdzinošu izpēti par pirmās instances tiesu organizācijas modeli valstī (citu Eiropas valstu pieredze, kā arī Administratīvās rajona tiesas pieredze)</w:t>
      </w:r>
      <w:r w:rsidR="00D32C4E">
        <w:rPr>
          <w:i/>
        </w:rPr>
        <w:t>;</w:t>
      </w:r>
    </w:p>
    <w:p w14:paraId="536FF931" w14:textId="1D9BBC3C" w:rsidR="00176E0A" w:rsidRDefault="00176E0A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 w:rsidRPr="00176E0A">
        <w:rPr>
          <w:i/>
        </w:rPr>
        <w:t>Izvērtēt reformas ietekmi uz tiesnešu noslodzes izlīdzināšanu (pirms un pēc reformas), kā arī uz resursu ietaupījumiem (izdevumi tiesām (personāla resursi – darbinieku skaits, telpas, aprīkojums, transports u.c.) un iesaistītajām institūcijām pirms un pēc reformas)</w:t>
      </w:r>
      <w:r w:rsidR="00D32C4E">
        <w:rPr>
          <w:i/>
        </w:rPr>
        <w:t>;</w:t>
      </w:r>
    </w:p>
    <w:p w14:paraId="321BA40D" w14:textId="3CA65AEB" w:rsidR="00176E0A" w:rsidRPr="00176E0A" w:rsidRDefault="00514154" w:rsidP="00C5455B">
      <w:pPr>
        <w:pStyle w:val="ListParagraph"/>
        <w:numPr>
          <w:ilvl w:val="2"/>
          <w:numId w:val="2"/>
        </w:numPr>
        <w:jc w:val="both"/>
        <w:rPr>
          <w:i/>
        </w:rPr>
      </w:pPr>
      <w:r>
        <w:rPr>
          <w:i/>
        </w:rPr>
        <w:t>Izvērtēt z</w:t>
      </w:r>
      <w:r w:rsidR="00176E0A" w:rsidRPr="00176E0A">
        <w:rPr>
          <w:i/>
        </w:rPr>
        <w:t>emesgrāmatu nodaļu tiesnešu integrācijas rajona (pilsētas) tiesās reformas rezultātus</w:t>
      </w:r>
      <w:r w:rsidR="00D32C4E">
        <w:rPr>
          <w:i/>
        </w:rPr>
        <w:t>.</w:t>
      </w:r>
    </w:p>
    <w:p w14:paraId="5DE60C6B" w14:textId="211429FE" w:rsidR="001959AB" w:rsidRPr="00A35AE9" w:rsidRDefault="00CB13A1" w:rsidP="00D32C4E">
      <w:r w:rsidRPr="00A35AE9">
        <w:t xml:space="preserve">Balstoties </w:t>
      </w:r>
      <w:r w:rsidR="000C3905" w:rsidRPr="00A35AE9">
        <w:t xml:space="preserve">uz analīzes rezultātiem, izsvērt nepieciešamību </w:t>
      </w:r>
      <w:r w:rsidR="00B43254" w:rsidRPr="00A35AE9">
        <w:t>turpināt teritoriālo reformu (iespējamie varianti)</w:t>
      </w:r>
      <w:r w:rsidR="001815AE" w:rsidRPr="00A35AE9">
        <w:t xml:space="preserve"> šādos </w:t>
      </w:r>
      <w:r w:rsidR="001B3979" w:rsidRPr="00A35AE9">
        <w:t xml:space="preserve">institucionālo risinājumu </w:t>
      </w:r>
      <w:r w:rsidR="001815AE" w:rsidRPr="00A35AE9">
        <w:t>virzienos:</w:t>
      </w:r>
      <w:r w:rsidR="001959AB" w:rsidRPr="00A35AE9">
        <w:t xml:space="preserve"> </w:t>
      </w:r>
    </w:p>
    <w:p w14:paraId="7AC0FC59" w14:textId="49DFF482" w:rsidR="001959AB" w:rsidRPr="00A35AE9" w:rsidRDefault="006B4CE3" w:rsidP="00C5455B">
      <w:pPr>
        <w:pStyle w:val="ListParagraph"/>
        <w:numPr>
          <w:ilvl w:val="0"/>
          <w:numId w:val="10"/>
        </w:numPr>
        <w:jc w:val="both"/>
      </w:pPr>
      <w:r w:rsidRPr="00A35AE9">
        <w:t xml:space="preserve">Rajona (pilsētas) </w:t>
      </w:r>
      <w:r w:rsidR="003A29DA" w:rsidRPr="00A35AE9">
        <w:t>tiesu skaits Latgalē – viena vai divas (Rēzekne un Daugavpils);</w:t>
      </w:r>
    </w:p>
    <w:p w14:paraId="252827C6" w14:textId="589DCFE0" w:rsidR="001959AB" w:rsidRPr="00A35AE9" w:rsidRDefault="001815AE" w:rsidP="00C5455B">
      <w:pPr>
        <w:pStyle w:val="ListParagraph"/>
        <w:numPr>
          <w:ilvl w:val="0"/>
          <w:numId w:val="10"/>
        </w:numPr>
        <w:jc w:val="both"/>
      </w:pPr>
      <w:r w:rsidRPr="00A35AE9">
        <w:t xml:space="preserve">Rajona (pilsētas) </w:t>
      </w:r>
      <w:r w:rsidR="003A29DA" w:rsidRPr="00A35AE9">
        <w:t xml:space="preserve">tiesu skaits </w:t>
      </w:r>
      <w:r w:rsidRPr="00A35AE9">
        <w:t>Rīgā un tās apkārtnē: vairākas vai viena – Rīgas pilsētas tiesa</w:t>
      </w:r>
      <w:r w:rsidR="003A29DA" w:rsidRPr="00A35AE9">
        <w:t xml:space="preserve"> ar cent</w:t>
      </w:r>
      <w:r w:rsidR="006B4CE3" w:rsidRPr="00A35AE9">
        <w:t>ralizētu lietu sadales sistēmu (apvienotas: Rīgas pilsētas Vidzemes priekšpilsētas tiesa, Rīgas pilsētas Latgales priekšpilsētas tiesa, Rīgas pilsētas Pārdaugavas tiesa, Rīgas rajona tiesa</w:t>
      </w:r>
      <w:r w:rsidR="00AB49EE" w:rsidRPr="00A35AE9">
        <w:t>)</w:t>
      </w:r>
      <w:r w:rsidR="001959AB" w:rsidRPr="00A35AE9">
        <w:t>;</w:t>
      </w:r>
    </w:p>
    <w:p w14:paraId="676A9035" w14:textId="77777777" w:rsidR="004C7CAB" w:rsidRPr="00A35AE9" w:rsidRDefault="001815AE" w:rsidP="00C5455B">
      <w:pPr>
        <w:pStyle w:val="ListParagraph"/>
        <w:numPr>
          <w:ilvl w:val="0"/>
          <w:numId w:val="10"/>
        </w:numPr>
        <w:jc w:val="both"/>
      </w:pPr>
      <w:r w:rsidRPr="00A35AE9">
        <w:t>Apgabaltiesu skaits Latvijā: saglabāt esošo skaitu vai samazināt (</w:t>
      </w:r>
      <w:r w:rsidR="00D66612" w:rsidRPr="00A35AE9">
        <w:t xml:space="preserve">piemēram, </w:t>
      </w:r>
      <w:r w:rsidRPr="00A35AE9">
        <w:t>r</w:t>
      </w:r>
      <w:r w:rsidR="003A29DA" w:rsidRPr="00A35AE9">
        <w:t xml:space="preserve">osināt diskusiju izveidot vienu </w:t>
      </w:r>
      <w:r w:rsidR="009612BE" w:rsidRPr="00A35AE9">
        <w:t xml:space="preserve">vispārējās jurisdikcijas apgabaltiesu </w:t>
      </w:r>
      <w:r w:rsidR="006B4CE3" w:rsidRPr="00A35AE9">
        <w:t>Latvijā</w:t>
      </w:r>
      <w:r w:rsidRPr="00A35AE9">
        <w:t>)</w:t>
      </w:r>
      <w:r w:rsidR="004C7CAB" w:rsidRPr="00A35AE9">
        <w:t xml:space="preserve">; </w:t>
      </w:r>
    </w:p>
    <w:p w14:paraId="4DCA0E82" w14:textId="4AF8162B" w:rsidR="00A1490B" w:rsidRPr="00A35AE9" w:rsidRDefault="004C7CAB" w:rsidP="00C5455B">
      <w:pPr>
        <w:pStyle w:val="ListParagraph"/>
        <w:numPr>
          <w:ilvl w:val="0"/>
          <w:numId w:val="10"/>
        </w:numPr>
        <w:jc w:val="both"/>
      </w:pPr>
      <w:r w:rsidRPr="00A35AE9">
        <w:t>Attīstīt bijušo zemesgrāmatu nodaļu tiesnešu iesaisti tiesas funkciju realizācijā</w:t>
      </w:r>
      <w:r w:rsidR="006B4CE3" w:rsidRPr="00A35AE9">
        <w:t xml:space="preserve">. </w:t>
      </w:r>
    </w:p>
    <w:p w14:paraId="5B9B7EC5" w14:textId="77777777" w:rsidR="00A1490B" w:rsidRPr="00A35AE9" w:rsidRDefault="00A1490B" w:rsidP="00815904">
      <w:pPr>
        <w:pStyle w:val="ListParagraph"/>
        <w:ind w:left="1494"/>
      </w:pPr>
    </w:p>
    <w:p w14:paraId="775B3AD5" w14:textId="17068B9D" w:rsidR="001B239B" w:rsidRPr="00A35AE9" w:rsidRDefault="001959AB" w:rsidP="00FE72ED">
      <w:pPr>
        <w:pStyle w:val="ListParagraph"/>
        <w:numPr>
          <w:ilvl w:val="1"/>
          <w:numId w:val="2"/>
        </w:numPr>
        <w:ind w:left="1134"/>
        <w:jc w:val="both"/>
        <w:rPr>
          <w:b/>
        </w:rPr>
      </w:pPr>
      <w:r w:rsidRPr="00A35AE9">
        <w:rPr>
          <w:b/>
        </w:rPr>
        <w:t xml:space="preserve"> </w:t>
      </w:r>
      <w:r w:rsidR="007070CF" w:rsidRPr="00A35AE9">
        <w:rPr>
          <w:b/>
        </w:rPr>
        <w:t>Nodrošināt sabalansētu</w:t>
      </w:r>
      <w:r w:rsidR="00B43254" w:rsidRPr="00A35AE9">
        <w:rPr>
          <w:b/>
        </w:rPr>
        <w:t xml:space="preserve"> </w:t>
      </w:r>
      <w:r w:rsidR="001B239B" w:rsidRPr="00A35AE9">
        <w:rPr>
          <w:b/>
        </w:rPr>
        <w:t>Ekonomisko lietu tiesas noslodz</w:t>
      </w:r>
      <w:r w:rsidR="00B43254" w:rsidRPr="00A35AE9">
        <w:rPr>
          <w:b/>
        </w:rPr>
        <w:t xml:space="preserve">i </w:t>
      </w:r>
    </w:p>
    <w:p w14:paraId="01ECF378" w14:textId="77777777" w:rsidR="00B43254" w:rsidRPr="005774A8" w:rsidRDefault="00B43254" w:rsidP="005774A8">
      <w:pPr>
        <w:jc w:val="both"/>
        <w:rPr>
          <w:i/>
        </w:rPr>
      </w:pPr>
      <w:r w:rsidRPr="005774A8">
        <w:rPr>
          <w:i/>
        </w:rPr>
        <w:t>Veicamie uzdevumi:</w:t>
      </w:r>
    </w:p>
    <w:p w14:paraId="26640613" w14:textId="053325D3" w:rsidR="00176E0A" w:rsidRDefault="00176E0A" w:rsidP="00FE72ED">
      <w:pPr>
        <w:pStyle w:val="ListParagraph"/>
        <w:numPr>
          <w:ilvl w:val="2"/>
          <w:numId w:val="2"/>
        </w:numPr>
        <w:jc w:val="both"/>
        <w:rPr>
          <w:i/>
        </w:rPr>
      </w:pPr>
      <w:r w:rsidRPr="00176E0A">
        <w:rPr>
          <w:i/>
        </w:rPr>
        <w:t>Veikt analīzi par Ekonomisko lietu tiesas esošo noslodzi un tās prognozēm, kā arī tiesas kapacitāti (tajā skaitā, novērtēt likumā</w:t>
      </w:r>
      <w:r w:rsidR="00D32C4E">
        <w:rPr>
          <w:i/>
        </w:rPr>
        <w:t xml:space="preserve"> noteikto termiņu izpildi u.c.);</w:t>
      </w:r>
    </w:p>
    <w:p w14:paraId="377CB605" w14:textId="163EB51F" w:rsidR="00176E0A" w:rsidRDefault="00176E0A" w:rsidP="00FE72ED">
      <w:pPr>
        <w:pStyle w:val="ListParagraph"/>
        <w:numPr>
          <w:ilvl w:val="2"/>
          <w:numId w:val="2"/>
        </w:numPr>
        <w:jc w:val="both"/>
        <w:rPr>
          <w:i/>
        </w:rPr>
      </w:pPr>
      <w:r w:rsidRPr="00176E0A">
        <w:rPr>
          <w:i/>
        </w:rPr>
        <w:t>Izvērtēt Ekonomisko lietu tiesā ienākošo lietu skaita balansu salīdzinājumā ar citām pirmās instances tiesām</w:t>
      </w:r>
      <w:r w:rsidR="00D32C4E">
        <w:rPr>
          <w:i/>
        </w:rPr>
        <w:t>.</w:t>
      </w:r>
    </w:p>
    <w:p w14:paraId="60F01B62" w14:textId="77777777" w:rsidR="00176E0A" w:rsidRDefault="00176E0A" w:rsidP="00176E0A">
      <w:pPr>
        <w:pStyle w:val="ListParagraph"/>
        <w:jc w:val="both"/>
        <w:rPr>
          <w:i/>
        </w:rPr>
      </w:pPr>
    </w:p>
    <w:p w14:paraId="467B6337" w14:textId="465FB6AE" w:rsidR="00B43254" w:rsidRPr="007172B9" w:rsidRDefault="00CB13A1" w:rsidP="007172B9">
      <w:pPr>
        <w:jc w:val="both"/>
        <w:rPr>
          <w:i/>
        </w:rPr>
      </w:pPr>
      <w:r w:rsidRPr="00AB49EE">
        <w:t xml:space="preserve">Balstoties </w:t>
      </w:r>
      <w:r w:rsidR="00061765" w:rsidRPr="00AB49EE">
        <w:t xml:space="preserve">uz analīzes rezultātiem, izsvērt nepieciešamību koriģēt: </w:t>
      </w:r>
    </w:p>
    <w:p w14:paraId="6D3AAD3F" w14:textId="7126D695" w:rsidR="00F14443" w:rsidRPr="00AB49EE" w:rsidRDefault="00061765" w:rsidP="00C64876">
      <w:pPr>
        <w:pStyle w:val="ListParagraph"/>
        <w:numPr>
          <w:ilvl w:val="0"/>
          <w:numId w:val="3"/>
        </w:numPr>
        <w:ind w:left="709" w:hanging="283"/>
        <w:jc w:val="both"/>
      </w:pPr>
      <w:r w:rsidRPr="00AB49EE">
        <w:t>Tiesnešu skaitu tiesā</w:t>
      </w:r>
      <w:r w:rsidR="00C176FA" w:rsidRPr="00AB49EE">
        <w:t xml:space="preserve"> un tam atbilstošo infrastruktūru</w:t>
      </w:r>
      <w:r w:rsidR="001B3979" w:rsidRPr="00AB49EE">
        <w:t xml:space="preserve"> (skatīt kontekstā ar Rīcības plāna 2.1. punktu)</w:t>
      </w:r>
      <w:r w:rsidRPr="00AB49EE">
        <w:t xml:space="preserve">; </w:t>
      </w:r>
    </w:p>
    <w:p w14:paraId="5F0C41E6" w14:textId="77777777" w:rsidR="00061765" w:rsidRPr="00AB49EE" w:rsidRDefault="00061765" w:rsidP="00C64876">
      <w:pPr>
        <w:pStyle w:val="ListParagraph"/>
        <w:numPr>
          <w:ilvl w:val="0"/>
          <w:numId w:val="3"/>
        </w:numPr>
        <w:ind w:left="709" w:hanging="283"/>
        <w:jc w:val="both"/>
      </w:pPr>
      <w:r w:rsidRPr="00AB49EE">
        <w:t xml:space="preserve">Tiesā izskatāmo lietu kategorijas. </w:t>
      </w:r>
    </w:p>
    <w:p w14:paraId="74490565" w14:textId="77777777" w:rsidR="00061765" w:rsidRPr="00AB49EE" w:rsidRDefault="00061765" w:rsidP="00061765">
      <w:pPr>
        <w:jc w:val="both"/>
      </w:pPr>
    </w:p>
    <w:p w14:paraId="3060E2A9" w14:textId="7A02F614" w:rsidR="006576D5" w:rsidRPr="00AB49EE" w:rsidRDefault="00E33271" w:rsidP="00FE72E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OPTIMĀLS UN EFEKTĪVS </w:t>
      </w:r>
      <w:r w:rsidR="001B239B" w:rsidRPr="00AB49EE">
        <w:rPr>
          <w:b/>
        </w:rPr>
        <w:t xml:space="preserve">TIESU SISTĒMAS PERSONĀLA </w:t>
      </w:r>
      <w:r>
        <w:rPr>
          <w:b/>
        </w:rPr>
        <w:t>MODELIS</w:t>
      </w:r>
    </w:p>
    <w:p w14:paraId="0FE447B0" w14:textId="77777777" w:rsidR="00815904" w:rsidRPr="00AB49EE" w:rsidRDefault="00815904" w:rsidP="00815904">
      <w:pPr>
        <w:pStyle w:val="ListParagraph"/>
        <w:rPr>
          <w:b/>
        </w:rPr>
      </w:pPr>
    </w:p>
    <w:p w14:paraId="439ED9B1" w14:textId="3433FD56" w:rsidR="00A83CC0" w:rsidRPr="007E6F74" w:rsidRDefault="001B239B" w:rsidP="007172B9">
      <w:pPr>
        <w:pStyle w:val="ListParagraph"/>
        <w:numPr>
          <w:ilvl w:val="1"/>
          <w:numId w:val="15"/>
        </w:numPr>
        <w:ind w:left="1134" w:hanging="425"/>
        <w:rPr>
          <w:b/>
        </w:rPr>
      </w:pPr>
      <w:r w:rsidRPr="007E6F74">
        <w:rPr>
          <w:b/>
        </w:rPr>
        <w:t xml:space="preserve"> </w:t>
      </w:r>
      <w:r w:rsidR="00A83CC0" w:rsidRPr="007E6F74">
        <w:rPr>
          <w:b/>
        </w:rPr>
        <w:t>Izstrādāt t</w:t>
      </w:r>
      <w:r w:rsidRPr="007E6F74">
        <w:rPr>
          <w:b/>
        </w:rPr>
        <w:t xml:space="preserve">iesnešu </w:t>
      </w:r>
      <w:r w:rsidR="00DD5FA8" w:rsidRPr="007E6F74">
        <w:rPr>
          <w:b/>
        </w:rPr>
        <w:t xml:space="preserve">resursu pārdales </w:t>
      </w:r>
      <w:r w:rsidR="00A83CC0" w:rsidRPr="007E6F74">
        <w:rPr>
          <w:b/>
        </w:rPr>
        <w:t>metodoloģiju, lai pielāgotu tiesnešu amata vietu skaitu</w:t>
      </w:r>
      <w:r w:rsidRPr="007E6F74">
        <w:rPr>
          <w:b/>
        </w:rPr>
        <w:t xml:space="preserve"> faktiskajai nepieciešamībai </w:t>
      </w:r>
      <w:r w:rsidR="00677089" w:rsidRPr="007E6F74">
        <w:rPr>
          <w:b/>
        </w:rPr>
        <w:t>– ienākošo lietu skaitam</w:t>
      </w:r>
    </w:p>
    <w:p w14:paraId="40124254" w14:textId="77777777" w:rsidR="00A83CC0" w:rsidRPr="005774A8" w:rsidRDefault="00A83CC0" w:rsidP="005774A8">
      <w:pPr>
        <w:rPr>
          <w:i/>
        </w:rPr>
      </w:pPr>
      <w:r w:rsidRPr="005774A8">
        <w:rPr>
          <w:i/>
        </w:rPr>
        <w:t>Veicamie uzdevumi:</w:t>
      </w:r>
    </w:p>
    <w:p w14:paraId="00188E99" w14:textId="6A28BC7D" w:rsidR="00176E0A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176E0A">
        <w:rPr>
          <w:i/>
        </w:rPr>
        <w:t>Veikt izvērtējumu pēc būtības par tiesnešu amata vietu nepieciešamību un vakanču aizpildīšanu rajona (pilsētas) tiesās un apgabaltiesās</w:t>
      </w:r>
      <w:r w:rsidR="00D32C4E">
        <w:rPr>
          <w:i/>
        </w:rPr>
        <w:t>;</w:t>
      </w:r>
    </w:p>
    <w:p w14:paraId="2F8CF927" w14:textId="37D3FB66" w:rsidR="00176E0A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176E0A">
        <w:rPr>
          <w:i/>
        </w:rPr>
        <w:t>Veikt izvērtējumu pēc būtības par tiesnešu amata vietu nepieciešamību un vakanču aizpildīšanu Augstākajā tiesā</w:t>
      </w:r>
      <w:r w:rsidR="00D32C4E">
        <w:rPr>
          <w:i/>
        </w:rPr>
        <w:t>;</w:t>
      </w:r>
    </w:p>
    <w:p w14:paraId="47128906" w14:textId="5A6058C9" w:rsidR="00176E0A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176E0A">
        <w:rPr>
          <w:i/>
        </w:rPr>
        <w:t>Veikt salīdzinājumu par tiesu apgabalā ienākošo lietu skaitu (gadā) un tiesnešu izskatīto lietu kategorijām (uzskaites kvalitatīvā analīze)</w:t>
      </w:r>
      <w:r w:rsidR="00D32C4E">
        <w:rPr>
          <w:i/>
        </w:rPr>
        <w:t>;</w:t>
      </w:r>
    </w:p>
    <w:p w14:paraId="57085896" w14:textId="3D3B03F7" w:rsidR="00176E0A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176E0A">
        <w:rPr>
          <w:i/>
        </w:rPr>
        <w:t>Izvērtēt (uz konkrētu piemēru bāzes) tiesnešu faktisko noslodzi dažādās tiesās</w:t>
      </w:r>
      <w:r w:rsidR="00D32C4E">
        <w:rPr>
          <w:i/>
        </w:rPr>
        <w:t>;</w:t>
      </w:r>
    </w:p>
    <w:p w14:paraId="2795E510" w14:textId="1C13F89E" w:rsidR="00176E0A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176E0A">
        <w:rPr>
          <w:i/>
        </w:rPr>
        <w:t>Veikt izvērtējumu par pastāvošo tiesnešu specializācijas modeli</w:t>
      </w:r>
      <w:r w:rsidR="00D32C4E">
        <w:rPr>
          <w:i/>
        </w:rPr>
        <w:t>;</w:t>
      </w:r>
    </w:p>
    <w:p w14:paraId="2FF74E0F" w14:textId="77777777" w:rsidR="007172B9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176E0A">
        <w:rPr>
          <w:i/>
        </w:rPr>
        <w:t>Analizēt faktiskās iespējas nākotnē nepieciešamības gadījumā veikt tiesu atrašanās vietu samazināšanu/ paplašināšanu (ēku, telpu pieejamība)</w:t>
      </w:r>
      <w:r w:rsidR="00D32C4E">
        <w:rPr>
          <w:i/>
        </w:rPr>
        <w:t>;</w:t>
      </w:r>
    </w:p>
    <w:p w14:paraId="34FF9780" w14:textId="290939E0" w:rsidR="00176E0A" w:rsidRPr="003D57A8" w:rsidRDefault="00176E0A" w:rsidP="00C5455B">
      <w:pPr>
        <w:pStyle w:val="ListParagraph"/>
        <w:numPr>
          <w:ilvl w:val="2"/>
          <w:numId w:val="15"/>
        </w:numPr>
        <w:ind w:left="1843" w:hanging="709"/>
        <w:jc w:val="both"/>
        <w:rPr>
          <w:i/>
        </w:rPr>
      </w:pPr>
      <w:r w:rsidRPr="007172B9">
        <w:rPr>
          <w:i/>
        </w:rPr>
        <w:t>Apkopot informāciju par sagaidāmajām tiesnešu vakancēm triju līdz piecu gadu perspektīvā</w:t>
      </w:r>
      <w:r w:rsidR="00D32C4E" w:rsidRPr="007172B9">
        <w:rPr>
          <w:i/>
        </w:rPr>
        <w:t>.</w:t>
      </w:r>
    </w:p>
    <w:p w14:paraId="160396DF" w14:textId="51986AE2" w:rsidR="00A83CC0" w:rsidRPr="00176E0A" w:rsidRDefault="00243A68" w:rsidP="00176E0A">
      <w:pPr>
        <w:rPr>
          <w:i/>
        </w:rPr>
      </w:pPr>
      <w:r w:rsidRPr="00AB49EE">
        <w:t xml:space="preserve">Balstoties uz analīzes rezultātiem, izsvērt šādu reformu ieviešanu: </w:t>
      </w:r>
    </w:p>
    <w:p w14:paraId="2A9B87D4" w14:textId="37CB9678" w:rsidR="00243A68" w:rsidRDefault="004C7CAB" w:rsidP="00C64876">
      <w:pPr>
        <w:pStyle w:val="ListParagraph"/>
        <w:numPr>
          <w:ilvl w:val="0"/>
          <w:numId w:val="4"/>
        </w:numPr>
      </w:pPr>
      <w:r>
        <w:t>S</w:t>
      </w:r>
      <w:r w:rsidR="00E33271">
        <w:t>agatavot optimālo tiesnešu resursu izvietojuma modeli</w:t>
      </w:r>
      <w:r w:rsidR="00243A68" w:rsidRPr="00AB49EE">
        <w:t xml:space="preserve">, pielāgojot amata vietu skaitu un ģeogrāfisko izvietojumu faktiskajai nepieciešamībai; </w:t>
      </w:r>
    </w:p>
    <w:p w14:paraId="429521EE" w14:textId="4BA0DE43" w:rsidR="00E33271" w:rsidRPr="00AB49EE" w:rsidRDefault="00E33271" w:rsidP="00C64876">
      <w:pPr>
        <w:pStyle w:val="ListParagraph"/>
        <w:numPr>
          <w:ilvl w:val="0"/>
          <w:numId w:val="4"/>
        </w:numPr>
      </w:pPr>
      <w:r>
        <w:t>Sagatavot tiesnešu resursu pārdales metodoloģiju, lai sasniegtu optimālo izvietojuma modeli;</w:t>
      </w:r>
    </w:p>
    <w:p w14:paraId="2BB68C7C" w14:textId="77777777" w:rsidR="00243A68" w:rsidRPr="00AB49EE" w:rsidRDefault="00243A68" w:rsidP="00C64876">
      <w:pPr>
        <w:pStyle w:val="ListParagraph"/>
        <w:numPr>
          <w:ilvl w:val="0"/>
          <w:numId w:val="4"/>
        </w:numPr>
      </w:pPr>
      <w:r w:rsidRPr="00AB49EE">
        <w:t>Savlaicīgi plānot tiesu namu un telpu pielāgošanu nākotnē prognozētajam cilvēkresursu skait</w:t>
      </w:r>
      <w:r w:rsidR="004F6498" w:rsidRPr="00AB49EE">
        <w:t xml:space="preserve">am – izsvērt nepieciešamo tiesu darbinieku skaitu. </w:t>
      </w:r>
    </w:p>
    <w:p w14:paraId="15383AEE" w14:textId="77777777" w:rsidR="00A83CC0" w:rsidRPr="00AB49EE" w:rsidRDefault="00A83CC0" w:rsidP="00F14443">
      <w:pPr>
        <w:pStyle w:val="ListParagraph"/>
        <w:ind w:left="1080" w:hanging="371"/>
        <w:rPr>
          <w:b/>
        </w:rPr>
      </w:pPr>
    </w:p>
    <w:p w14:paraId="1C17D565" w14:textId="1D3AEA23" w:rsidR="00C40D9C" w:rsidRPr="00AB49EE" w:rsidRDefault="00E33271" w:rsidP="00C64876">
      <w:pPr>
        <w:pStyle w:val="ListParagraph"/>
        <w:numPr>
          <w:ilvl w:val="1"/>
          <w:numId w:val="15"/>
        </w:numPr>
        <w:ind w:left="1418" w:hanging="425"/>
        <w:rPr>
          <w:b/>
        </w:rPr>
      </w:pPr>
      <w:r>
        <w:rPr>
          <w:b/>
        </w:rPr>
        <w:t xml:space="preserve"> Nodrošināt </w:t>
      </w:r>
      <w:r w:rsidR="00C40D9C" w:rsidRPr="00AB49EE">
        <w:rPr>
          <w:b/>
        </w:rPr>
        <w:t>tiesnešu atlas</w:t>
      </w:r>
      <w:r>
        <w:rPr>
          <w:b/>
        </w:rPr>
        <w:t>es proces</w:t>
      </w:r>
      <w:r w:rsidR="0083030A">
        <w:rPr>
          <w:b/>
        </w:rPr>
        <w:t>a efektivitāti</w:t>
      </w:r>
    </w:p>
    <w:p w14:paraId="59624ED8" w14:textId="77777777" w:rsidR="00C40D9C" w:rsidRPr="00AB49EE" w:rsidRDefault="00C40D9C" w:rsidP="005774A8">
      <w:pPr>
        <w:rPr>
          <w:i/>
        </w:rPr>
      </w:pPr>
      <w:r w:rsidRPr="00AB49EE">
        <w:rPr>
          <w:i/>
        </w:rPr>
        <w:t>Veicamie uzdevumi:</w:t>
      </w:r>
    </w:p>
    <w:p w14:paraId="274B574F" w14:textId="77777777" w:rsidR="003D57A8" w:rsidRDefault="00176E0A" w:rsidP="00C5455B">
      <w:pPr>
        <w:pStyle w:val="ListParagraph"/>
        <w:numPr>
          <w:ilvl w:val="2"/>
          <w:numId w:val="15"/>
        </w:numPr>
        <w:ind w:left="1701" w:hanging="708"/>
        <w:jc w:val="both"/>
        <w:rPr>
          <w:i/>
        </w:rPr>
      </w:pPr>
      <w:r w:rsidRPr="00176E0A">
        <w:rPr>
          <w:i/>
        </w:rPr>
        <w:t>Aktualizēt tiesnešu atlases kārtības (gan pirmās instances, gan apgabaltiesu), īpaši pievēršot uzmanību atlases ilgumam un veicot ex-post analīzi par tiesnešu atlases procesa efektivitāti</w:t>
      </w:r>
      <w:r w:rsidR="00D32C4E">
        <w:rPr>
          <w:i/>
        </w:rPr>
        <w:t>;</w:t>
      </w:r>
    </w:p>
    <w:p w14:paraId="0E0A62AA" w14:textId="10614792" w:rsidR="00D44252" w:rsidRPr="003D57A8" w:rsidRDefault="00176E0A" w:rsidP="00C5455B">
      <w:pPr>
        <w:pStyle w:val="ListParagraph"/>
        <w:numPr>
          <w:ilvl w:val="2"/>
          <w:numId w:val="15"/>
        </w:numPr>
        <w:ind w:left="1701" w:hanging="708"/>
        <w:jc w:val="both"/>
        <w:rPr>
          <w:i/>
        </w:rPr>
      </w:pPr>
      <w:r w:rsidRPr="003D57A8">
        <w:rPr>
          <w:i/>
        </w:rPr>
        <w:t xml:space="preserve">Izvērtēt grozījumu likuma “Par tiesu varu” 75. un </w:t>
      </w:r>
      <w:r w:rsidR="00D44252" w:rsidRPr="003D57A8">
        <w:rPr>
          <w:i/>
        </w:rPr>
        <w:t>77. pantā nepieciešamību,</w:t>
      </w:r>
      <w:r w:rsidRPr="003D57A8">
        <w:rPr>
          <w:i/>
        </w:rPr>
        <w:t xml:space="preserve"> izslēdzot iespēju uzdot tiesnesim pildīt pienākumus citā tiesā uz laiku tiesneša vakances gadījumā. Tādējādi tiesneša aizstāšanu paredzot tikai gadījumos, kad tiesnesis atrodas pagaidu prombūtnē.</w:t>
      </w:r>
    </w:p>
    <w:p w14:paraId="5ED5E783" w14:textId="3F77BF11" w:rsidR="00C40D9C" w:rsidRPr="00D44252" w:rsidRDefault="00815904" w:rsidP="00D44252">
      <w:pPr>
        <w:rPr>
          <w:i/>
        </w:rPr>
      </w:pPr>
      <w:r w:rsidRPr="00AB49EE">
        <w:t xml:space="preserve">Balstoties uz analīzes rezultātiem, nepieciešamības gadījumā: </w:t>
      </w:r>
    </w:p>
    <w:p w14:paraId="4F1F7E68" w14:textId="3748426A" w:rsidR="00815904" w:rsidRPr="00AB49EE" w:rsidRDefault="00815904" w:rsidP="00C64876">
      <w:pPr>
        <w:pStyle w:val="ListParagraph"/>
        <w:numPr>
          <w:ilvl w:val="0"/>
          <w:numId w:val="6"/>
        </w:numPr>
        <w:jc w:val="both"/>
      </w:pPr>
      <w:r w:rsidRPr="00AB49EE">
        <w:t xml:space="preserve">koriģēt tiesnešu atlases konkursa </w:t>
      </w:r>
      <w:r w:rsidR="007D2BBE" w:rsidRPr="00AB49EE">
        <w:t xml:space="preserve">kārtību un </w:t>
      </w:r>
      <w:r w:rsidRPr="00AB49EE">
        <w:t>pārbaudījumu saturu (jautājumi, vērtēšanas kritēriji)</w:t>
      </w:r>
      <w:r w:rsidR="00E33271">
        <w:t xml:space="preserve">, lai nodrošinātu līdzsvaru </w:t>
      </w:r>
      <w:r w:rsidR="00D32C4E">
        <w:t>starp kvalitāti un efektivitāti;</w:t>
      </w:r>
    </w:p>
    <w:p w14:paraId="06413241" w14:textId="0CD1931B" w:rsidR="00815904" w:rsidRPr="00AB49EE" w:rsidRDefault="0083030A" w:rsidP="00C64876">
      <w:pPr>
        <w:pStyle w:val="ListParagraph"/>
        <w:numPr>
          <w:ilvl w:val="0"/>
          <w:numId w:val="6"/>
        </w:numPr>
      </w:pPr>
      <w:r>
        <w:t>Izstrādāt</w:t>
      </w:r>
      <w:r w:rsidR="00675F7C" w:rsidRPr="00AB49EE">
        <w:t xml:space="preserve"> grozījumus </w:t>
      </w:r>
      <w:r w:rsidR="00675F7C" w:rsidRPr="00AB49EE">
        <w:rPr>
          <w:i/>
        </w:rPr>
        <w:t>likum</w:t>
      </w:r>
      <w:r>
        <w:rPr>
          <w:i/>
        </w:rPr>
        <w:t>a</w:t>
      </w:r>
      <w:r w:rsidR="00675F7C" w:rsidRPr="00AB49EE">
        <w:rPr>
          <w:i/>
        </w:rPr>
        <w:t xml:space="preserve"> “Par tiesu varu”</w:t>
      </w:r>
      <w:r>
        <w:rPr>
          <w:i/>
        </w:rPr>
        <w:t xml:space="preserve"> 75. un 77.</w:t>
      </w:r>
      <w:r w:rsidR="007E6F74">
        <w:rPr>
          <w:i/>
        </w:rPr>
        <w:t xml:space="preserve"> </w:t>
      </w:r>
      <w:r>
        <w:rPr>
          <w:i/>
        </w:rPr>
        <w:t>pantā.</w:t>
      </w:r>
    </w:p>
    <w:p w14:paraId="7D77F80B" w14:textId="77777777" w:rsidR="00673EE9" w:rsidRPr="00AB49EE" w:rsidRDefault="00673EE9" w:rsidP="00673EE9">
      <w:pPr>
        <w:pStyle w:val="ListParagraph"/>
        <w:rPr>
          <w:i/>
        </w:rPr>
      </w:pPr>
    </w:p>
    <w:p w14:paraId="7E73B102" w14:textId="3BA5266C" w:rsidR="00673EE9" w:rsidRPr="00AB49EE" w:rsidRDefault="00673EE9" w:rsidP="00C64876">
      <w:pPr>
        <w:pStyle w:val="ListParagraph"/>
        <w:numPr>
          <w:ilvl w:val="1"/>
          <w:numId w:val="15"/>
        </w:numPr>
        <w:ind w:left="1418" w:hanging="425"/>
        <w:rPr>
          <w:b/>
        </w:rPr>
      </w:pPr>
      <w:r w:rsidRPr="00AB49EE">
        <w:rPr>
          <w:b/>
        </w:rPr>
        <w:t>Pilnveidot tiesneša atbalsta personāla organizatorisko modeli</w:t>
      </w:r>
    </w:p>
    <w:p w14:paraId="058B20FB" w14:textId="77777777" w:rsidR="00673EE9" w:rsidRPr="005774A8" w:rsidRDefault="00673EE9" w:rsidP="005774A8">
      <w:pPr>
        <w:rPr>
          <w:i/>
        </w:rPr>
      </w:pPr>
      <w:r w:rsidRPr="005774A8">
        <w:rPr>
          <w:i/>
        </w:rPr>
        <w:t>Veicamie uzdevumi:</w:t>
      </w:r>
    </w:p>
    <w:p w14:paraId="0104D196" w14:textId="77777777" w:rsidR="00C5455B" w:rsidRDefault="00D44252" w:rsidP="00C5455B">
      <w:pPr>
        <w:pStyle w:val="ListParagraph"/>
        <w:numPr>
          <w:ilvl w:val="2"/>
          <w:numId w:val="15"/>
        </w:numPr>
        <w:ind w:left="1701" w:hanging="850"/>
        <w:jc w:val="both"/>
        <w:rPr>
          <w:i/>
        </w:rPr>
      </w:pPr>
      <w:r w:rsidRPr="00D44252">
        <w:rPr>
          <w:i/>
        </w:rPr>
        <w:t>Apkopot un analizēt pastāvošo situāciju tiesas atbalsta personāla jomā (kvantitatīvi un kvalitatīvi)</w:t>
      </w:r>
      <w:r>
        <w:rPr>
          <w:i/>
        </w:rPr>
        <w:t>;</w:t>
      </w:r>
    </w:p>
    <w:p w14:paraId="2DA1B635" w14:textId="30E905EA" w:rsidR="00D44252" w:rsidRPr="00C5455B" w:rsidRDefault="00D44252" w:rsidP="00C5455B">
      <w:pPr>
        <w:pStyle w:val="ListParagraph"/>
        <w:numPr>
          <w:ilvl w:val="2"/>
          <w:numId w:val="15"/>
        </w:numPr>
        <w:ind w:left="1701" w:hanging="850"/>
        <w:jc w:val="both"/>
        <w:rPr>
          <w:i/>
        </w:rPr>
      </w:pPr>
      <w:r w:rsidRPr="00C5455B">
        <w:rPr>
          <w:i/>
        </w:rPr>
        <w:t>Apkopot informāciju par tiesu sistēmas vajadzībām attiecībā uz tiesas atbalsta personālu (kvalifikācija, apjoms), lai atslogotu un efektivizētu tiesneša laika resursus.</w:t>
      </w:r>
    </w:p>
    <w:p w14:paraId="1B3355C9" w14:textId="2FD7CB1F" w:rsidR="00673EE9" w:rsidRPr="00D44252" w:rsidRDefault="00673EE9" w:rsidP="00D44252">
      <w:pPr>
        <w:rPr>
          <w:i/>
        </w:rPr>
      </w:pPr>
      <w:r w:rsidRPr="00AB49EE">
        <w:t xml:space="preserve">Balstoties uz analīzes rezultātiem: </w:t>
      </w:r>
    </w:p>
    <w:p w14:paraId="14987FBA" w14:textId="622911BE" w:rsidR="00673EE9" w:rsidRPr="00AB49EE" w:rsidRDefault="00673EE9" w:rsidP="00C64876">
      <w:pPr>
        <w:pStyle w:val="ListParagraph"/>
        <w:numPr>
          <w:ilvl w:val="0"/>
          <w:numId w:val="9"/>
        </w:numPr>
      </w:pPr>
      <w:r w:rsidRPr="00AB49EE">
        <w:t xml:space="preserve">Sniegt konkrētus priekšlikumus tiesnešu atbalsta resursu stiprināšanai (piemēram, ieviešot jaunu amatu – tiesas jurists); </w:t>
      </w:r>
    </w:p>
    <w:p w14:paraId="6FED8FE2" w14:textId="6519D46C" w:rsidR="00673EE9" w:rsidRPr="00AB49EE" w:rsidRDefault="00872E5A" w:rsidP="00C64876">
      <w:pPr>
        <w:pStyle w:val="ListParagraph"/>
        <w:numPr>
          <w:ilvl w:val="0"/>
          <w:numId w:val="9"/>
        </w:numPr>
      </w:pPr>
      <w:r w:rsidRPr="00AB49EE">
        <w:t>Tiesnešu atbalsta personālam pēc nepieciešamības p</w:t>
      </w:r>
      <w:r w:rsidR="00673EE9" w:rsidRPr="00AB49EE">
        <w:t xml:space="preserve">iedāvāt </w:t>
      </w:r>
      <w:r w:rsidRPr="00AB49EE">
        <w:t xml:space="preserve">attālinātā darba </w:t>
      </w:r>
      <w:r w:rsidR="00673EE9" w:rsidRPr="00AB49EE">
        <w:t>risin</w:t>
      </w:r>
      <w:r w:rsidRPr="00AB49EE">
        <w:t>ājumus</w:t>
      </w:r>
      <w:r w:rsidR="007E60F6" w:rsidRPr="00AB49EE">
        <w:t>, kā arī elastīgus darba nosacījumus</w:t>
      </w:r>
      <w:r w:rsidRPr="00AB49EE">
        <w:t xml:space="preserve">. </w:t>
      </w:r>
      <w:r w:rsidR="00673EE9" w:rsidRPr="00AB49EE">
        <w:t xml:space="preserve"> </w:t>
      </w:r>
    </w:p>
    <w:p w14:paraId="036FC144" w14:textId="408DC32F" w:rsidR="00866EE5" w:rsidRDefault="00866EE5">
      <w:r>
        <w:br w:type="page"/>
      </w:r>
    </w:p>
    <w:p w14:paraId="0E318C42" w14:textId="77777777" w:rsidR="00815904" w:rsidRPr="00AB49EE" w:rsidRDefault="00815904" w:rsidP="00C40D9C">
      <w:pPr>
        <w:rPr>
          <w:b/>
        </w:rPr>
      </w:pPr>
    </w:p>
    <w:p w14:paraId="1DDE6CA3" w14:textId="05E3CF14" w:rsidR="001B239B" w:rsidRPr="0083030A" w:rsidRDefault="001B239B" w:rsidP="00C64876">
      <w:pPr>
        <w:pStyle w:val="ListParagraph"/>
        <w:numPr>
          <w:ilvl w:val="0"/>
          <w:numId w:val="15"/>
        </w:numPr>
        <w:ind w:left="567" w:hanging="425"/>
      </w:pPr>
      <w:r w:rsidRPr="00AB49EE">
        <w:rPr>
          <w:b/>
        </w:rPr>
        <w:t>SPRIEDUMU KVALITĀTES NODROŠINĀŠANA</w:t>
      </w:r>
    </w:p>
    <w:p w14:paraId="0F8BE346" w14:textId="77777777" w:rsidR="0083030A" w:rsidRPr="005774A8" w:rsidRDefault="0083030A">
      <w:pPr>
        <w:pStyle w:val="ListParagraph"/>
        <w:ind w:left="1134"/>
        <w:rPr>
          <w:b/>
        </w:rPr>
      </w:pPr>
    </w:p>
    <w:p w14:paraId="393E32E7" w14:textId="50BAC905" w:rsidR="00D52B22" w:rsidRPr="005774A8" w:rsidRDefault="00A12D88" w:rsidP="00C64876">
      <w:pPr>
        <w:pStyle w:val="ListParagraph"/>
        <w:numPr>
          <w:ilvl w:val="1"/>
          <w:numId w:val="14"/>
        </w:numPr>
        <w:ind w:left="1276" w:hanging="567"/>
        <w:rPr>
          <w:b/>
        </w:rPr>
      </w:pPr>
      <w:r w:rsidRPr="005774A8">
        <w:rPr>
          <w:b/>
        </w:rPr>
        <w:t xml:space="preserve">Spriedumu </w:t>
      </w:r>
      <w:r w:rsidR="0083030A" w:rsidRPr="005774A8">
        <w:rPr>
          <w:b/>
        </w:rPr>
        <w:t xml:space="preserve">kvalitātes kritēriji </w:t>
      </w:r>
      <w:r w:rsidRPr="005774A8">
        <w:rPr>
          <w:b/>
        </w:rPr>
        <w:t>(</w:t>
      </w:r>
      <w:r w:rsidR="0083030A" w:rsidRPr="005774A8">
        <w:rPr>
          <w:b/>
        </w:rPr>
        <w:t xml:space="preserve">formas </w:t>
      </w:r>
      <w:r w:rsidR="00D52B22" w:rsidRPr="005774A8">
        <w:rPr>
          <w:b/>
        </w:rPr>
        <w:t xml:space="preserve">un </w:t>
      </w:r>
      <w:r w:rsidR="0083030A" w:rsidRPr="005774A8">
        <w:rPr>
          <w:b/>
        </w:rPr>
        <w:t>satura kvalitātes kritēriji</w:t>
      </w:r>
      <w:r w:rsidR="00D52B22" w:rsidRPr="005774A8">
        <w:rPr>
          <w:b/>
        </w:rPr>
        <w:t>)</w:t>
      </w:r>
    </w:p>
    <w:p w14:paraId="22339A91" w14:textId="77777777" w:rsidR="00D52B22" w:rsidRPr="00AB49EE" w:rsidRDefault="00D52B22" w:rsidP="005774A8">
      <w:pPr>
        <w:rPr>
          <w:i/>
        </w:rPr>
      </w:pPr>
      <w:r w:rsidRPr="00AB49EE">
        <w:rPr>
          <w:i/>
        </w:rPr>
        <w:t>Veicamie uzdevumi:</w:t>
      </w:r>
    </w:p>
    <w:p w14:paraId="0579989E" w14:textId="77777777" w:rsidR="00C5455B" w:rsidRDefault="00D44252" w:rsidP="00C5455B">
      <w:pPr>
        <w:pStyle w:val="ListParagraph"/>
        <w:numPr>
          <w:ilvl w:val="2"/>
          <w:numId w:val="14"/>
        </w:numPr>
        <w:spacing w:after="0"/>
        <w:ind w:left="1843" w:hanging="992"/>
        <w:jc w:val="both"/>
        <w:rPr>
          <w:i/>
        </w:rPr>
      </w:pPr>
      <w:r w:rsidRPr="00D44252">
        <w:rPr>
          <w:i/>
        </w:rPr>
        <w:t>Izvērtēt līdzšinējo praksi (tostarp ārvalstu) tiesas spriedumu taisīšanā</w:t>
      </w:r>
      <w:r>
        <w:rPr>
          <w:i/>
        </w:rPr>
        <w:t>;</w:t>
      </w:r>
    </w:p>
    <w:p w14:paraId="57884CB4" w14:textId="24E0A22B" w:rsidR="00D44252" w:rsidRPr="00C5455B" w:rsidRDefault="00D44252" w:rsidP="00C5455B">
      <w:pPr>
        <w:pStyle w:val="ListParagraph"/>
        <w:numPr>
          <w:ilvl w:val="2"/>
          <w:numId w:val="14"/>
        </w:numPr>
        <w:spacing w:after="0"/>
        <w:ind w:left="1843" w:hanging="992"/>
        <w:jc w:val="both"/>
        <w:rPr>
          <w:i/>
        </w:rPr>
      </w:pPr>
      <w:r w:rsidRPr="00C5455B">
        <w:rPr>
          <w:i/>
        </w:rPr>
        <w:t>Veikt apkopojumu par Tiesnešu kvalifikācijas kolēģijas (TKK) secinājumiem par tiesnešu novērtēšanā pielietoto metodoloģiju spriedumu kvalitātes izvērtēšanā.</w:t>
      </w:r>
    </w:p>
    <w:p w14:paraId="7C121C85" w14:textId="77777777" w:rsidR="00090384" w:rsidRPr="00AB49EE" w:rsidRDefault="00090384" w:rsidP="005774A8">
      <w:pPr>
        <w:spacing w:after="0"/>
        <w:jc w:val="both"/>
      </w:pPr>
      <w:r w:rsidRPr="00AB49EE">
        <w:t xml:space="preserve">Balstoties uz analīzes rezultātiem, nepieciešamības gadījumā: </w:t>
      </w:r>
    </w:p>
    <w:p w14:paraId="5DDD22E9" w14:textId="7DBCAF45" w:rsidR="00677089" w:rsidRPr="00AB49EE" w:rsidRDefault="00090384" w:rsidP="00C64876">
      <w:pPr>
        <w:pStyle w:val="ListParagraph"/>
        <w:numPr>
          <w:ilvl w:val="0"/>
          <w:numId w:val="7"/>
        </w:numPr>
        <w:spacing w:after="0"/>
        <w:ind w:left="1276" w:hanging="283"/>
        <w:jc w:val="both"/>
      </w:pPr>
      <w:r w:rsidRPr="00AB49EE">
        <w:t>a</w:t>
      </w:r>
      <w:r w:rsidR="00675F7C" w:rsidRPr="00AB49EE">
        <w:t xml:space="preserve">ttīstīt un paplašināt </w:t>
      </w:r>
      <w:r w:rsidR="007A36AA" w:rsidRPr="00AB49EE">
        <w:t>praktiskas vadlīnijas un mācības pirmās instances tiesām par spriedumu saturu (</w:t>
      </w:r>
      <w:r w:rsidR="00FD1A5E" w:rsidRPr="00AB49EE">
        <w:t>aprakstošā daļa,</w:t>
      </w:r>
      <w:r w:rsidR="007A36AA" w:rsidRPr="00AB49EE">
        <w:t xml:space="preserve"> </w:t>
      </w:r>
      <w:r w:rsidR="00677089" w:rsidRPr="00AB49EE">
        <w:t>izklāsta detalizētības pakāpe</w:t>
      </w:r>
      <w:r w:rsidR="00677089" w:rsidRPr="00AB49EE">
        <w:rPr>
          <w:i/>
        </w:rPr>
        <w:t>)</w:t>
      </w:r>
      <w:r w:rsidR="008D74EA" w:rsidRPr="00AB49EE">
        <w:rPr>
          <w:i/>
        </w:rPr>
        <w:t>;</w:t>
      </w:r>
    </w:p>
    <w:p w14:paraId="49D9DB41" w14:textId="4A38BD22" w:rsidR="008D74EA" w:rsidRPr="00AB49EE" w:rsidRDefault="008D74EA" w:rsidP="00C64876">
      <w:pPr>
        <w:pStyle w:val="ListParagraph"/>
        <w:numPr>
          <w:ilvl w:val="0"/>
          <w:numId w:val="7"/>
        </w:numPr>
        <w:ind w:left="1276" w:hanging="283"/>
        <w:jc w:val="both"/>
      </w:pPr>
      <w:r w:rsidRPr="00AB49EE">
        <w:t xml:space="preserve">rosināt koriģēt tiesnešu novērtēšanas veidlapu, mainot novērtēšanas kritērijus (atbilstoši katrā tiesu instancē skatāmo lietu un tiesneša lomas specifikai). </w:t>
      </w:r>
    </w:p>
    <w:p w14:paraId="07912395" w14:textId="77777777" w:rsidR="007A36AA" w:rsidRPr="00AB49EE" w:rsidRDefault="007A36AA" w:rsidP="007A36AA">
      <w:pPr>
        <w:pStyle w:val="ListParagraph"/>
        <w:ind w:left="1440"/>
      </w:pPr>
    </w:p>
    <w:p w14:paraId="660EC3EC" w14:textId="77777777" w:rsidR="009A0285" w:rsidRPr="00AB49EE" w:rsidRDefault="002025FD" w:rsidP="00C64876">
      <w:pPr>
        <w:pStyle w:val="ListParagraph"/>
        <w:numPr>
          <w:ilvl w:val="0"/>
          <w:numId w:val="15"/>
        </w:numPr>
        <w:ind w:left="709" w:hanging="425"/>
        <w:rPr>
          <w:b/>
        </w:rPr>
      </w:pPr>
      <w:r w:rsidRPr="00AB49EE">
        <w:rPr>
          <w:b/>
        </w:rPr>
        <w:t>TIESU DARBA ORGANIZĀCIJA</w:t>
      </w:r>
    </w:p>
    <w:p w14:paraId="5F7F28CC" w14:textId="77777777" w:rsidR="00815904" w:rsidRPr="00AB49EE" w:rsidRDefault="00815904" w:rsidP="00815904">
      <w:pPr>
        <w:pStyle w:val="ListParagraph"/>
        <w:ind w:left="1134"/>
        <w:rPr>
          <w:b/>
        </w:rPr>
      </w:pPr>
    </w:p>
    <w:p w14:paraId="4D99C10C" w14:textId="185719F7" w:rsidR="008D74EA" w:rsidRPr="00AB49EE" w:rsidRDefault="008D74EA" w:rsidP="00546591">
      <w:pPr>
        <w:pStyle w:val="ListParagraph"/>
        <w:numPr>
          <w:ilvl w:val="1"/>
          <w:numId w:val="15"/>
        </w:numPr>
        <w:ind w:left="1134"/>
        <w:rPr>
          <w:b/>
        </w:rPr>
      </w:pPr>
      <w:r w:rsidRPr="00AB49EE">
        <w:rPr>
          <w:b/>
        </w:rPr>
        <w:t>Tiesas sēžu plānošana un darba efektivizācija</w:t>
      </w:r>
    </w:p>
    <w:p w14:paraId="302BE86E" w14:textId="77777777" w:rsidR="008D74EA" w:rsidRPr="005774A8" w:rsidRDefault="008D74EA" w:rsidP="005774A8">
      <w:pPr>
        <w:rPr>
          <w:i/>
        </w:rPr>
      </w:pPr>
      <w:r w:rsidRPr="005774A8">
        <w:rPr>
          <w:i/>
        </w:rPr>
        <w:t>Veicamie uzdevumi:</w:t>
      </w:r>
    </w:p>
    <w:p w14:paraId="6FEAF117" w14:textId="77777777" w:rsidR="00C5455B" w:rsidRDefault="00755864" w:rsidP="00C5455B">
      <w:pPr>
        <w:pStyle w:val="ListParagraph"/>
        <w:numPr>
          <w:ilvl w:val="2"/>
          <w:numId w:val="15"/>
        </w:numPr>
        <w:ind w:left="1843" w:hanging="992"/>
        <w:jc w:val="both"/>
        <w:rPr>
          <w:i/>
        </w:rPr>
      </w:pPr>
      <w:r w:rsidRPr="00755864">
        <w:rPr>
          <w:i/>
        </w:rPr>
        <w:t>Veikt analīzi par krimināllietu izskatīšanas nepārtrauktības principa ieviešanas (atjaunošanas) ieguvumiem un trūkumiem mūsdienu apstākļos</w:t>
      </w:r>
      <w:r>
        <w:rPr>
          <w:i/>
        </w:rPr>
        <w:t>;</w:t>
      </w:r>
    </w:p>
    <w:p w14:paraId="43FB0E2C" w14:textId="77777777" w:rsidR="00C5455B" w:rsidRDefault="00755864" w:rsidP="00C5455B">
      <w:pPr>
        <w:pStyle w:val="ListParagraph"/>
        <w:numPr>
          <w:ilvl w:val="2"/>
          <w:numId w:val="15"/>
        </w:numPr>
        <w:ind w:left="1843" w:hanging="992"/>
        <w:jc w:val="both"/>
        <w:rPr>
          <w:i/>
        </w:rPr>
      </w:pPr>
      <w:r w:rsidRPr="00C5455B">
        <w:rPr>
          <w:i/>
        </w:rPr>
        <w:t>Veikt pētījumu par lietu izskatīšanas ieilgšanas iemesliem (tostarp par tiesas sēžu atlikšanas praksi);</w:t>
      </w:r>
    </w:p>
    <w:p w14:paraId="4051E9F0" w14:textId="77777777" w:rsidR="00C5455B" w:rsidRDefault="00755864" w:rsidP="00C5455B">
      <w:pPr>
        <w:pStyle w:val="ListParagraph"/>
        <w:numPr>
          <w:ilvl w:val="2"/>
          <w:numId w:val="15"/>
        </w:numPr>
        <w:ind w:left="1843" w:hanging="992"/>
        <w:jc w:val="both"/>
        <w:rPr>
          <w:i/>
        </w:rPr>
      </w:pPr>
      <w:r w:rsidRPr="00C5455B">
        <w:rPr>
          <w:i/>
        </w:rPr>
        <w:t>Paredzēt atbilstošu digitālo rīku pieejamību tiesnešu darbam ar e-lietu maksimāli efektīva tiesas darba nodrošināšanai;</w:t>
      </w:r>
    </w:p>
    <w:p w14:paraId="31019D63" w14:textId="21886266" w:rsidR="00755864" w:rsidRPr="00C5455B" w:rsidRDefault="00755864" w:rsidP="00C5455B">
      <w:pPr>
        <w:pStyle w:val="ListParagraph"/>
        <w:numPr>
          <w:ilvl w:val="2"/>
          <w:numId w:val="15"/>
        </w:numPr>
        <w:ind w:left="1843" w:hanging="992"/>
        <w:jc w:val="both"/>
        <w:rPr>
          <w:i/>
        </w:rPr>
      </w:pPr>
      <w:r w:rsidRPr="00C5455B">
        <w:rPr>
          <w:i/>
        </w:rPr>
        <w:t>Apzināt līdzšinējo tiesu praksi videokonferences režīma pielietošanā, tostarp noskaidrojot iemeslus, kas traucē plašākai videokonferenču pielietošanai (tiesnešu, prokuroru, advokātu pieredzes apkopojums).</w:t>
      </w:r>
    </w:p>
    <w:p w14:paraId="439126B5" w14:textId="25FFA28D" w:rsidR="007E5FCB" w:rsidRDefault="00471A0C" w:rsidP="00755864">
      <w:r w:rsidRPr="00471A0C">
        <w:t>Balstoties uz analīzes rezultātiem, nepieciešamības gadījumā:</w:t>
      </w:r>
    </w:p>
    <w:p w14:paraId="6F9834F4" w14:textId="77777777" w:rsidR="00471A0C" w:rsidRDefault="00471A0C" w:rsidP="00C64876">
      <w:pPr>
        <w:numPr>
          <w:ilvl w:val="0"/>
          <w:numId w:val="8"/>
        </w:numPr>
        <w:ind w:left="1276" w:hanging="142"/>
      </w:pPr>
      <w:r w:rsidRPr="00471A0C">
        <w:t xml:space="preserve">Apstiprināt trīspusēju nostāju (advokatūras – prokuratūras – tiesu) par tiesas sēžu norises efektivitātes mehānisma uzlabošanu valstī; </w:t>
      </w:r>
    </w:p>
    <w:p w14:paraId="39CCD1B6" w14:textId="7B8E7127" w:rsidR="00471A0C" w:rsidRDefault="00471A0C" w:rsidP="00C64876">
      <w:pPr>
        <w:numPr>
          <w:ilvl w:val="0"/>
          <w:numId w:val="8"/>
        </w:numPr>
        <w:ind w:left="1276" w:hanging="142"/>
      </w:pPr>
      <w:r w:rsidRPr="00471A0C">
        <w:t>Attīstīt un veicināt rakstveida tiesas procesa piemērošanu gadījumos, kad mutvārdu tiesas sēdes objektīvi nesniedz ieguldījumu li</w:t>
      </w:r>
      <w:r>
        <w:t>etas kvalitatīvai izskatīšanai.</w:t>
      </w:r>
    </w:p>
    <w:p w14:paraId="0196186D" w14:textId="77777777" w:rsidR="00471A0C" w:rsidRPr="007E5FCB" w:rsidRDefault="00471A0C" w:rsidP="007E5FCB">
      <w:pPr>
        <w:pStyle w:val="ListParagraph"/>
        <w:ind w:left="1440"/>
      </w:pPr>
    </w:p>
    <w:p w14:paraId="4B69E059" w14:textId="0CC17447" w:rsidR="00837572" w:rsidRPr="00AB49EE" w:rsidRDefault="005329AB" w:rsidP="008E5CC1">
      <w:pPr>
        <w:pStyle w:val="ListParagraph"/>
        <w:numPr>
          <w:ilvl w:val="1"/>
          <w:numId w:val="15"/>
        </w:numPr>
        <w:ind w:left="1134"/>
      </w:pPr>
      <w:r w:rsidRPr="008E5CC1">
        <w:rPr>
          <w:b/>
        </w:rPr>
        <w:t xml:space="preserve"> </w:t>
      </w:r>
      <w:r w:rsidR="00CD77B9" w:rsidRPr="008E5CC1">
        <w:rPr>
          <w:b/>
        </w:rPr>
        <w:t>Lietu sadales</w:t>
      </w:r>
      <w:r w:rsidR="00CD77B9" w:rsidRPr="00D32C4E">
        <w:rPr>
          <w:b/>
        </w:rPr>
        <w:t xml:space="preserve"> algoritma uzlabošana</w:t>
      </w:r>
      <w:r w:rsidR="001B239B" w:rsidRPr="00AB49EE">
        <w:t xml:space="preserve"> </w:t>
      </w:r>
    </w:p>
    <w:p w14:paraId="37D09AA9" w14:textId="77777777" w:rsidR="00837572" w:rsidRPr="005774A8" w:rsidRDefault="00837572" w:rsidP="005774A8">
      <w:pPr>
        <w:rPr>
          <w:i/>
        </w:rPr>
      </w:pPr>
      <w:r w:rsidRPr="005774A8">
        <w:rPr>
          <w:i/>
        </w:rPr>
        <w:t>Veicamie uzdevumi:</w:t>
      </w:r>
    </w:p>
    <w:p w14:paraId="494F2AB5" w14:textId="77777777" w:rsidR="00C5455B" w:rsidRDefault="00755864" w:rsidP="00C5455B">
      <w:pPr>
        <w:pStyle w:val="ListParagraph"/>
        <w:numPr>
          <w:ilvl w:val="2"/>
          <w:numId w:val="15"/>
        </w:numPr>
        <w:spacing w:after="0"/>
        <w:ind w:left="1843" w:hanging="992"/>
        <w:jc w:val="both"/>
        <w:rPr>
          <w:i/>
        </w:rPr>
      </w:pPr>
      <w:r w:rsidRPr="00755864">
        <w:rPr>
          <w:i/>
        </w:rPr>
        <w:t>Izvērtēt Tiesu administrācijas veiktā ārvalstu projekta pirmos rezultātus par “lietu svēršanas” faktisko nozīmi lietu sadales izlīdzināšanā</w:t>
      </w:r>
      <w:r>
        <w:rPr>
          <w:i/>
        </w:rPr>
        <w:t>;</w:t>
      </w:r>
    </w:p>
    <w:p w14:paraId="40BA72BB" w14:textId="7D2633DF" w:rsidR="00755864" w:rsidRPr="00C5455B" w:rsidRDefault="00755864" w:rsidP="00C5455B">
      <w:pPr>
        <w:pStyle w:val="ListParagraph"/>
        <w:numPr>
          <w:ilvl w:val="2"/>
          <w:numId w:val="15"/>
        </w:numPr>
        <w:spacing w:after="0"/>
        <w:ind w:left="1843" w:hanging="992"/>
        <w:jc w:val="both"/>
        <w:rPr>
          <w:i/>
        </w:rPr>
      </w:pPr>
      <w:r w:rsidRPr="00C5455B">
        <w:rPr>
          <w:i/>
        </w:rPr>
        <w:t>Veikt IT risinājumu analīzi, samērojot tiesnesim ienākošo lietu skaitu ar lietu izskatīšanas tempu, izveidojot vienotus principus un kārtību.</w:t>
      </w:r>
    </w:p>
    <w:p w14:paraId="394713AD" w14:textId="4BD04DF8" w:rsidR="00471A0C" w:rsidRPr="00755864" w:rsidRDefault="00471A0C" w:rsidP="00755864">
      <w:pPr>
        <w:spacing w:after="0"/>
        <w:rPr>
          <w:i/>
        </w:rPr>
      </w:pPr>
      <w:r w:rsidRPr="005774A8">
        <w:t>Balstoties uz analīzes rezultātiem, nepieciešamības gadījumā:</w:t>
      </w:r>
    </w:p>
    <w:p w14:paraId="0DD027FF" w14:textId="2985CB35" w:rsidR="00471A0C" w:rsidRDefault="00471A0C" w:rsidP="00C64876">
      <w:pPr>
        <w:pStyle w:val="ListParagraph"/>
        <w:numPr>
          <w:ilvl w:val="0"/>
          <w:numId w:val="12"/>
        </w:numPr>
        <w:spacing w:after="0"/>
      </w:pPr>
      <w:r>
        <w:t xml:space="preserve">Izstrādāt uz praktiskiem piemēriem balstītu rokasgrāmatu par TIS reģistrējamo lietu kategorijām, vienādojot statistikas kvalitāti; </w:t>
      </w:r>
    </w:p>
    <w:p w14:paraId="08F40D7A" w14:textId="53F66C85" w:rsidR="00471A0C" w:rsidRPr="00471A0C" w:rsidRDefault="00471A0C" w:rsidP="00C64876">
      <w:pPr>
        <w:pStyle w:val="ListParagraph"/>
        <w:numPr>
          <w:ilvl w:val="0"/>
          <w:numId w:val="12"/>
        </w:numPr>
      </w:pPr>
      <w:r>
        <w:t>Tiesu priekšsēdētājiem uzsākot amata pienākumu pildīšanu, Tiesu administrācijai veikt apmācību par IT rīku pielietojumu tiesas darba organizēšanā.</w:t>
      </w:r>
    </w:p>
    <w:p w14:paraId="0FE248DA" w14:textId="77777777" w:rsidR="00E654CA" w:rsidRPr="00AB49EE" w:rsidRDefault="00E654CA" w:rsidP="00E654CA">
      <w:pPr>
        <w:pStyle w:val="ListParagraph"/>
        <w:ind w:left="2160"/>
        <w:jc w:val="both"/>
        <w:rPr>
          <w:b/>
          <w:i/>
        </w:rPr>
      </w:pPr>
    </w:p>
    <w:p w14:paraId="77117E47" w14:textId="28744C75" w:rsidR="00CD77B9" w:rsidRPr="005329AB" w:rsidRDefault="00CD77B9" w:rsidP="00D32C4E">
      <w:pPr>
        <w:pStyle w:val="ListParagraph"/>
        <w:numPr>
          <w:ilvl w:val="1"/>
          <w:numId w:val="15"/>
        </w:numPr>
        <w:ind w:left="1134" w:hanging="567"/>
        <w:jc w:val="both"/>
        <w:rPr>
          <w:b/>
        </w:rPr>
      </w:pPr>
      <w:r w:rsidRPr="005329AB">
        <w:rPr>
          <w:b/>
        </w:rPr>
        <w:t>Objektīvas, kvalitatīvas statistikas</w:t>
      </w:r>
      <w:r w:rsidR="008464A9" w:rsidRPr="005329AB">
        <w:rPr>
          <w:b/>
        </w:rPr>
        <w:t xml:space="preserve"> par tiesu, tiesnešu noslodzi </w:t>
      </w:r>
      <w:r w:rsidR="008E5CC1">
        <w:rPr>
          <w:b/>
        </w:rPr>
        <w:t>krimināllietās, civillietās, administratīvajās lietās</w:t>
      </w:r>
      <w:r w:rsidR="008464A9" w:rsidRPr="005329AB">
        <w:rPr>
          <w:b/>
        </w:rPr>
        <w:t>, kas atspoguļo</w:t>
      </w:r>
      <w:r w:rsidRPr="005329AB">
        <w:rPr>
          <w:b/>
        </w:rPr>
        <w:t xml:space="preserve"> reāli pastāvošo situāciju</w:t>
      </w:r>
      <w:r w:rsidR="00471A0C">
        <w:rPr>
          <w:b/>
        </w:rPr>
        <w:t>,</w:t>
      </w:r>
      <w:r w:rsidR="0083030A" w:rsidRPr="005329AB">
        <w:rPr>
          <w:b/>
        </w:rPr>
        <w:t xml:space="preserve"> pieejamība un</w:t>
      </w:r>
      <w:r w:rsidRPr="005329AB">
        <w:rPr>
          <w:b/>
        </w:rPr>
        <w:t xml:space="preserve"> regulāra analīze</w:t>
      </w:r>
    </w:p>
    <w:p w14:paraId="357D295A" w14:textId="77777777" w:rsidR="00055AF3" w:rsidRDefault="00E654CA" w:rsidP="00055AF3">
      <w:pPr>
        <w:rPr>
          <w:i/>
        </w:rPr>
      </w:pPr>
      <w:r w:rsidRPr="005774A8">
        <w:rPr>
          <w:i/>
        </w:rPr>
        <w:t>Veicamie uzdevumi</w:t>
      </w:r>
    </w:p>
    <w:p w14:paraId="540FCDDF" w14:textId="77777777" w:rsidR="00055AF3" w:rsidRDefault="00055AF3" w:rsidP="00C5455B">
      <w:pPr>
        <w:pStyle w:val="ListParagraph"/>
        <w:numPr>
          <w:ilvl w:val="2"/>
          <w:numId w:val="16"/>
        </w:numPr>
        <w:ind w:left="1843" w:hanging="992"/>
        <w:jc w:val="both"/>
        <w:rPr>
          <w:i/>
        </w:rPr>
      </w:pPr>
      <w:r w:rsidRPr="00055AF3">
        <w:rPr>
          <w:i/>
        </w:rPr>
        <w:t xml:space="preserve"> Veikt ex post analīzi par pēdējos gados veikto grozījumu procesuālajos normatīvajos aktos faktisko piemērošanu;</w:t>
      </w:r>
    </w:p>
    <w:p w14:paraId="1ABE3630" w14:textId="77777777" w:rsidR="00C5455B" w:rsidRDefault="00055AF3" w:rsidP="00C5455B">
      <w:pPr>
        <w:pStyle w:val="ListParagraph"/>
        <w:numPr>
          <w:ilvl w:val="2"/>
          <w:numId w:val="16"/>
        </w:numPr>
        <w:ind w:left="1843" w:hanging="992"/>
        <w:jc w:val="both"/>
        <w:rPr>
          <w:i/>
        </w:rPr>
      </w:pPr>
      <w:r w:rsidRPr="00055AF3">
        <w:rPr>
          <w:i/>
        </w:rPr>
        <w:t>Veikt situācijas analīzi par pastāvošo praksi TIS rādītāju uzskaitē (procesuālo dokumentu reģistrācijas prasības, to ievade sistēmā dažādās tiesās)</w:t>
      </w:r>
      <w:r>
        <w:rPr>
          <w:i/>
        </w:rPr>
        <w:t>;</w:t>
      </w:r>
    </w:p>
    <w:p w14:paraId="2A110CA1" w14:textId="77777777" w:rsidR="00C5455B" w:rsidRDefault="00055AF3" w:rsidP="00C5455B">
      <w:pPr>
        <w:pStyle w:val="ListParagraph"/>
        <w:numPr>
          <w:ilvl w:val="2"/>
          <w:numId w:val="16"/>
        </w:numPr>
        <w:ind w:left="1843" w:hanging="992"/>
        <w:jc w:val="both"/>
        <w:rPr>
          <w:i/>
        </w:rPr>
      </w:pPr>
      <w:r w:rsidRPr="00C5455B">
        <w:rPr>
          <w:i/>
        </w:rPr>
        <w:t>Informēt Tieslietu padomi un tiesu priekšsēdētājus pirms e-lietas ieviešanas (līdz 30.11.2021.) par e-lietas praktiskās pielietošanas iespējām;</w:t>
      </w:r>
    </w:p>
    <w:p w14:paraId="48D09C6D" w14:textId="6B1E4278" w:rsidR="00E654CA" w:rsidRPr="00C5455B" w:rsidRDefault="00055AF3" w:rsidP="00C5455B">
      <w:pPr>
        <w:pStyle w:val="ListParagraph"/>
        <w:numPr>
          <w:ilvl w:val="2"/>
          <w:numId w:val="16"/>
        </w:numPr>
        <w:ind w:left="1843" w:hanging="992"/>
        <w:jc w:val="both"/>
        <w:rPr>
          <w:i/>
        </w:rPr>
      </w:pPr>
      <w:r w:rsidRPr="00C5455B">
        <w:rPr>
          <w:i/>
        </w:rPr>
        <w:t>Novērst TIS rīka efektivitātes un pārskatāmības trūkumus, lai radītu iespēju katram tiesas priekšsēdētājam un Tieslietu padomei patstāvīgi un pārskatāmi piekļūt nepieciešamajiem statistikas datiem (bez nepieciešamības individuāli formulēt pieprasījumu TA darbiniekam)</w:t>
      </w:r>
      <w:r w:rsidR="00D32C4E" w:rsidRPr="00C5455B">
        <w:rPr>
          <w:i/>
        </w:rPr>
        <w:t>.</w:t>
      </w:r>
    </w:p>
    <w:p w14:paraId="4F46BB04" w14:textId="7EB36557" w:rsidR="00471A0C" w:rsidRPr="00055AF3" w:rsidRDefault="00C22AD3" w:rsidP="005774A8">
      <w:pPr>
        <w:spacing w:after="0"/>
        <w:jc w:val="both"/>
      </w:pPr>
      <w:r w:rsidRPr="00AB49EE">
        <w:t xml:space="preserve">Balstoties </w:t>
      </w:r>
      <w:r w:rsidRPr="00055AF3">
        <w:t>uz analīzes rezultātiem, nepieciešamības gadījumā:</w:t>
      </w:r>
    </w:p>
    <w:p w14:paraId="2695FA9A" w14:textId="214FBD4F" w:rsidR="00576259" w:rsidRPr="00055AF3" w:rsidRDefault="00576259" w:rsidP="00C64876">
      <w:pPr>
        <w:pStyle w:val="ListParagraph"/>
        <w:numPr>
          <w:ilvl w:val="0"/>
          <w:numId w:val="13"/>
        </w:numPr>
        <w:spacing w:after="0"/>
        <w:ind w:left="1418"/>
        <w:jc w:val="both"/>
      </w:pPr>
      <w:r w:rsidRPr="00055AF3">
        <w:t>Noteikt konkrētus statistikas rādītājus, pēc kuriem iespējams pārskatāmi un operatīvi veikt tiesu darba efektivitātes salīdzinājumu</w:t>
      </w:r>
      <w:r w:rsidR="00055AF3" w:rsidRPr="00055AF3">
        <w:t>;</w:t>
      </w:r>
    </w:p>
    <w:p w14:paraId="47B9DE30" w14:textId="4AB63635" w:rsidR="00866EE5" w:rsidRPr="00AB49EE" w:rsidRDefault="00913680" w:rsidP="00C64876">
      <w:pPr>
        <w:pStyle w:val="ListParagraph"/>
        <w:numPr>
          <w:ilvl w:val="0"/>
          <w:numId w:val="13"/>
        </w:numPr>
        <w:spacing w:after="0"/>
        <w:ind w:left="1418"/>
        <w:jc w:val="both"/>
      </w:pPr>
      <w:r w:rsidRPr="00055AF3">
        <w:t>Veikt regulāru, uz prakses piemēriem balstītu</w:t>
      </w:r>
      <w:r w:rsidRPr="00AB49EE">
        <w:t xml:space="preserve"> tiesnešu apmācību par tiesneša darba organizāciju un optimizāciju</w:t>
      </w:r>
      <w:r w:rsidR="00752E0C" w:rsidRPr="00AB49EE">
        <w:t>;</w:t>
      </w:r>
    </w:p>
    <w:p w14:paraId="14FC3C91" w14:textId="4C24B95C" w:rsidR="00C22AD3" w:rsidRPr="00AB49EE" w:rsidRDefault="00752E0C" w:rsidP="00C64876">
      <w:pPr>
        <w:pStyle w:val="ListParagraph"/>
        <w:numPr>
          <w:ilvl w:val="0"/>
          <w:numId w:val="13"/>
        </w:numPr>
        <w:spacing w:after="0"/>
        <w:ind w:left="1418"/>
        <w:jc w:val="both"/>
      </w:pPr>
      <w:r w:rsidRPr="00AB49EE">
        <w:t xml:space="preserve">Izvērtēt cēloņus ilgstoši </w:t>
      </w:r>
      <w:r w:rsidR="006D2C42" w:rsidRPr="00AB49EE">
        <w:t xml:space="preserve">(10 un vairāk gadi) </w:t>
      </w:r>
      <w:r w:rsidRPr="00AB49EE">
        <w:t xml:space="preserve">pirmajā instancē neizskatītajām lietām. </w:t>
      </w:r>
    </w:p>
    <w:sectPr w:rsidR="00C22AD3" w:rsidRPr="00AB49EE" w:rsidSect="007D44D5">
      <w:headerReference w:type="default" r:id="rId8"/>
      <w:footerReference w:type="default" r:id="rId9"/>
      <w:pgSz w:w="11906" w:h="16838"/>
      <w:pgMar w:top="1440" w:right="1133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35EA4" w14:textId="77777777" w:rsidR="007C199B" w:rsidRDefault="007C199B" w:rsidP="00924F2A">
      <w:pPr>
        <w:spacing w:after="0" w:line="240" w:lineRule="auto"/>
      </w:pPr>
      <w:r>
        <w:separator/>
      </w:r>
    </w:p>
  </w:endnote>
  <w:endnote w:type="continuationSeparator" w:id="0">
    <w:p w14:paraId="2E81216A" w14:textId="77777777" w:rsidR="007C199B" w:rsidRDefault="007C199B" w:rsidP="0092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158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16A01" w14:textId="77777777" w:rsidR="00924F2A" w:rsidRDefault="00167A10" w:rsidP="00167A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D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91B0" w14:textId="77777777" w:rsidR="007C199B" w:rsidRDefault="007C199B" w:rsidP="00924F2A">
      <w:pPr>
        <w:spacing w:after="0" w:line="240" w:lineRule="auto"/>
      </w:pPr>
      <w:r>
        <w:separator/>
      </w:r>
    </w:p>
  </w:footnote>
  <w:footnote w:type="continuationSeparator" w:id="0">
    <w:p w14:paraId="22A409B1" w14:textId="77777777" w:rsidR="007C199B" w:rsidRDefault="007C199B" w:rsidP="0092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FE8F6" w14:textId="4CBA2034" w:rsidR="00924F2A" w:rsidRDefault="00924F2A" w:rsidP="00924F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5D99"/>
    <w:multiLevelType w:val="hybridMultilevel"/>
    <w:tmpl w:val="50F064BE"/>
    <w:lvl w:ilvl="0" w:tplc="9A60BD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C87A31"/>
    <w:multiLevelType w:val="hybridMultilevel"/>
    <w:tmpl w:val="DCE24F64"/>
    <w:lvl w:ilvl="0" w:tplc="18E20B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671AB"/>
    <w:multiLevelType w:val="hybridMultilevel"/>
    <w:tmpl w:val="E8A6AF32"/>
    <w:lvl w:ilvl="0" w:tplc="0426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9" w:hanging="360"/>
      </w:pPr>
    </w:lvl>
    <w:lvl w:ilvl="2" w:tplc="0426001B" w:tentative="1">
      <w:start w:val="1"/>
      <w:numFmt w:val="lowerRoman"/>
      <w:lvlText w:val="%3."/>
      <w:lvlJc w:val="right"/>
      <w:pPr>
        <w:ind w:left="3219" w:hanging="180"/>
      </w:pPr>
    </w:lvl>
    <w:lvl w:ilvl="3" w:tplc="0426000F" w:tentative="1">
      <w:start w:val="1"/>
      <w:numFmt w:val="decimal"/>
      <w:lvlText w:val="%4."/>
      <w:lvlJc w:val="left"/>
      <w:pPr>
        <w:ind w:left="3939" w:hanging="360"/>
      </w:pPr>
    </w:lvl>
    <w:lvl w:ilvl="4" w:tplc="04260019" w:tentative="1">
      <w:start w:val="1"/>
      <w:numFmt w:val="lowerLetter"/>
      <w:lvlText w:val="%5."/>
      <w:lvlJc w:val="left"/>
      <w:pPr>
        <w:ind w:left="4659" w:hanging="360"/>
      </w:pPr>
    </w:lvl>
    <w:lvl w:ilvl="5" w:tplc="0426001B" w:tentative="1">
      <w:start w:val="1"/>
      <w:numFmt w:val="lowerRoman"/>
      <w:lvlText w:val="%6."/>
      <w:lvlJc w:val="right"/>
      <w:pPr>
        <w:ind w:left="5379" w:hanging="180"/>
      </w:pPr>
    </w:lvl>
    <w:lvl w:ilvl="6" w:tplc="0426000F" w:tentative="1">
      <w:start w:val="1"/>
      <w:numFmt w:val="decimal"/>
      <w:lvlText w:val="%7."/>
      <w:lvlJc w:val="left"/>
      <w:pPr>
        <w:ind w:left="6099" w:hanging="360"/>
      </w:pPr>
    </w:lvl>
    <w:lvl w:ilvl="7" w:tplc="04260019" w:tentative="1">
      <w:start w:val="1"/>
      <w:numFmt w:val="lowerLetter"/>
      <w:lvlText w:val="%8."/>
      <w:lvlJc w:val="left"/>
      <w:pPr>
        <w:ind w:left="6819" w:hanging="360"/>
      </w:pPr>
    </w:lvl>
    <w:lvl w:ilvl="8" w:tplc="042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28BE336B"/>
    <w:multiLevelType w:val="multilevel"/>
    <w:tmpl w:val="AF086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0543261"/>
    <w:multiLevelType w:val="multilevel"/>
    <w:tmpl w:val="BD945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332004"/>
    <w:multiLevelType w:val="hybridMultilevel"/>
    <w:tmpl w:val="660C73A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96365"/>
    <w:multiLevelType w:val="multilevel"/>
    <w:tmpl w:val="F5C888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065C7A"/>
    <w:multiLevelType w:val="multilevel"/>
    <w:tmpl w:val="0FB027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6B3515"/>
    <w:multiLevelType w:val="hybridMultilevel"/>
    <w:tmpl w:val="C678A512"/>
    <w:lvl w:ilvl="0" w:tplc="6570DD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992DEB"/>
    <w:multiLevelType w:val="hybridMultilevel"/>
    <w:tmpl w:val="5FD29694"/>
    <w:lvl w:ilvl="0" w:tplc="F5AA4638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FF6B0D"/>
    <w:multiLevelType w:val="hybridMultilevel"/>
    <w:tmpl w:val="ED2C36C6"/>
    <w:lvl w:ilvl="0" w:tplc="49720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77E14"/>
    <w:multiLevelType w:val="hybridMultilevel"/>
    <w:tmpl w:val="2DE6512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E7BB6"/>
    <w:multiLevelType w:val="multilevel"/>
    <w:tmpl w:val="3AF64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D17202D"/>
    <w:multiLevelType w:val="hybridMultilevel"/>
    <w:tmpl w:val="873C7038"/>
    <w:lvl w:ilvl="0" w:tplc="0426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82" w:hanging="360"/>
      </w:pPr>
    </w:lvl>
    <w:lvl w:ilvl="2" w:tplc="0426001B" w:tentative="1">
      <w:start w:val="1"/>
      <w:numFmt w:val="lowerRoman"/>
      <w:lvlText w:val="%3."/>
      <w:lvlJc w:val="right"/>
      <w:pPr>
        <w:ind w:left="3502" w:hanging="180"/>
      </w:pPr>
    </w:lvl>
    <w:lvl w:ilvl="3" w:tplc="0426000F" w:tentative="1">
      <w:start w:val="1"/>
      <w:numFmt w:val="decimal"/>
      <w:lvlText w:val="%4."/>
      <w:lvlJc w:val="left"/>
      <w:pPr>
        <w:ind w:left="4222" w:hanging="360"/>
      </w:pPr>
    </w:lvl>
    <w:lvl w:ilvl="4" w:tplc="04260019" w:tentative="1">
      <w:start w:val="1"/>
      <w:numFmt w:val="lowerLetter"/>
      <w:lvlText w:val="%5."/>
      <w:lvlJc w:val="left"/>
      <w:pPr>
        <w:ind w:left="4942" w:hanging="360"/>
      </w:pPr>
    </w:lvl>
    <w:lvl w:ilvl="5" w:tplc="0426001B" w:tentative="1">
      <w:start w:val="1"/>
      <w:numFmt w:val="lowerRoman"/>
      <w:lvlText w:val="%6."/>
      <w:lvlJc w:val="right"/>
      <w:pPr>
        <w:ind w:left="5662" w:hanging="180"/>
      </w:pPr>
    </w:lvl>
    <w:lvl w:ilvl="6" w:tplc="0426000F" w:tentative="1">
      <w:start w:val="1"/>
      <w:numFmt w:val="decimal"/>
      <w:lvlText w:val="%7."/>
      <w:lvlJc w:val="left"/>
      <w:pPr>
        <w:ind w:left="6382" w:hanging="360"/>
      </w:pPr>
    </w:lvl>
    <w:lvl w:ilvl="7" w:tplc="04260019" w:tentative="1">
      <w:start w:val="1"/>
      <w:numFmt w:val="lowerLetter"/>
      <w:lvlText w:val="%8."/>
      <w:lvlJc w:val="left"/>
      <w:pPr>
        <w:ind w:left="7102" w:hanging="360"/>
      </w:pPr>
    </w:lvl>
    <w:lvl w:ilvl="8" w:tplc="042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7E4F747E"/>
    <w:multiLevelType w:val="multilevel"/>
    <w:tmpl w:val="4D2E69C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FAA6835"/>
    <w:multiLevelType w:val="hybridMultilevel"/>
    <w:tmpl w:val="3292699A"/>
    <w:lvl w:ilvl="0" w:tplc="6B02B34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2"/>
  </w:num>
  <w:num w:numId="14">
    <w:abstractNumId w:val="3"/>
  </w:num>
  <w:num w:numId="15">
    <w:abstractNumId w:val="6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1D"/>
    <w:rsid w:val="00004EAF"/>
    <w:rsid w:val="000119EB"/>
    <w:rsid w:val="000359AF"/>
    <w:rsid w:val="00055AF3"/>
    <w:rsid w:val="00061765"/>
    <w:rsid w:val="00066ADF"/>
    <w:rsid w:val="000825B8"/>
    <w:rsid w:val="00083BFC"/>
    <w:rsid w:val="00090384"/>
    <w:rsid w:val="000C3905"/>
    <w:rsid w:val="000D6A99"/>
    <w:rsid w:val="000E0E78"/>
    <w:rsid w:val="000F1EBD"/>
    <w:rsid w:val="00102D85"/>
    <w:rsid w:val="00115045"/>
    <w:rsid w:val="00126ECE"/>
    <w:rsid w:val="0013152A"/>
    <w:rsid w:val="00167A10"/>
    <w:rsid w:val="00175D49"/>
    <w:rsid w:val="00176D67"/>
    <w:rsid w:val="00176E0A"/>
    <w:rsid w:val="001815AE"/>
    <w:rsid w:val="00183737"/>
    <w:rsid w:val="00185900"/>
    <w:rsid w:val="00190B49"/>
    <w:rsid w:val="001945BE"/>
    <w:rsid w:val="001959AB"/>
    <w:rsid w:val="001B239B"/>
    <w:rsid w:val="001B2FA9"/>
    <w:rsid w:val="001B3979"/>
    <w:rsid w:val="001E2962"/>
    <w:rsid w:val="002025FD"/>
    <w:rsid w:val="00217D67"/>
    <w:rsid w:val="00220E00"/>
    <w:rsid w:val="0022736F"/>
    <w:rsid w:val="00243A68"/>
    <w:rsid w:val="002519BD"/>
    <w:rsid w:val="0026360E"/>
    <w:rsid w:val="00274DCB"/>
    <w:rsid w:val="0028777D"/>
    <w:rsid w:val="002B401D"/>
    <w:rsid w:val="002C1F13"/>
    <w:rsid w:val="002C7A22"/>
    <w:rsid w:val="002D3BE6"/>
    <w:rsid w:val="00315426"/>
    <w:rsid w:val="00325D6A"/>
    <w:rsid w:val="003654F3"/>
    <w:rsid w:val="00376831"/>
    <w:rsid w:val="00390824"/>
    <w:rsid w:val="003A29DA"/>
    <w:rsid w:val="003B5863"/>
    <w:rsid w:val="003D22D9"/>
    <w:rsid w:val="003D57A8"/>
    <w:rsid w:val="003D5D26"/>
    <w:rsid w:val="003D6F07"/>
    <w:rsid w:val="003F6402"/>
    <w:rsid w:val="004108D9"/>
    <w:rsid w:val="00412E80"/>
    <w:rsid w:val="004176CB"/>
    <w:rsid w:val="004200D7"/>
    <w:rsid w:val="00435D6F"/>
    <w:rsid w:val="00436E45"/>
    <w:rsid w:val="00442E9E"/>
    <w:rsid w:val="00444B5A"/>
    <w:rsid w:val="00456691"/>
    <w:rsid w:val="00467DE2"/>
    <w:rsid w:val="00471A0C"/>
    <w:rsid w:val="00487353"/>
    <w:rsid w:val="00493AAC"/>
    <w:rsid w:val="004C7CAB"/>
    <w:rsid w:val="004F0946"/>
    <w:rsid w:val="004F6498"/>
    <w:rsid w:val="00506F48"/>
    <w:rsid w:val="00514154"/>
    <w:rsid w:val="00517258"/>
    <w:rsid w:val="00523524"/>
    <w:rsid w:val="00526CEE"/>
    <w:rsid w:val="00530DF5"/>
    <w:rsid w:val="005329AB"/>
    <w:rsid w:val="00546591"/>
    <w:rsid w:val="00562C75"/>
    <w:rsid w:val="00576259"/>
    <w:rsid w:val="005774A8"/>
    <w:rsid w:val="00584A1F"/>
    <w:rsid w:val="005909E9"/>
    <w:rsid w:val="005D7140"/>
    <w:rsid w:val="00602812"/>
    <w:rsid w:val="006029A6"/>
    <w:rsid w:val="00607F69"/>
    <w:rsid w:val="00611E6F"/>
    <w:rsid w:val="00635E8C"/>
    <w:rsid w:val="006576D5"/>
    <w:rsid w:val="0066035B"/>
    <w:rsid w:val="006736D6"/>
    <w:rsid w:val="00673EE9"/>
    <w:rsid w:val="00674D57"/>
    <w:rsid w:val="00675F7C"/>
    <w:rsid w:val="00677089"/>
    <w:rsid w:val="006A3E96"/>
    <w:rsid w:val="006B1028"/>
    <w:rsid w:val="006B464E"/>
    <w:rsid w:val="006B4CE3"/>
    <w:rsid w:val="006D2C42"/>
    <w:rsid w:val="007070CF"/>
    <w:rsid w:val="007172B9"/>
    <w:rsid w:val="00752E0C"/>
    <w:rsid w:val="00755864"/>
    <w:rsid w:val="00780BA5"/>
    <w:rsid w:val="00782340"/>
    <w:rsid w:val="00790AEB"/>
    <w:rsid w:val="007A36AA"/>
    <w:rsid w:val="007B5229"/>
    <w:rsid w:val="007C199B"/>
    <w:rsid w:val="007C609C"/>
    <w:rsid w:val="007D2BBE"/>
    <w:rsid w:val="007D44D5"/>
    <w:rsid w:val="007E5FCB"/>
    <w:rsid w:val="007E60F6"/>
    <w:rsid w:val="007E6F74"/>
    <w:rsid w:val="00815904"/>
    <w:rsid w:val="0083030A"/>
    <w:rsid w:val="00834204"/>
    <w:rsid w:val="00837572"/>
    <w:rsid w:val="008464A9"/>
    <w:rsid w:val="00866EE5"/>
    <w:rsid w:val="00872E5A"/>
    <w:rsid w:val="0089542F"/>
    <w:rsid w:val="008A74FF"/>
    <w:rsid w:val="008C3E92"/>
    <w:rsid w:val="008D74EA"/>
    <w:rsid w:val="008E1DD5"/>
    <w:rsid w:val="008E5CC1"/>
    <w:rsid w:val="008F45A0"/>
    <w:rsid w:val="00913680"/>
    <w:rsid w:val="00924F2A"/>
    <w:rsid w:val="009578A6"/>
    <w:rsid w:val="009612BE"/>
    <w:rsid w:val="00962A7F"/>
    <w:rsid w:val="00963A6B"/>
    <w:rsid w:val="009662D6"/>
    <w:rsid w:val="0099080E"/>
    <w:rsid w:val="009A0285"/>
    <w:rsid w:val="009D10D4"/>
    <w:rsid w:val="00A12D88"/>
    <w:rsid w:val="00A1490B"/>
    <w:rsid w:val="00A35AE9"/>
    <w:rsid w:val="00A43284"/>
    <w:rsid w:val="00A63B9A"/>
    <w:rsid w:val="00A63D34"/>
    <w:rsid w:val="00A65845"/>
    <w:rsid w:val="00A83CC0"/>
    <w:rsid w:val="00A915DF"/>
    <w:rsid w:val="00A94037"/>
    <w:rsid w:val="00AA65F6"/>
    <w:rsid w:val="00AB0153"/>
    <w:rsid w:val="00AB49EE"/>
    <w:rsid w:val="00AB5CF5"/>
    <w:rsid w:val="00AC7F7E"/>
    <w:rsid w:val="00AD2689"/>
    <w:rsid w:val="00AD2FEF"/>
    <w:rsid w:val="00AD7684"/>
    <w:rsid w:val="00AE3C49"/>
    <w:rsid w:val="00AE4B05"/>
    <w:rsid w:val="00AF7865"/>
    <w:rsid w:val="00B04A94"/>
    <w:rsid w:val="00B109D8"/>
    <w:rsid w:val="00B43254"/>
    <w:rsid w:val="00B464E6"/>
    <w:rsid w:val="00B70F96"/>
    <w:rsid w:val="00B82484"/>
    <w:rsid w:val="00B92969"/>
    <w:rsid w:val="00BA0951"/>
    <w:rsid w:val="00BA4EE6"/>
    <w:rsid w:val="00BC20F2"/>
    <w:rsid w:val="00BE3151"/>
    <w:rsid w:val="00C176FA"/>
    <w:rsid w:val="00C22AD3"/>
    <w:rsid w:val="00C30E5E"/>
    <w:rsid w:val="00C40D9C"/>
    <w:rsid w:val="00C5455B"/>
    <w:rsid w:val="00C574DD"/>
    <w:rsid w:val="00C64876"/>
    <w:rsid w:val="00C827DD"/>
    <w:rsid w:val="00C84219"/>
    <w:rsid w:val="00CB13A1"/>
    <w:rsid w:val="00CB1FE5"/>
    <w:rsid w:val="00CC73FA"/>
    <w:rsid w:val="00CD4AEC"/>
    <w:rsid w:val="00CD716F"/>
    <w:rsid w:val="00CD77B9"/>
    <w:rsid w:val="00CF0344"/>
    <w:rsid w:val="00CF226E"/>
    <w:rsid w:val="00D2203D"/>
    <w:rsid w:val="00D32C4E"/>
    <w:rsid w:val="00D44252"/>
    <w:rsid w:val="00D52B22"/>
    <w:rsid w:val="00D637D4"/>
    <w:rsid w:val="00D66612"/>
    <w:rsid w:val="00D817F4"/>
    <w:rsid w:val="00D97DC1"/>
    <w:rsid w:val="00DC42AA"/>
    <w:rsid w:val="00DC58E0"/>
    <w:rsid w:val="00DC70DF"/>
    <w:rsid w:val="00DD5FA8"/>
    <w:rsid w:val="00DE3962"/>
    <w:rsid w:val="00DF6640"/>
    <w:rsid w:val="00DF6F3E"/>
    <w:rsid w:val="00E33271"/>
    <w:rsid w:val="00E57617"/>
    <w:rsid w:val="00E654CA"/>
    <w:rsid w:val="00E74AFF"/>
    <w:rsid w:val="00E80148"/>
    <w:rsid w:val="00E90F8A"/>
    <w:rsid w:val="00EA1C4E"/>
    <w:rsid w:val="00EB1CF6"/>
    <w:rsid w:val="00F10063"/>
    <w:rsid w:val="00F14443"/>
    <w:rsid w:val="00F15B9B"/>
    <w:rsid w:val="00F20519"/>
    <w:rsid w:val="00F4039E"/>
    <w:rsid w:val="00F538AD"/>
    <w:rsid w:val="00F7223A"/>
    <w:rsid w:val="00F9238E"/>
    <w:rsid w:val="00FC7A7B"/>
    <w:rsid w:val="00FD1138"/>
    <w:rsid w:val="00FD1A5E"/>
    <w:rsid w:val="00FD51AF"/>
    <w:rsid w:val="00FE72ED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F445"/>
  <w15:docId w15:val="{F10E25E1-ED45-48E3-ADD8-6D327673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F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A"/>
  </w:style>
  <w:style w:type="paragraph" w:styleId="Footer">
    <w:name w:val="footer"/>
    <w:basedOn w:val="Normal"/>
    <w:link w:val="FooterChar"/>
    <w:uiPriority w:val="99"/>
    <w:unhideWhenUsed/>
    <w:rsid w:val="00924F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2A"/>
  </w:style>
  <w:style w:type="paragraph" w:styleId="BalloonText">
    <w:name w:val="Balloon Text"/>
    <w:basedOn w:val="Normal"/>
    <w:link w:val="BalloonTextChar"/>
    <w:uiPriority w:val="99"/>
    <w:semiHidden/>
    <w:unhideWhenUsed/>
    <w:rsid w:val="0019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3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8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4A5E-E468-41AD-9C58-0D506494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8458</Words>
  <Characters>4822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TS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Zigmunds Dundurs</dc:creator>
  <cp:keywords/>
  <dc:description/>
  <cp:lastModifiedBy>Dace Šulmane</cp:lastModifiedBy>
  <cp:revision>4</cp:revision>
  <cp:lastPrinted>2021-09-29T11:26:00Z</cp:lastPrinted>
  <dcterms:created xsi:type="dcterms:W3CDTF">2021-10-25T06:57:00Z</dcterms:created>
  <dcterms:modified xsi:type="dcterms:W3CDTF">2021-10-25T09:27:00Z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851827040</vt:i4>
  </property>
</Properties>
</file>