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3A9FB" w14:textId="4E6A7057" w:rsidR="004C4D88" w:rsidRPr="00116983" w:rsidRDefault="00FB38D6" w:rsidP="00FB38D6">
      <w:pPr>
        <w:tabs>
          <w:tab w:val="left" w:pos="3960"/>
        </w:tabs>
        <w:spacing w:line="276" w:lineRule="auto"/>
        <w:jc w:val="both"/>
        <w:rPr>
          <w:szCs w:val="24"/>
          <w:lang w:val="cs-CZ"/>
        </w:rPr>
      </w:pPr>
      <w:r w:rsidRPr="00116983">
        <w:rPr>
          <w:noProof/>
          <w:sz w:val="26"/>
          <w:lang w:val="en-US" w:eastAsia="en-US"/>
        </w:rPr>
        <w:drawing>
          <wp:inline distT="0" distB="0" distL="0" distR="0" wp14:anchorId="5593DCCE" wp14:editId="422B959B">
            <wp:extent cx="5400040" cy="142754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427549"/>
                    </a:xfrm>
                    <a:prstGeom prst="rect">
                      <a:avLst/>
                    </a:prstGeom>
                  </pic:spPr>
                </pic:pic>
              </a:graphicData>
            </a:graphic>
          </wp:inline>
        </w:drawing>
      </w:r>
    </w:p>
    <w:p w14:paraId="7B58ED9B" w14:textId="6C4C0C78" w:rsidR="004C4D88" w:rsidRPr="00116983" w:rsidRDefault="004C4D88" w:rsidP="00D726BA">
      <w:pPr>
        <w:tabs>
          <w:tab w:val="left" w:pos="3960"/>
        </w:tabs>
        <w:spacing w:line="276" w:lineRule="auto"/>
        <w:jc w:val="center"/>
        <w:rPr>
          <w:szCs w:val="24"/>
        </w:rPr>
      </w:pPr>
      <w:r w:rsidRPr="00116983">
        <w:rPr>
          <w:szCs w:val="24"/>
        </w:rPr>
        <w:t>Rīgā</w:t>
      </w:r>
    </w:p>
    <w:p w14:paraId="4763F54A" w14:textId="6FA7CC4E" w:rsidR="00ED243D" w:rsidRPr="00D726BA" w:rsidRDefault="00CE0E07" w:rsidP="00ED243D">
      <w:pPr>
        <w:spacing w:line="276" w:lineRule="auto"/>
        <w:jc w:val="both"/>
        <w:rPr>
          <w:szCs w:val="24"/>
        </w:rPr>
      </w:pPr>
      <w:r>
        <w:rPr>
          <w:szCs w:val="24"/>
        </w:rPr>
        <w:t>1</w:t>
      </w:r>
      <w:r w:rsidR="00D62185">
        <w:rPr>
          <w:szCs w:val="24"/>
        </w:rPr>
        <w:t>3</w:t>
      </w:r>
      <w:r w:rsidR="00ED243D" w:rsidRPr="00D726BA">
        <w:rPr>
          <w:szCs w:val="24"/>
        </w:rPr>
        <w:t>.0</w:t>
      </w:r>
      <w:r w:rsidR="00ED243D">
        <w:rPr>
          <w:szCs w:val="24"/>
        </w:rPr>
        <w:t>5</w:t>
      </w:r>
      <w:r w:rsidR="00ED243D" w:rsidRPr="00D726BA">
        <w:rPr>
          <w:szCs w:val="24"/>
        </w:rPr>
        <w:t>.2024. Nr. </w:t>
      </w:r>
      <w:r w:rsidR="00ED243D" w:rsidRPr="00D912FA">
        <w:rPr>
          <w:szCs w:val="24"/>
        </w:rPr>
        <w:t>13-3/</w:t>
      </w:r>
      <w:r w:rsidR="00AC44AE" w:rsidRPr="00D912FA">
        <w:rPr>
          <w:szCs w:val="24"/>
        </w:rPr>
        <w:t>614</w:t>
      </w:r>
      <w:r w:rsidR="00ED243D" w:rsidRPr="00D912FA">
        <w:rPr>
          <w:szCs w:val="24"/>
        </w:rPr>
        <w:t>nos</w:t>
      </w:r>
    </w:p>
    <w:p w14:paraId="43014CD4" w14:textId="77777777" w:rsidR="005D47BE" w:rsidRPr="00116983" w:rsidRDefault="005D47BE" w:rsidP="00ED243D">
      <w:pPr>
        <w:tabs>
          <w:tab w:val="left" w:pos="3960"/>
        </w:tabs>
        <w:spacing w:line="276" w:lineRule="auto"/>
        <w:rPr>
          <w:szCs w:val="24"/>
        </w:rPr>
      </w:pPr>
    </w:p>
    <w:p w14:paraId="20836780" w14:textId="77777777" w:rsidR="005D47BE" w:rsidRPr="00116983" w:rsidRDefault="005D47BE" w:rsidP="00ED243D">
      <w:pPr>
        <w:tabs>
          <w:tab w:val="left" w:pos="3960"/>
        </w:tabs>
        <w:spacing w:line="276" w:lineRule="auto"/>
        <w:rPr>
          <w:szCs w:val="24"/>
        </w:rPr>
      </w:pPr>
    </w:p>
    <w:p w14:paraId="5D9F6DFF" w14:textId="77777777" w:rsidR="005D47BE" w:rsidRPr="00116983" w:rsidRDefault="005D47BE" w:rsidP="00D726BA">
      <w:pPr>
        <w:tabs>
          <w:tab w:val="left" w:pos="3960"/>
        </w:tabs>
        <w:spacing w:line="276" w:lineRule="auto"/>
        <w:jc w:val="right"/>
        <w:rPr>
          <w:b/>
          <w:szCs w:val="24"/>
        </w:rPr>
      </w:pPr>
      <w:r w:rsidRPr="00116983">
        <w:rPr>
          <w:b/>
          <w:szCs w:val="24"/>
        </w:rPr>
        <w:t xml:space="preserve">Saeimas Aizsardzības, iekšlietu </w:t>
      </w:r>
    </w:p>
    <w:p w14:paraId="5A1F7E6A" w14:textId="57D558D4" w:rsidR="004C4D88" w:rsidRPr="00116983" w:rsidRDefault="005D47BE" w:rsidP="00D726BA">
      <w:pPr>
        <w:tabs>
          <w:tab w:val="left" w:pos="3960"/>
        </w:tabs>
        <w:spacing w:line="276" w:lineRule="auto"/>
        <w:jc w:val="right"/>
        <w:rPr>
          <w:szCs w:val="24"/>
        </w:rPr>
      </w:pPr>
      <w:r w:rsidRPr="00116983">
        <w:rPr>
          <w:b/>
          <w:szCs w:val="24"/>
        </w:rPr>
        <w:t>un korupcijas novēršanas komisijai</w:t>
      </w:r>
    </w:p>
    <w:p w14:paraId="51BE47FB" w14:textId="77777777" w:rsidR="005D47BE" w:rsidRPr="00116983" w:rsidRDefault="005D47BE" w:rsidP="00FB38D6">
      <w:pPr>
        <w:contextualSpacing/>
        <w:jc w:val="both"/>
        <w:rPr>
          <w:i/>
          <w:iCs/>
        </w:rPr>
      </w:pPr>
    </w:p>
    <w:p w14:paraId="60037D97" w14:textId="1115BFA5" w:rsidR="005D47BE" w:rsidRPr="00116983" w:rsidRDefault="005D47BE" w:rsidP="00FB38D6">
      <w:pPr>
        <w:contextualSpacing/>
        <w:jc w:val="both"/>
        <w:rPr>
          <w:i/>
          <w:iCs/>
        </w:rPr>
      </w:pPr>
    </w:p>
    <w:p w14:paraId="6E2B52AF" w14:textId="77777777" w:rsidR="005D47BE" w:rsidRPr="00116983" w:rsidRDefault="005D47BE" w:rsidP="00FB38D6">
      <w:pPr>
        <w:contextualSpacing/>
        <w:jc w:val="both"/>
        <w:rPr>
          <w:i/>
          <w:iCs/>
        </w:rPr>
      </w:pPr>
    </w:p>
    <w:p w14:paraId="04EF7854" w14:textId="57931D65" w:rsidR="00FB38D6" w:rsidRPr="00116983" w:rsidRDefault="00FB38D6" w:rsidP="00FB38D6">
      <w:pPr>
        <w:contextualSpacing/>
        <w:jc w:val="both"/>
        <w:rPr>
          <w:i/>
          <w:iCs/>
        </w:rPr>
      </w:pPr>
      <w:r w:rsidRPr="00116983">
        <w:rPr>
          <w:i/>
          <w:iCs/>
        </w:rPr>
        <w:t xml:space="preserve">Par </w:t>
      </w:r>
      <w:r w:rsidR="00116983">
        <w:rPr>
          <w:i/>
          <w:iCs/>
        </w:rPr>
        <w:t xml:space="preserve">priekšlikumiem </w:t>
      </w:r>
      <w:r w:rsidR="009009EF" w:rsidRPr="00116983">
        <w:rPr>
          <w:i/>
          <w:iCs/>
        </w:rPr>
        <w:t xml:space="preserve">grozījumiem likumā </w:t>
      </w:r>
      <w:r w:rsidR="00817D00">
        <w:rPr>
          <w:i/>
          <w:iCs/>
        </w:rPr>
        <w:t>„</w:t>
      </w:r>
      <w:r w:rsidR="009009EF" w:rsidRPr="00116983">
        <w:rPr>
          <w:i/>
          <w:iCs/>
        </w:rPr>
        <w:t>Par valsts noslēpumu”</w:t>
      </w:r>
    </w:p>
    <w:p w14:paraId="6E06A0AB" w14:textId="77777777" w:rsidR="005D47BE" w:rsidRPr="00116983" w:rsidRDefault="005D47BE" w:rsidP="00FB38D6">
      <w:pPr>
        <w:contextualSpacing/>
        <w:jc w:val="both"/>
        <w:rPr>
          <w:i/>
          <w:iCs/>
          <w:szCs w:val="24"/>
        </w:rPr>
      </w:pPr>
    </w:p>
    <w:p w14:paraId="11656118" w14:textId="7D894E85" w:rsidR="00FD53A8" w:rsidRPr="00116983" w:rsidRDefault="005D47BE" w:rsidP="001A7AD1">
      <w:pPr>
        <w:ind w:firstLine="720"/>
        <w:jc w:val="both"/>
      </w:pPr>
      <w:r w:rsidRPr="00116983">
        <w:t xml:space="preserve"> </w:t>
      </w:r>
      <w:r w:rsidR="005539EF" w:rsidRPr="00116983">
        <w:t>[1] </w:t>
      </w:r>
      <w:r w:rsidR="00AF4809" w:rsidRPr="00116983">
        <w:t xml:space="preserve">Saeimas Aizsardzības, iekšlietu un korupcijas novēršanas komisijas </w:t>
      </w:r>
      <w:r w:rsidR="00D1278D" w:rsidRPr="00116983">
        <w:t xml:space="preserve">(turpmāk – komisija) </w:t>
      </w:r>
      <w:r w:rsidR="00AF4809" w:rsidRPr="00116983">
        <w:t>2024.</w:t>
      </w:r>
      <w:r w:rsidR="00EC24D2" w:rsidRPr="00116983">
        <w:t> </w:t>
      </w:r>
      <w:r w:rsidR="00AF4809" w:rsidRPr="00116983">
        <w:t>gada 8.</w:t>
      </w:r>
      <w:r w:rsidR="00EC24D2" w:rsidRPr="00116983">
        <w:t> </w:t>
      </w:r>
      <w:r w:rsidR="00AF4809" w:rsidRPr="00116983">
        <w:t>maija sēdē</w:t>
      </w:r>
      <w:r w:rsidR="00B1577D" w:rsidRPr="00116983">
        <w:t xml:space="preserve"> tika izskatīti </w:t>
      </w:r>
      <w:r w:rsidR="000E6EAB" w:rsidRPr="00116983">
        <w:t xml:space="preserve">priekšlikumi </w:t>
      </w:r>
      <w:r w:rsidR="00D1278D" w:rsidRPr="00116983">
        <w:t>grozījumi</w:t>
      </w:r>
      <w:r w:rsidR="000E6EAB" w:rsidRPr="00116983">
        <w:t>em</w:t>
      </w:r>
      <w:r w:rsidR="00D1278D" w:rsidRPr="00116983">
        <w:t xml:space="preserve"> </w:t>
      </w:r>
      <w:r w:rsidR="00C051F6" w:rsidRPr="00116983">
        <w:t xml:space="preserve">likumā </w:t>
      </w:r>
      <w:r w:rsidR="00555FDF">
        <w:t>„</w:t>
      </w:r>
      <w:r w:rsidR="00C051F6" w:rsidRPr="00116983">
        <w:t>Par valsts noslēpumu”.</w:t>
      </w:r>
      <w:r w:rsidR="00E24258" w:rsidRPr="00116983">
        <w:t xml:space="preserve"> </w:t>
      </w:r>
      <w:r w:rsidR="00D1278D" w:rsidRPr="00116983">
        <w:t>Tieslietu padomes priekšsēdētājs ar 2024.</w:t>
      </w:r>
      <w:r w:rsidR="00116983">
        <w:t> </w:t>
      </w:r>
      <w:r w:rsidR="00D1278D" w:rsidRPr="00116983">
        <w:t>gada 7. </w:t>
      </w:r>
      <w:r w:rsidR="001A7AD1" w:rsidRPr="00116983">
        <w:t xml:space="preserve">maija </w:t>
      </w:r>
      <w:r w:rsidR="00D1278D" w:rsidRPr="00116983">
        <w:t xml:space="preserve">vēstuli </w:t>
      </w:r>
      <w:r w:rsidR="001A7AD1" w:rsidRPr="00116983">
        <w:t>Nr. 13-3/594nos</w:t>
      </w:r>
      <w:r w:rsidR="00D1278D" w:rsidRPr="00116983">
        <w:t xml:space="preserve"> ir informējis komisiju par Tieslietu padomes 2024. gada 26.</w:t>
      </w:r>
      <w:r w:rsidR="00116983">
        <w:t> </w:t>
      </w:r>
      <w:r w:rsidR="00D1278D" w:rsidRPr="00116983">
        <w:t xml:space="preserve">aprīlī sagatavošanas sēdē paustiem viedokļiem un iebildumiem pret </w:t>
      </w:r>
      <w:r w:rsidR="001A7AD1" w:rsidRPr="00116983">
        <w:t>ierosinājumu grozīt pastāvošo kārtību un tiesnešiem turpmākam darbam ar valsts noslēpumu pieprasīt tikai speciālo atļauju pieejai valsts noslēpumam.</w:t>
      </w:r>
    </w:p>
    <w:p w14:paraId="790096A5" w14:textId="2F75E9A2" w:rsidR="00872A58" w:rsidRPr="00116983" w:rsidRDefault="00C051F6" w:rsidP="00872A58">
      <w:pPr>
        <w:ind w:firstLine="720"/>
        <w:jc w:val="both"/>
      </w:pPr>
      <w:r w:rsidRPr="00116983">
        <w:t>T</w:t>
      </w:r>
      <w:r w:rsidR="00AF4809" w:rsidRPr="00116983">
        <w:t xml:space="preserve">urpinot starpinstitucionālo diskusiju par situācijas iespējamajiem risinājumiem, Tieslietu padome vērš uzmanību uz </w:t>
      </w:r>
      <w:r w:rsidR="00555FDF">
        <w:t xml:space="preserve">turpmāk norādītajiem </w:t>
      </w:r>
      <w:r w:rsidR="00AF4809" w:rsidRPr="00116983">
        <w:t>apsvērumiem</w:t>
      </w:r>
      <w:r w:rsidR="00555FDF">
        <w:t>.</w:t>
      </w:r>
    </w:p>
    <w:p w14:paraId="02589BDE" w14:textId="77777777" w:rsidR="008A3BA9" w:rsidRPr="00116983" w:rsidRDefault="008A3BA9" w:rsidP="00AF4809">
      <w:pPr>
        <w:ind w:firstLine="720"/>
        <w:jc w:val="both"/>
      </w:pPr>
    </w:p>
    <w:p w14:paraId="7E9D6DAF" w14:textId="60D173EF" w:rsidR="00AF4809" w:rsidRPr="00116983" w:rsidRDefault="00AF4809" w:rsidP="00872A58">
      <w:pPr>
        <w:ind w:firstLine="720"/>
        <w:jc w:val="both"/>
      </w:pPr>
      <w:r w:rsidRPr="00116983">
        <w:t>[2] </w:t>
      </w:r>
      <w:r w:rsidR="00872A58" w:rsidRPr="00116983">
        <w:t xml:space="preserve">Prasība tiesnešiem saņemt speciālo atļauju pieejai valsts noslēpumam </w:t>
      </w:r>
      <w:r w:rsidR="00FD53A8" w:rsidRPr="00116983">
        <w:t>nav izmantojama</w:t>
      </w:r>
      <w:r w:rsidR="00872A58" w:rsidRPr="00116983">
        <w:t xml:space="preserve"> kā tiesnešu lojalitātes apliecinājums. </w:t>
      </w:r>
      <w:r w:rsidRPr="00116983">
        <w:t xml:space="preserve">Tieslietu padome uzsver, ka tai nav šaubu par Latvijas tiesnešu lojalitāti valstij un spēju nepieciešamības gadījumā saņemt arī </w:t>
      </w:r>
      <w:r w:rsidR="00C051F6" w:rsidRPr="00116983">
        <w:t xml:space="preserve">speciālo atļauju pieejai </w:t>
      </w:r>
      <w:r w:rsidRPr="00116983">
        <w:t xml:space="preserve">valsts noslēpumam. </w:t>
      </w:r>
      <w:r w:rsidR="00FD53A8" w:rsidRPr="00116983">
        <w:t>Informācija un pierādījumi, kas apliecinātu pretējo, nav saņemta ne no kompetentajām iestādēm, ne no citiem avotiem.</w:t>
      </w:r>
    </w:p>
    <w:p w14:paraId="13E8866C" w14:textId="317C320B" w:rsidR="00872A58" w:rsidRPr="00116983" w:rsidRDefault="00872A58" w:rsidP="00872A58">
      <w:pPr>
        <w:ind w:firstLine="720"/>
        <w:jc w:val="both"/>
      </w:pPr>
      <w:r w:rsidRPr="00116983">
        <w:t xml:space="preserve">Tiesnešu darbs var tikt vērtēts un arī kritizēts sabiedriskās diskusijas ietvaros. Savukārt visas šaubas par tiesnešu lojalitāti, neatkarību un objektivitāti demokrātiskā tiesiskā valstī ir </w:t>
      </w:r>
      <w:r w:rsidR="00FD53A8" w:rsidRPr="00116983">
        <w:t xml:space="preserve">paužamas </w:t>
      </w:r>
      <w:r w:rsidRPr="00116983">
        <w:t xml:space="preserve">un izvērtējamas vienīgi tam īpaši </w:t>
      </w:r>
      <w:r w:rsidR="00FD53A8" w:rsidRPr="00116983">
        <w:t xml:space="preserve">izveidoto tiesisko </w:t>
      </w:r>
      <w:r w:rsidRPr="00116983">
        <w:t>mehānismu ietvaros</w:t>
      </w:r>
      <w:r w:rsidR="00820FFA" w:rsidRPr="00116983">
        <w:t>: tiesneša noraidīšana, tiesneša atstatīšanās, tiesneša disciplinārā atbildība</w:t>
      </w:r>
      <w:r w:rsidR="00782BB5" w:rsidRPr="00116983">
        <w:t xml:space="preserve"> un</w:t>
      </w:r>
      <w:r w:rsidR="00FD53A8" w:rsidRPr="00116983">
        <w:t xml:space="preserve"> kriminālatbildība</w:t>
      </w:r>
      <w:r w:rsidRPr="00116983">
        <w:t xml:space="preserve">. </w:t>
      </w:r>
      <w:r w:rsidR="00EB08EA" w:rsidRPr="00116983">
        <w:t>Tiesnešu korpusa lojalitātes apšaubīšana</w:t>
      </w:r>
      <w:r w:rsidRPr="00116983">
        <w:t xml:space="preserve">, abstrakti apsvērumi un </w:t>
      </w:r>
      <w:r w:rsidR="00970E78" w:rsidRPr="00116983">
        <w:t>hipotētiski</w:t>
      </w:r>
      <w:r w:rsidR="000E6EAB" w:rsidRPr="00116983">
        <w:t xml:space="preserve"> </w:t>
      </w:r>
      <w:r w:rsidRPr="00116983">
        <w:t>pieņēmumi par lojalitātes riskiem</w:t>
      </w:r>
      <w:r w:rsidR="00970E78" w:rsidRPr="00116983">
        <w:t xml:space="preserve"> </w:t>
      </w:r>
      <w:r w:rsidRPr="00116983">
        <w:t xml:space="preserve">rada bažas par tiesu varas </w:t>
      </w:r>
      <w:r w:rsidR="003173E1" w:rsidRPr="00116983">
        <w:t>ietekmēšanas mēģinājumiem</w:t>
      </w:r>
      <w:r w:rsidRPr="00116983">
        <w:t xml:space="preserve">, kā arī par demokrātiskās valstīs atzīto vērtību </w:t>
      </w:r>
      <w:r w:rsidR="003173E1" w:rsidRPr="00116983">
        <w:t>aizsardzīb</w:t>
      </w:r>
      <w:r w:rsidR="00D77654" w:rsidRPr="00116983">
        <w:t>u</w:t>
      </w:r>
      <w:r w:rsidRPr="00116983">
        <w:t xml:space="preserve">. </w:t>
      </w:r>
      <w:r w:rsidR="00970E78" w:rsidRPr="00116983">
        <w:t>Tas pats</w:t>
      </w:r>
      <w:r w:rsidR="00782BB5" w:rsidRPr="00116983">
        <w:t xml:space="preserve"> </w:t>
      </w:r>
      <w:r w:rsidR="003173E1" w:rsidRPr="00116983">
        <w:t>attiec</w:t>
      </w:r>
      <w:r w:rsidR="00D77654" w:rsidRPr="00116983">
        <w:t>ināms</w:t>
      </w:r>
      <w:r w:rsidR="003173E1" w:rsidRPr="00116983">
        <w:t xml:space="preserve"> </w:t>
      </w:r>
      <w:r w:rsidR="00782BB5" w:rsidRPr="00116983">
        <w:t xml:space="preserve">arī </w:t>
      </w:r>
      <w:r w:rsidR="003173E1" w:rsidRPr="00116983">
        <w:t xml:space="preserve">uz konkrēta tiesneša lojalitātes apšaubīšanu, balstoties </w:t>
      </w:r>
      <w:r w:rsidR="00782BB5" w:rsidRPr="00116983">
        <w:t>vienīgi</w:t>
      </w:r>
      <w:r w:rsidR="003173E1" w:rsidRPr="00116983">
        <w:t xml:space="preserve"> uz tādu tiesneša privātās dzīves faktu publiskošanu, kas</w:t>
      </w:r>
      <w:r w:rsidR="00970E78" w:rsidRPr="00116983">
        <w:t xml:space="preserve"> paši par sevi</w:t>
      </w:r>
      <w:r w:rsidR="003173E1" w:rsidRPr="00116983">
        <w:t xml:space="preserve"> nepierāda tiesneša nelojālu attieksmi pret valsti. </w:t>
      </w:r>
      <w:r w:rsidRPr="00116983">
        <w:t xml:space="preserve">Īpaši uzmanīgiem ar šādiem izteikumiem vajadzētu būt politiķiem un amatpersonām, kas </w:t>
      </w:r>
      <w:r w:rsidR="00FD53A8" w:rsidRPr="00116983">
        <w:t xml:space="preserve">bez konkrētiem pierādījumiem </w:t>
      </w:r>
      <w:r w:rsidRPr="00116983">
        <w:t xml:space="preserve">apšaubot tiesu varas profesionalitāti un lojalitāti, </w:t>
      </w:r>
      <w:r w:rsidR="00970E78" w:rsidRPr="00116983">
        <w:t xml:space="preserve">var kaitēt </w:t>
      </w:r>
      <w:r w:rsidRPr="00116983">
        <w:t>arī valsts drošībai un demokrātiskai iekārtai.</w:t>
      </w:r>
    </w:p>
    <w:p w14:paraId="5B5A1CA2" w14:textId="77777777" w:rsidR="00D14AFD" w:rsidRPr="00116983" w:rsidRDefault="00D14AFD" w:rsidP="00872A58">
      <w:pPr>
        <w:ind w:firstLine="720"/>
        <w:jc w:val="both"/>
      </w:pPr>
    </w:p>
    <w:p w14:paraId="25D0D48E" w14:textId="2F933B85" w:rsidR="00AF4809" w:rsidRPr="00116983" w:rsidRDefault="00AF4809" w:rsidP="00AF4809">
      <w:pPr>
        <w:ind w:firstLine="720"/>
        <w:jc w:val="both"/>
      </w:pPr>
      <w:r w:rsidRPr="00116983">
        <w:t>[</w:t>
      </w:r>
      <w:r w:rsidR="003D45B5" w:rsidRPr="00116983">
        <w:t>3</w:t>
      </w:r>
      <w:r w:rsidRPr="00116983">
        <w:t>] </w:t>
      </w:r>
      <w:r w:rsidR="003173E1" w:rsidRPr="00116983">
        <w:t xml:space="preserve">Lai </w:t>
      </w:r>
      <w:r w:rsidR="003173E1" w:rsidRPr="007354A4">
        <w:t>gan</w:t>
      </w:r>
      <w:r w:rsidR="007354A4" w:rsidRPr="007354A4">
        <w:t xml:space="preserve"> priekšlikumā (</w:t>
      </w:r>
      <w:r w:rsidR="003173E1" w:rsidRPr="007354A4">
        <w:t>likumprojekta anotācijā</w:t>
      </w:r>
      <w:r w:rsidR="007354A4" w:rsidRPr="007354A4">
        <w:t>)</w:t>
      </w:r>
      <w:r w:rsidR="003173E1" w:rsidRPr="00116983">
        <w:t xml:space="preserve"> tas nav tieši </w:t>
      </w:r>
      <w:r w:rsidR="00782BB5" w:rsidRPr="00116983">
        <w:t>norādīts</w:t>
      </w:r>
      <w:r w:rsidR="003173E1" w:rsidRPr="00116983">
        <w:t xml:space="preserve">, no līdzšinējām diskusijām </w:t>
      </w:r>
      <w:r w:rsidR="00D77654" w:rsidRPr="00116983">
        <w:t>izriet</w:t>
      </w:r>
      <w:r w:rsidR="003173E1" w:rsidRPr="00116983">
        <w:t xml:space="preserve">, ka </w:t>
      </w:r>
      <w:r w:rsidR="00AB7593">
        <w:t>priekšlikuma</w:t>
      </w:r>
      <w:r w:rsidR="007354A4">
        <w:t xml:space="preserve"> </w:t>
      </w:r>
      <w:r w:rsidRPr="00116983">
        <w:t xml:space="preserve">pamatā ir </w:t>
      </w:r>
      <w:r w:rsidR="00BB396B" w:rsidRPr="00116983">
        <w:t>tiesu varai adresētā kritika</w:t>
      </w:r>
      <w:r w:rsidRPr="00116983">
        <w:t xml:space="preserve"> par </w:t>
      </w:r>
      <w:r w:rsidR="00FD53A8" w:rsidRPr="00116983">
        <w:t xml:space="preserve">it kā </w:t>
      </w:r>
      <w:r w:rsidRPr="00116983">
        <w:t xml:space="preserve">pārlieku maigiem spriedumiem vai </w:t>
      </w:r>
      <w:r w:rsidR="00FD53A8" w:rsidRPr="00116983">
        <w:t xml:space="preserve">pārlieku maigu </w:t>
      </w:r>
      <w:r w:rsidRPr="00116983">
        <w:t xml:space="preserve">drošības līdzekļu piemērošanu krimināllietās, kas </w:t>
      </w:r>
      <w:r w:rsidR="006758BD" w:rsidRPr="00116983">
        <w:t>saistītas</w:t>
      </w:r>
      <w:r w:rsidRPr="00116983">
        <w:t xml:space="preserve"> ar valsts drošības interešu apdraudējumu.</w:t>
      </w:r>
    </w:p>
    <w:p w14:paraId="7657BD61" w14:textId="3C7EB02C" w:rsidR="00BB396B" w:rsidRPr="00116983" w:rsidRDefault="00AF4809" w:rsidP="003D45B5">
      <w:pPr>
        <w:ind w:firstLine="709"/>
        <w:jc w:val="both"/>
      </w:pPr>
      <w:r w:rsidRPr="00116983">
        <w:lastRenderedPageBreak/>
        <w:t>Tiesu vara apzinās aktuālo ģeopolitisko situāciju,</w:t>
      </w:r>
      <w:r w:rsidR="006758BD" w:rsidRPr="00116983">
        <w:t xml:space="preserve"> kā arī</w:t>
      </w:r>
      <w:r w:rsidRPr="00116983">
        <w:t xml:space="preserve"> nepieciešamību aizsargāt nacionālās drošības intereses. </w:t>
      </w:r>
      <w:r w:rsidR="00971A22">
        <w:t>T</w:t>
      </w:r>
      <w:r w:rsidRPr="00116983">
        <w:t xml:space="preserve">iesu vara </w:t>
      </w:r>
      <w:r w:rsidR="003D45B5" w:rsidRPr="00116983">
        <w:t>gan patstāvīgi</w:t>
      </w:r>
      <w:r w:rsidR="00970E78" w:rsidRPr="00116983">
        <w:t xml:space="preserve"> risina šos jautājumus ar tai pieejamajiem līdzekļiem</w:t>
      </w:r>
      <w:r w:rsidR="003D45B5" w:rsidRPr="00116983">
        <w:t>,</w:t>
      </w:r>
      <w:r w:rsidR="00970E78" w:rsidRPr="00116983">
        <w:t xml:space="preserve"> </w:t>
      </w:r>
      <w:r w:rsidR="006F2A68">
        <w:t xml:space="preserve">gan </w:t>
      </w:r>
      <w:r w:rsidR="000E6EAB" w:rsidRPr="00116983">
        <w:t>tostarp</w:t>
      </w:r>
      <w:r w:rsidR="006F2A68">
        <w:t xml:space="preserve"> </w:t>
      </w:r>
      <w:r w:rsidRPr="00116983">
        <w:t xml:space="preserve">sadarbībā ar Satversmes aizsardzības biroju un Valsts drošības dienestu organizē </w:t>
      </w:r>
      <w:r w:rsidR="008E7803" w:rsidRPr="00116983">
        <w:t xml:space="preserve">ar tiesnešu dalību </w:t>
      </w:r>
      <w:r w:rsidRPr="00116983">
        <w:t xml:space="preserve">pasākumus, kuros tiek </w:t>
      </w:r>
      <w:r w:rsidR="007F6AE8" w:rsidRPr="00116983">
        <w:t>aktualizēti ar valsts drošību saistīti jautājumi.</w:t>
      </w:r>
    </w:p>
    <w:p w14:paraId="2DACD1E1" w14:textId="044E972C" w:rsidR="007F6AE8" w:rsidRPr="00116983" w:rsidRDefault="003173E1" w:rsidP="003D45B5">
      <w:pPr>
        <w:ind w:firstLine="720"/>
        <w:jc w:val="both"/>
      </w:pPr>
      <w:r w:rsidRPr="00116983">
        <w:t>Nedrīkst aizmirst arī</w:t>
      </w:r>
      <w:r w:rsidR="005F44DD" w:rsidRPr="00116983">
        <w:t xml:space="preserve"> to</w:t>
      </w:r>
      <w:r w:rsidRPr="00116983">
        <w:t xml:space="preserve">, ka </w:t>
      </w:r>
      <w:r w:rsidR="007F6AE8" w:rsidRPr="00116983">
        <w:t xml:space="preserve">tiesām ir pienākums līdzsvarot valsts drošības aizsardzības intereses ar pienācīgu cilvēktiesību aizsardzības principu </w:t>
      </w:r>
      <w:r w:rsidR="003D45B5" w:rsidRPr="00116983">
        <w:t>ievērošanu</w:t>
      </w:r>
      <w:r w:rsidR="007F6AE8" w:rsidRPr="00116983">
        <w:t xml:space="preserve">. </w:t>
      </w:r>
      <w:r w:rsidRPr="00116983">
        <w:t xml:space="preserve">Tā ir viena no tiesas pamatfunkcijām demokrātiskā tiesiskā valstī. </w:t>
      </w:r>
      <w:r w:rsidR="00AB7593">
        <w:t>P</w:t>
      </w:r>
      <w:r w:rsidR="007F6AE8" w:rsidRPr="00116983">
        <w:t>ienācīgs ties</w:t>
      </w:r>
      <w:r w:rsidR="006F2A68">
        <w:t>as</w:t>
      </w:r>
      <w:r w:rsidR="007F6AE8" w:rsidRPr="00116983">
        <w:t xml:space="preserve"> process un cilvēktiesību aizsardzība ir tas, kas </w:t>
      </w:r>
      <w:r w:rsidR="006F2A68">
        <w:t>mūsu</w:t>
      </w:r>
      <w:r w:rsidR="007F6AE8" w:rsidRPr="00116983">
        <w:t xml:space="preserve"> valsti atšķir no valstīm ar apšaubāmām demokrātijas vērtībām un tiesiskuma tradīcijām.</w:t>
      </w:r>
    </w:p>
    <w:p w14:paraId="0EEF6EC7" w14:textId="77777777" w:rsidR="00AF4809" w:rsidRPr="00116983" w:rsidRDefault="00AF4809" w:rsidP="00AF4809">
      <w:pPr>
        <w:ind w:firstLine="720"/>
        <w:jc w:val="both"/>
      </w:pPr>
    </w:p>
    <w:p w14:paraId="3920C117" w14:textId="792EB96E" w:rsidR="003173E1" w:rsidRPr="00116983" w:rsidRDefault="00AF4809" w:rsidP="00C36C50">
      <w:pPr>
        <w:ind w:firstLine="720"/>
        <w:jc w:val="both"/>
      </w:pPr>
      <w:r w:rsidRPr="00116983">
        <w:t>[</w:t>
      </w:r>
      <w:r w:rsidR="00D77654" w:rsidRPr="00116983">
        <w:t>4</w:t>
      </w:r>
      <w:r w:rsidRPr="00116983">
        <w:t>] </w:t>
      </w:r>
      <w:r w:rsidR="003D45B5" w:rsidRPr="00116983">
        <w:t xml:space="preserve"> Tiesnešu pieeja valsts noslēpumam un tiesības to izmantot savas kompetences ietvaros ir noteiktas likuma „Par valsts noslēpumu” 12. panta piektajā daļā. Šāda kārtība pēc būtības ir spēkā jau kopš likuma „Par valsts noslēpumu” spēkā stāšanās 1997. gadā.</w:t>
      </w:r>
    </w:p>
    <w:p w14:paraId="3D4789BB" w14:textId="3877CCB4" w:rsidR="003173E1" w:rsidRPr="00116983" w:rsidRDefault="00D62424" w:rsidP="005F44DD">
      <w:pPr>
        <w:ind w:firstLine="720"/>
        <w:jc w:val="both"/>
      </w:pPr>
      <w:r w:rsidRPr="00116983">
        <w:t>M</w:t>
      </w:r>
      <w:r w:rsidR="005F44DD" w:rsidRPr="00116983">
        <w:t>inētā kārtība</w:t>
      </w:r>
      <w:r w:rsidRPr="00116983">
        <w:t xml:space="preserve"> </w:t>
      </w:r>
      <w:r w:rsidR="003173E1" w:rsidRPr="00116983">
        <w:t xml:space="preserve">vienmēr </w:t>
      </w:r>
      <w:r w:rsidR="005F44DD" w:rsidRPr="00116983">
        <w:t xml:space="preserve">ir </w:t>
      </w:r>
      <w:r w:rsidR="003173E1" w:rsidRPr="00116983">
        <w:t>darbojusies, un tā nekad nav radījusi problēmas. Tā nosaka īpašu procedūru valsts noslēpuma aizsardzībai gadījumā, ja l</w:t>
      </w:r>
      <w:r w:rsidR="00D77654" w:rsidRPr="00116983">
        <w:t>ietu skata tiesnesis, kuram nav izsniegta</w:t>
      </w:r>
      <w:r w:rsidR="003173E1" w:rsidRPr="00116983">
        <w:t xml:space="preserve"> </w:t>
      </w:r>
      <w:r w:rsidR="005F44DD" w:rsidRPr="00116983">
        <w:t>speciāla atļauja pieejai</w:t>
      </w:r>
      <w:r w:rsidR="003173E1" w:rsidRPr="00116983">
        <w:t xml:space="preserve"> valsts noslēpumam.</w:t>
      </w:r>
      <w:r w:rsidR="00CC0A68">
        <w:t xml:space="preserve"> </w:t>
      </w:r>
      <w:r w:rsidR="00D77654" w:rsidRPr="00116983">
        <w:t xml:space="preserve">Nav </w:t>
      </w:r>
      <w:r w:rsidR="003173E1" w:rsidRPr="00116983">
        <w:t>zi</w:t>
      </w:r>
      <w:r w:rsidR="005F44DD" w:rsidRPr="00116983">
        <w:t>ņu par</w:t>
      </w:r>
      <w:r w:rsidR="00CC0A68">
        <w:t xml:space="preserve"> </w:t>
      </w:r>
      <w:r w:rsidR="005F44DD" w:rsidRPr="00116983">
        <w:t>g</w:t>
      </w:r>
      <w:r w:rsidRPr="00116983">
        <w:t>ad</w:t>
      </w:r>
      <w:r w:rsidR="003173E1" w:rsidRPr="00116983">
        <w:t>ījum</w:t>
      </w:r>
      <w:r w:rsidR="005F44DD" w:rsidRPr="00116983">
        <w:t>iem</w:t>
      </w:r>
      <w:r w:rsidR="003173E1" w:rsidRPr="00116983">
        <w:t xml:space="preserve">, kad tiesnesis būtu saukts pie atbildības par valsts noslēpuma aizsardzības pārkāpumu, kas radies šajā procesā. </w:t>
      </w:r>
      <w:r w:rsidR="00D77654" w:rsidRPr="00116983">
        <w:t>V</w:t>
      </w:r>
      <w:r w:rsidR="005F44DD" w:rsidRPr="00116983">
        <w:t xml:space="preserve">ienīgais gadījums, kad pret tiesnesi </w:t>
      </w:r>
      <w:r w:rsidR="006F2A68">
        <w:t xml:space="preserve">ir </w:t>
      </w:r>
      <w:r w:rsidR="005F44DD" w:rsidRPr="00116983">
        <w:t>ti</w:t>
      </w:r>
      <w:r w:rsidR="006F2A68">
        <w:t>cis</w:t>
      </w:r>
      <w:r w:rsidR="005F44DD" w:rsidRPr="00116983">
        <w:t xml:space="preserve"> ierosināts kriminālprocess par valsts noslēpuma izpaušanu, bija </w:t>
      </w:r>
      <w:r w:rsidR="000E6EAB" w:rsidRPr="00116983">
        <w:t>2015. </w:t>
      </w:r>
      <w:r w:rsidR="005F44DD" w:rsidRPr="00116983">
        <w:t xml:space="preserve">gadā, </w:t>
      </w:r>
      <w:r w:rsidR="001A7AD1" w:rsidRPr="00116983">
        <w:t xml:space="preserve">turklāt </w:t>
      </w:r>
      <w:r w:rsidR="005F44DD" w:rsidRPr="00116983">
        <w:t xml:space="preserve">tiesnesis bija saņēmis </w:t>
      </w:r>
      <w:r w:rsidRPr="00116983">
        <w:t>speciālo atļauju</w:t>
      </w:r>
      <w:r w:rsidR="00D77654" w:rsidRPr="00116983">
        <w:t xml:space="preserve"> darbam ar valsts noslēpumu</w:t>
      </w:r>
      <w:r w:rsidR="005F44DD" w:rsidRPr="00116983">
        <w:t>.</w:t>
      </w:r>
    </w:p>
    <w:p w14:paraId="6FAAB445" w14:textId="62DB016B" w:rsidR="005F44DD" w:rsidRPr="00116983" w:rsidRDefault="003D45B5" w:rsidP="00C36C50">
      <w:pPr>
        <w:ind w:firstLine="720"/>
        <w:jc w:val="both"/>
      </w:pPr>
      <w:r w:rsidRPr="00116983">
        <w:t xml:space="preserve">Tieslietu padome šobrīd nesaskata pamatu </w:t>
      </w:r>
      <w:r w:rsidR="00D62424" w:rsidRPr="00116983">
        <w:t xml:space="preserve">spēkā esošās </w:t>
      </w:r>
      <w:r w:rsidRPr="00116983">
        <w:t xml:space="preserve">kārtības pārskatīšanai, proti, nav konstatējami nedz valsts noslēpuma noplūšanas gadījumi tiesvedības procesos, nedz sistēmiski pārkāpumi tiesnešu darbā ar valsts noslēpumu saistītu lietu izskatīšanā. </w:t>
      </w:r>
    </w:p>
    <w:p w14:paraId="70737950" w14:textId="77777777" w:rsidR="00D62424" w:rsidRPr="00116983" w:rsidRDefault="00D62424" w:rsidP="00C36C50">
      <w:pPr>
        <w:ind w:firstLine="720"/>
        <w:jc w:val="both"/>
      </w:pPr>
    </w:p>
    <w:p w14:paraId="02EF97FA" w14:textId="00275932" w:rsidR="00121F79" w:rsidRPr="00116983" w:rsidRDefault="00D77654" w:rsidP="00D77654">
      <w:pPr>
        <w:ind w:firstLine="720"/>
        <w:jc w:val="both"/>
      </w:pPr>
      <w:r w:rsidRPr="00116983">
        <w:t>[5] </w:t>
      </w:r>
      <w:r w:rsidR="003A25C2" w:rsidRPr="00116983">
        <w:t xml:space="preserve">No likuma </w:t>
      </w:r>
      <w:r w:rsidR="006F2A68">
        <w:t>„</w:t>
      </w:r>
      <w:r w:rsidR="003A25C2" w:rsidRPr="00116983">
        <w:t xml:space="preserve">Par valsts noslēpumu” sistēmas izriet, ka </w:t>
      </w:r>
      <w:r w:rsidR="00CC0A68">
        <w:t xml:space="preserve">iepriekš </w:t>
      </w:r>
      <w:r w:rsidR="003A25C2" w:rsidRPr="00116983">
        <w:t xml:space="preserve">minētā norma ir izņēmums no vispārējās kārtības par speciālās atļaujas </w:t>
      </w:r>
      <w:r w:rsidR="00C36C50" w:rsidRPr="00116983">
        <w:t xml:space="preserve">pieejai valsts noslēpumam </w:t>
      </w:r>
      <w:r w:rsidR="003A25C2" w:rsidRPr="00116983">
        <w:t xml:space="preserve">saņemšanu. </w:t>
      </w:r>
      <w:r w:rsidR="003D45B5" w:rsidRPr="00116983">
        <w:t>Vienlaikus jau šobrīd tiesās ir vairāki tiesne</w:t>
      </w:r>
      <w:r w:rsidR="00C36C50" w:rsidRPr="00116983">
        <w:t>š</w:t>
      </w:r>
      <w:r w:rsidR="003D45B5" w:rsidRPr="00116983">
        <w:t xml:space="preserve">i, kuriem ir </w:t>
      </w:r>
      <w:r w:rsidR="003A25C2" w:rsidRPr="00116983">
        <w:t xml:space="preserve">izsniegtas </w:t>
      </w:r>
      <w:r w:rsidR="003D45B5" w:rsidRPr="00116983">
        <w:t>speciālās atļaujas pieejai valsts noslēpumam.</w:t>
      </w:r>
      <w:r w:rsidR="00D62424" w:rsidRPr="00116983">
        <w:t xml:space="preserve"> </w:t>
      </w:r>
      <w:r w:rsidR="003D45B5" w:rsidRPr="00116983">
        <w:t xml:space="preserve">Līdz ar to </w:t>
      </w:r>
      <w:r w:rsidR="003A25C2" w:rsidRPr="00116983">
        <w:t>speciālās atļaujas saņemšana vai likuma „Par valsts noslēpumu” 12. panta piektās daļas piemērošana ir tiesu darba organizācijas jautājum</w:t>
      </w:r>
      <w:r w:rsidR="00E24258" w:rsidRPr="00116983">
        <w:t>s</w:t>
      </w:r>
      <w:r w:rsidR="00C36C50" w:rsidRPr="00116983">
        <w:t xml:space="preserve">. </w:t>
      </w:r>
      <w:r w:rsidRPr="00116983">
        <w:t xml:space="preserve">Vienlaikus likuma „Par valsts noslēpumu” 12. panta piektās daļas piemērošana ļauj operatīvi reaģēt un </w:t>
      </w:r>
      <w:r w:rsidR="00B24DB8" w:rsidRPr="00116983">
        <w:t>nodrošināt tiesas spriešanas funkciju un nepārtrauktu lietu izskatīšanu gadījumos, kad lietā tiek iekļauti materiāli, kas satur valsts noslēpuma objektus.</w:t>
      </w:r>
    </w:p>
    <w:p w14:paraId="0455B0E2" w14:textId="23BD0544" w:rsidR="003D45B5" w:rsidRPr="00116983" w:rsidRDefault="003D45B5" w:rsidP="003D45B5">
      <w:pPr>
        <w:ind w:firstLine="720"/>
        <w:jc w:val="both"/>
      </w:pPr>
    </w:p>
    <w:p w14:paraId="57B69B72" w14:textId="531F1486" w:rsidR="00AF4809" w:rsidRPr="00116983" w:rsidRDefault="00E24258" w:rsidP="00AF4809">
      <w:pPr>
        <w:ind w:firstLine="720"/>
        <w:jc w:val="both"/>
      </w:pPr>
      <w:r w:rsidRPr="00116983">
        <w:t>[6] </w:t>
      </w:r>
      <w:r w:rsidR="00CF33EB" w:rsidRPr="00116983">
        <w:t>Situācijā, kurā sabiedrisk</w:t>
      </w:r>
      <w:r w:rsidR="00EC24D2" w:rsidRPr="00116983">
        <w:t xml:space="preserve">ās diskusijas krustugunīs </w:t>
      </w:r>
      <w:r w:rsidR="00CF33EB" w:rsidRPr="00116983">
        <w:t xml:space="preserve">tiek apspriesti maigi sodi vai drošības līdzekļu piemērošana krimināllietās, Tieslietu padome atgādina par likumdevēja </w:t>
      </w:r>
      <w:r w:rsidR="008A3BA9" w:rsidRPr="00116983">
        <w:t xml:space="preserve">plašo </w:t>
      </w:r>
      <w:r w:rsidR="00CF33EB" w:rsidRPr="00116983">
        <w:t xml:space="preserve">rīcības brīvību krimināltiesisko sankciju un kriminālprocesuālā regulējuma </w:t>
      </w:r>
      <w:r w:rsidR="00C36C50" w:rsidRPr="00116983">
        <w:t>pilnveidošanā</w:t>
      </w:r>
      <w:r w:rsidR="00CF33EB" w:rsidRPr="00116983">
        <w:t>. Kaut arī likumdevējam ir jāņem vērā taisnīguma un samērīguma apsvērumi, nav konstatējami principiāli šķēršļi tiesiskā regulējuma pilnveidei</w:t>
      </w:r>
      <w:r w:rsidR="00493E1B" w:rsidRPr="00116983">
        <w:t xml:space="preserve"> atbilstoši pašreizējai ģeopolitiskajai situācijai</w:t>
      </w:r>
      <w:r w:rsidR="00CF33EB" w:rsidRPr="00116983">
        <w:t>,</w:t>
      </w:r>
      <w:r w:rsidR="00E051A6">
        <w:t xml:space="preserve"> tā</w:t>
      </w:r>
      <w:r w:rsidR="006F2A68">
        <w:t xml:space="preserve"> </w:t>
      </w:r>
      <w:r w:rsidR="00CF33EB" w:rsidRPr="00116983">
        <w:t>piemēram:</w:t>
      </w:r>
    </w:p>
    <w:p w14:paraId="69D64FC0" w14:textId="5DBE68D7" w:rsidR="00E051A6" w:rsidRPr="00116983" w:rsidRDefault="00EC24D2" w:rsidP="00E051A6">
      <w:pPr>
        <w:ind w:firstLine="720"/>
        <w:jc w:val="both"/>
      </w:pPr>
      <w:r w:rsidRPr="00116983">
        <w:t>- pārskatot</w:t>
      </w:r>
      <w:r w:rsidR="00E051A6">
        <w:t xml:space="preserve"> </w:t>
      </w:r>
      <w:r w:rsidRPr="00116983">
        <w:t>Kriminālprocesa likumā noteikto drošības līdzekļu piemērošanu ar nacionālās drošības apdraudējum</w:t>
      </w:r>
      <w:r w:rsidR="002507A4" w:rsidRPr="00116983">
        <w:t>iem</w:t>
      </w:r>
      <w:r w:rsidRPr="00116983">
        <w:t xml:space="preserve"> saistītās lietās</w:t>
      </w:r>
      <w:r w:rsidR="006758BD" w:rsidRPr="00116983">
        <w:t>;</w:t>
      </w:r>
    </w:p>
    <w:p w14:paraId="3F1FCB41" w14:textId="0C9F9834" w:rsidR="00CF33EB" w:rsidRPr="00116983" w:rsidRDefault="00CF33EB" w:rsidP="00AF4809">
      <w:pPr>
        <w:ind w:firstLine="720"/>
        <w:jc w:val="both"/>
      </w:pPr>
      <w:r w:rsidRPr="00116983">
        <w:t>- pārskatot Krimināllikumā noteiktos sod</w:t>
      </w:r>
      <w:r w:rsidR="00EC24D2" w:rsidRPr="00116983">
        <w:t>a</w:t>
      </w:r>
      <w:r w:rsidRPr="00116983">
        <w:t xml:space="preserve"> veidus un apmērus </w:t>
      </w:r>
      <w:r w:rsidR="00EC24D2" w:rsidRPr="00116983">
        <w:t>ar nacionālās drošības apdraudējum</w:t>
      </w:r>
      <w:r w:rsidR="002507A4" w:rsidRPr="00116983">
        <w:t>iem</w:t>
      </w:r>
      <w:r w:rsidR="00EC24D2" w:rsidRPr="00116983">
        <w:t xml:space="preserve"> saistītiem noziedzīgiem nodarījumiem</w:t>
      </w:r>
      <w:r w:rsidR="00414E9C" w:rsidRPr="00116983">
        <w:t>.</w:t>
      </w:r>
    </w:p>
    <w:p w14:paraId="02FCA44C" w14:textId="67A8BD2D" w:rsidR="00AF4809" w:rsidRPr="00116983" w:rsidRDefault="006758BD" w:rsidP="00E24258">
      <w:pPr>
        <w:ind w:firstLine="720"/>
        <w:jc w:val="both"/>
      </w:pPr>
      <w:r w:rsidRPr="00116983">
        <w:t>Šād</w:t>
      </w:r>
      <w:r w:rsidR="00414E9C" w:rsidRPr="00116983">
        <w:t>as</w:t>
      </w:r>
      <w:r w:rsidRPr="00116983">
        <w:t xml:space="preserve"> </w:t>
      </w:r>
      <w:r w:rsidR="00414E9C" w:rsidRPr="00116983">
        <w:t xml:space="preserve">izmaiņas </w:t>
      </w:r>
      <w:r w:rsidRPr="00116983">
        <w:t>tiesiskajā regulējum</w:t>
      </w:r>
      <w:r w:rsidR="00E266E3" w:rsidRPr="00116983">
        <w:t xml:space="preserve">ā varētu sniegt </w:t>
      </w:r>
      <w:r w:rsidR="00121F79" w:rsidRPr="00116983">
        <w:t>ātrāku</w:t>
      </w:r>
      <w:r w:rsidR="00493E1B" w:rsidRPr="00116983">
        <w:t xml:space="preserve"> un </w:t>
      </w:r>
      <w:r w:rsidRPr="00116983">
        <w:t>tiešāk</w:t>
      </w:r>
      <w:r w:rsidR="00121F79" w:rsidRPr="00116983">
        <w:t>u</w:t>
      </w:r>
      <w:r w:rsidRPr="00116983">
        <w:t xml:space="preserve"> ietekmi jautājumā par tiesu piemēroto sodu bardzību un drošības līdzekļu piemērošanu. </w:t>
      </w:r>
      <w:r w:rsidR="00493E1B" w:rsidRPr="00116983">
        <w:t xml:space="preserve">Piemēram, </w:t>
      </w:r>
      <w:r w:rsidR="00116983" w:rsidRPr="00116983">
        <w:t>līdzīgi</w:t>
      </w:r>
      <w:r w:rsidR="00D14AFD" w:rsidRPr="00116983">
        <w:t xml:space="preserve"> </w:t>
      </w:r>
      <w:r w:rsidR="00E24258" w:rsidRPr="00116983">
        <w:t xml:space="preserve">likumdevējs </w:t>
      </w:r>
      <w:r w:rsidR="00116983" w:rsidRPr="00116983">
        <w:t>rīkojās</w:t>
      </w:r>
      <w:r w:rsidR="00D14AFD" w:rsidRPr="00116983">
        <w:t xml:space="preserve"> </w:t>
      </w:r>
      <w:r w:rsidR="00E24258" w:rsidRPr="00116983">
        <w:t xml:space="preserve">pēc </w:t>
      </w:r>
      <w:r w:rsidR="00493E1B" w:rsidRPr="00116983">
        <w:t xml:space="preserve">plašās </w:t>
      </w:r>
      <w:r w:rsidR="00E24258" w:rsidRPr="00116983">
        <w:t xml:space="preserve">sabiedrības rezonanses ar vardarbību ģimenē saistītās lietās. </w:t>
      </w:r>
    </w:p>
    <w:p w14:paraId="3FA7848D" w14:textId="77777777" w:rsidR="00B24DB8" w:rsidRPr="00116983" w:rsidRDefault="00B24DB8" w:rsidP="00E24258">
      <w:pPr>
        <w:ind w:firstLine="720"/>
        <w:jc w:val="both"/>
      </w:pPr>
    </w:p>
    <w:p w14:paraId="18BACD95" w14:textId="36D25F87" w:rsidR="00493E1B" w:rsidRPr="00116983" w:rsidRDefault="00EC24D2" w:rsidP="00E24258">
      <w:pPr>
        <w:ind w:firstLine="720"/>
        <w:jc w:val="both"/>
      </w:pPr>
      <w:r w:rsidRPr="00116983">
        <w:lastRenderedPageBreak/>
        <w:t>[</w:t>
      </w:r>
      <w:r w:rsidR="00E24258" w:rsidRPr="00116983">
        <w:t>7</w:t>
      </w:r>
      <w:r w:rsidRPr="00116983">
        <w:t>] </w:t>
      </w:r>
      <w:r w:rsidR="00E266E3" w:rsidRPr="00116983">
        <w:t xml:space="preserve">Tiesu varas neatkarības garantijas nav pašmērķīgas – tās ir cieši saistītas ar sabiedrības </w:t>
      </w:r>
      <w:r w:rsidR="008A3BA9" w:rsidRPr="00116983">
        <w:t xml:space="preserve">uzticēšanos </w:t>
      </w:r>
      <w:r w:rsidR="00E266E3" w:rsidRPr="00116983">
        <w:t xml:space="preserve">tiesu varai. </w:t>
      </w:r>
      <w:r w:rsidR="00553C2A" w:rsidRPr="00116983">
        <w:t>Aktuālie ģeopolitiskie apstākļi dažkārt var prasīt arī zināmu pielāgošanos no tiesu varas.</w:t>
      </w:r>
      <w:r w:rsidR="00E24258" w:rsidRPr="00116983">
        <w:t xml:space="preserve"> </w:t>
      </w:r>
    </w:p>
    <w:p w14:paraId="2EDCDA38" w14:textId="251B7D73" w:rsidR="00EC24D2" w:rsidRPr="00116983" w:rsidRDefault="00E266E3" w:rsidP="00E24258">
      <w:pPr>
        <w:ind w:firstLine="720"/>
        <w:jc w:val="both"/>
      </w:pPr>
      <w:r w:rsidRPr="00116983">
        <w:t>Lai novērstu jebkādas šaubas par tiesnešu lojalitāti valstij, tiesu vara ir atvērta diskusijai par tiesneša amata kandidātu atlases kārtības pilnveidi, tostarp iegūstot valsts drošības aizsardzības institūciju atzinumu par tiesneša amata kandidātiem.</w:t>
      </w:r>
      <w:r w:rsidR="00493E1B" w:rsidRPr="00116983">
        <w:t xml:space="preserve"> Šim nolūkam ir nepieciešam</w:t>
      </w:r>
      <w:r w:rsidR="00E051A6">
        <w:t>i</w:t>
      </w:r>
      <w:r w:rsidR="00493E1B" w:rsidRPr="00116983">
        <w:t xml:space="preserve"> attiecīg</w:t>
      </w:r>
      <w:r w:rsidR="00121F79" w:rsidRPr="00116983">
        <w:t>i</w:t>
      </w:r>
      <w:r w:rsidR="00493E1B" w:rsidRPr="00116983">
        <w:t xml:space="preserve"> grozījum</w:t>
      </w:r>
      <w:r w:rsidR="00121F79" w:rsidRPr="00116983">
        <w:t>i</w:t>
      </w:r>
      <w:r w:rsidR="00493E1B" w:rsidRPr="00116983">
        <w:t xml:space="preserve"> likumā </w:t>
      </w:r>
      <w:r w:rsidR="00E051A6">
        <w:t>„</w:t>
      </w:r>
      <w:r w:rsidR="00121F79" w:rsidRPr="00116983">
        <w:t>P</w:t>
      </w:r>
      <w:r w:rsidR="00493E1B" w:rsidRPr="00116983">
        <w:t>ar tiesu varu”.</w:t>
      </w:r>
    </w:p>
    <w:p w14:paraId="3904C06B" w14:textId="2E629C13" w:rsidR="00493E1B" w:rsidRPr="00116983" w:rsidRDefault="00493E1B" w:rsidP="00E24258">
      <w:pPr>
        <w:ind w:firstLine="720"/>
        <w:jc w:val="both"/>
      </w:pPr>
      <w:r w:rsidRPr="00116983">
        <w:t>Tāpat šie jautājumi, k</w:t>
      </w:r>
      <w:r w:rsidR="00955318" w:rsidRPr="00116983">
        <w:t>as</w:t>
      </w:r>
      <w:r w:rsidRPr="00116983">
        <w:t xml:space="preserve"> rada izpildvaras un likumdevēja bažas, var tikt risināti, pilnveidojot tiesu darba organizāciju, proti, ieviešot visās tiesās tādu pašu sistēmu, kāda </w:t>
      </w:r>
      <w:r w:rsidR="00D14AFD" w:rsidRPr="00116983">
        <w:t xml:space="preserve">šobrīd jau </w:t>
      </w:r>
      <w:r w:rsidRPr="00116983">
        <w:t xml:space="preserve">ir Augstākajā tiesā un </w:t>
      </w:r>
      <w:r w:rsidRPr="00934A9C">
        <w:t xml:space="preserve">Administratīvajā </w:t>
      </w:r>
      <w:r w:rsidR="00E051A6" w:rsidRPr="00F25F48">
        <w:t>apgabal</w:t>
      </w:r>
      <w:r w:rsidRPr="00F25F48">
        <w:t>tiesā,</w:t>
      </w:r>
      <w:r w:rsidR="00E051A6" w:rsidRPr="00F25F48">
        <w:t xml:space="preserve"> kā arī citās tiesās,</w:t>
      </w:r>
      <w:r w:rsidR="00E051A6">
        <w:t xml:space="preserve"> </w:t>
      </w:r>
      <w:r w:rsidRPr="00116983">
        <w:t xml:space="preserve">kur daļai tiesnešu ir piešķirtas īpašās pielaides valsts noslēpumam. </w:t>
      </w:r>
      <w:r w:rsidR="0066088D" w:rsidRPr="00116983">
        <w:t xml:space="preserve">Taču šādā gadījumā likuma „Par valsts noslēpumu” 12. panta piektās daļas norma </w:t>
      </w:r>
      <w:r w:rsidR="00121F79" w:rsidRPr="00116983">
        <w:t>nebūtu jāgroza</w:t>
      </w:r>
      <w:r w:rsidR="0066088D" w:rsidRPr="00116983">
        <w:t xml:space="preserve">, jo tā darbotos izņēmuma gadījumā, ja </w:t>
      </w:r>
      <w:r w:rsidR="00B24DB8" w:rsidRPr="00116983">
        <w:t>kādu apstākļu dē</w:t>
      </w:r>
      <w:r w:rsidR="00E051A6">
        <w:t xml:space="preserve">ļ </w:t>
      </w:r>
      <w:r w:rsidR="00B24DB8" w:rsidRPr="00116983">
        <w:t>nebūtu iespējams tiesas sastāvā iekļaut tiesnešus ar speciālo atļauju</w:t>
      </w:r>
      <w:r w:rsidR="00E051A6">
        <w:t xml:space="preserve"> </w:t>
      </w:r>
      <w:r w:rsidR="0066088D" w:rsidRPr="00116983">
        <w:t xml:space="preserve">(piemēram, kāds </w:t>
      </w:r>
      <w:r w:rsidR="00E051A6">
        <w:t xml:space="preserve">tiesnesis </w:t>
      </w:r>
      <w:r w:rsidR="0066088D" w:rsidRPr="00116983">
        <w:t>ir piedalījies lietas izskatīšanā iepriekš, atstatījies vai pieņēmis noraidījum</w:t>
      </w:r>
      <w:r w:rsidR="00E051A6">
        <w:t>u</w:t>
      </w:r>
      <w:r w:rsidR="0066088D" w:rsidRPr="00116983">
        <w:t>, atrodas ilgstošā prombūtnē u.tml.).</w:t>
      </w:r>
    </w:p>
    <w:p w14:paraId="2FC6E955" w14:textId="77777777" w:rsidR="00B24DB8" w:rsidRPr="00116983" w:rsidRDefault="00B24DB8" w:rsidP="00F41281">
      <w:pPr>
        <w:ind w:firstLine="720"/>
        <w:jc w:val="both"/>
      </w:pPr>
    </w:p>
    <w:p w14:paraId="34289FB5" w14:textId="4951B513" w:rsidR="00553C2A" w:rsidRPr="00116983" w:rsidRDefault="00B24DB8" w:rsidP="00F41281">
      <w:pPr>
        <w:ind w:firstLine="720"/>
        <w:jc w:val="both"/>
      </w:pPr>
      <w:r w:rsidRPr="00116983">
        <w:t>[8] </w:t>
      </w:r>
      <w:r w:rsidR="00553C2A" w:rsidRPr="00116983">
        <w:t xml:space="preserve">Vienlaikus </w:t>
      </w:r>
      <w:r w:rsidR="00E24258" w:rsidRPr="00116983">
        <w:t>atbilstoši</w:t>
      </w:r>
      <w:r w:rsidR="00553C2A" w:rsidRPr="00116983">
        <w:t xml:space="preserve"> Satversmes 83. un 84.</w:t>
      </w:r>
      <w:r w:rsidR="00934A9C">
        <w:t> </w:t>
      </w:r>
      <w:r w:rsidR="00553C2A" w:rsidRPr="00116983">
        <w:t>panta</w:t>
      </w:r>
      <w:r w:rsidR="00E24258" w:rsidRPr="00116983">
        <w:t>m</w:t>
      </w:r>
      <w:r w:rsidR="00553C2A" w:rsidRPr="00116983">
        <w:t>, kas noteic tiesnešu neatkarības un neatceļamības principus</w:t>
      </w:r>
      <w:r w:rsidR="00E24258" w:rsidRPr="00116983">
        <w:t>,</w:t>
      </w:r>
      <w:r w:rsidR="00553C2A" w:rsidRPr="00116983">
        <w:t xml:space="preserve"> lojalitātes pārbaudes nevar kļūt par instrumentu amatā jau ieceltu tiesnešu ietekmēšanai.</w:t>
      </w:r>
      <w:r w:rsidR="00C36C50" w:rsidRPr="00116983">
        <w:t xml:space="preserve"> </w:t>
      </w:r>
      <w:r w:rsidR="00FB6CAC" w:rsidRPr="00116983">
        <w:t>Ja kādam ir pamatotas šaubas par konkrētu tiesnešu lojalitāti Latvijas Republikai, tās paužamas un risināmas likumā noteiktajā tiesiskajā ceļā</w:t>
      </w:r>
      <w:r w:rsidR="0066088D" w:rsidRPr="00116983">
        <w:t>, to pienācīgi pierādot</w:t>
      </w:r>
      <w:r w:rsidR="00FB6CAC" w:rsidRPr="00116983">
        <w:t>.</w:t>
      </w:r>
    </w:p>
    <w:p w14:paraId="22294BC4" w14:textId="77777777" w:rsidR="00FB38D6" w:rsidRPr="00116983" w:rsidRDefault="00FB38D6" w:rsidP="00FB38D6">
      <w:pPr>
        <w:jc w:val="both"/>
        <w:rPr>
          <w:szCs w:val="24"/>
        </w:rPr>
      </w:pPr>
    </w:p>
    <w:p w14:paraId="0A616BE6" w14:textId="77777777" w:rsidR="00EC22ED" w:rsidRPr="00116983" w:rsidRDefault="00EC22ED" w:rsidP="00FB38D6">
      <w:pPr>
        <w:jc w:val="both"/>
        <w:rPr>
          <w:szCs w:val="24"/>
        </w:rPr>
      </w:pPr>
    </w:p>
    <w:p w14:paraId="10306498" w14:textId="77777777" w:rsidR="00EC22ED" w:rsidRPr="00116983" w:rsidRDefault="00EC22ED" w:rsidP="00FB38D6">
      <w:pPr>
        <w:jc w:val="both"/>
        <w:rPr>
          <w:szCs w:val="24"/>
        </w:rPr>
      </w:pPr>
    </w:p>
    <w:p w14:paraId="6A1EB2B4" w14:textId="77777777" w:rsidR="00EC22ED" w:rsidRPr="00116983" w:rsidRDefault="00EC22ED" w:rsidP="00FB38D6">
      <w:pPr>
        <w:jc w:val="both"/>
        <w:rPr>
          <w:szCs w:val="24"/>
        </w:rPr>
      </w:pPr>
    </w:p>
    <w:p w14:paraId="177E5981" w14:textId="00D44318" w:rsidR="00FB38D6" w:rsidRPr="00116983" w:rsidRDefault="00FB38D6" w:rsidP="00FB38D6">
      <w:pPr>
        <w:jc w:val="both"/>
        <w:rPr>
          <w:szCs w:val="24"/>
        </w:rPr>
      </w:pPr>
      <w:r w:rsidRPr="00116983">
        <w:rPr>
          <w:szCs w:val="24"/>
        </w:rPr>
        <w:t>Ar cieņu</w:t>
      </w:r>
    </w:p>
    <w:p w14:paraId="653C680D" w14:textId="62BC7E32" w:rsidR="00FB38D6" w:rsidRPr="00116983" w:rsidRDefault="00FB38D6" w:rsidP="00FB38D6">
      <w:pPr>
        <w:jc w:val="both"/>
        <w:rPr>
          <w:szCs w:val="24"/>
        </w:rPr>
      </w:pPr>
      <w:r w:rsidRPr="00116983">
        <w:rPr>
          <w:szCs w:val="24"/>
        </w:rPr>
        <w:t xml:space="preserve">Tieslietu padomes priekšsēdētājs </w:t>
      </w:r>
      <w:r w:rsidRPr="00116983">
        <w:rPr>
          <w:szCs w:val="24"/>
        </w:rPr>
        <w:tab/>
      </w:r>
      <w:r w:rsidRPr="00116983">
        <w:rPr>
          <w:szCs w:val="24"/>
        </w:rPr>
        <w:tab/>
      </w:r>
      <w:r w:rsidRPr="00116983">
        <w:rPr>
          <w:szCs w:val="24"/>
        </w:rPr>
        <w:tab/>
      </w:r>
      <w:r w:rsidRPr="00116983">
        <w:rPr>
          <w:szCs w:val="24"/>
        </w:rPr>
        <w:tab/>
      </w:r>
      <w:r w:rsidRPr="00116983">
        <w:rPr>
          <w:szCs w:val="24"/>
        </w:rPr>
        <w:tab/>
      </w:r>
      <w:r w:rsidR="00553C2A" w:rsidRPr="00116983">
        <w:rPr>
          <w:szCs w:val="24"/>
        </w:rPr>
        <w:tab/>
        <w:t xml:space="preserve">   </w:t>
      </w:r>
      <w:r w:rsidRPr="00116983">
        <w:rPr>
          <w:szCs w:val="24"/>
        </w:rPr>
        <w:t>A.</w:t>
      </w:r>
      <w:r w:rsidR="00DF1355" w:rsidRPr="00116983">
        <w:rPr>
          <w:szCs w:val="24"/>
        </w:rPr>
        <w:t> </w:t>
      </w:r>
      <w:r w:rsidRPr="00116983">
        <w:rPr>
          <w:szCs w:val="24"/>
        </w:rPr>
        <w:t>Strupišs</w:t>
      </w:r>
    </w:p>
    <w:p w14:paraId="0EE83CCA" w14:textId="77777777" w:rsidR="006452FA" w:rsidRPr="00116983" w:rsidRDefault="006452FA" w:rsidP="00D726BA">
      <w:pPr>
        <w:spacing w:line="276" w:lineRule="auto"/>
        <w:ind w:firstLine="720"/>
        <w:jc w:val="both"/>
        <w:rPr>
          <w:szCs w:val="24"/>
        </w:rPr>
      </w:pPr>
    </w:p>
    <w:p w14:paraId="02FA93F5" w14:textId="77777777" w:rsidR="006452FA" w:rsidRPr="00116983" w:rsidRDefault="006452FA" w:rsidP="00D726BA">
      <w:pPr>
        <w:spacing w:line="276" w:lineRule="auto"/>
        <w:jc w:val="both"/>
        <w:rPr>
          <w:szCs w:val="24"/>
        </w:rPr>
      </w:pPr>
    </w:p>
    <w:p w14:paraId="7FFF82AD" w14:textId="7467790B" w:rsidR="00FB38D6" w:rsidRPr="00116983" w:rsidRDefault="00FB38D6" w:rsidP="00D726BA">
      <w:pPr>
        <w:spacing w:line="276" w:lineRule="auto"/>
        <w:jc w:val="both"/>
        <w:rPr>
          <w:szCs w:val="24"/>
        </w:rPr>
      </w:pPr>
    </w:p>
    <w:p w14:paraId="409B7FA0" w14:textId="17175B6E" w:rsidR="00EC22ED" w:rsidRPr="00116983" w:rsidRDefault="00EC22ED" w:rsidP="00D726BA">
      <w:pPr>
        <w:spacing w:line="276" w:lineRule="auto"/>
        <w:jc w:val="both"/>
        <w:rPr>
          <w:szCs w:val="24"/>
        </w:rPr>
      </w:pPr>
    </w:p>
    <w:p w14:paraId="761B35F8" w14:textId="77777777" w:rsidR="00EC22ED" w:rsidRPr="00116983" w:rsidRDefault="00EC22ED" w:rsidP="00D726BA">
      <w:pPr>
        <w:spacing w:line="276" w:lineRule="auto"/>
        <w:jc w:val="both"/>
        <w:rPr>
          <w:szCs w:val="24"/>
        </w:rPr>
      </w:pPr>
    </w:p>
    <w:p w14:paraId="72BCDDF9" w14:textId="72FCF765" w:rsidR="006452FA" w:rsidRPr="00D726BA" w:rsidRDefault="00D726BA" w:rsidP="00872A58">
      <w:pPr>
        <w:spacing w:line="276" w:lineRule="auto"/>
        <w:rPr>
          <w:szCs w:val="24"/>
        </w:rPr>
      </w:pPr>
      <w:r w:rsidRPr="00116983">
        <w:rPr>
          <w:i/>
          <w:szCs w:val="24"/>
        </w:rPr>
        <w:t>Dokuments parakstīts elektroniski ar drošu elektronisko parakstu un satur laika zīmogu</w:t>
      </w:r>
    </w:p>
    <w:sectPr w:rsidR="006452FA" w:rsidRPr="00D726BA" w:rsidSect="00C21409">
      <w:footerReference w:type="default" r:id="rId8"/>
      <w:pgSz w:w="11906" w:h="16838" w:code="9"/>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A610E" w14:textId="77777777" w:rsidR="00C21409" w:rsidRDefault="00C21409" w:rsidP="00947DA2">
      <w:r>
        <w:separator/>
      </w:r>
    </w:p>
  </w:endnote>
  <w:endnote w:type="continuationSeparator" w:id="0">
    <w:p w14:paraId="44AF753E" w14:textId="77777777" w:rsidR="00C21409" w:rsidRDefault="00C21409" w:rsidP="0094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758029"/>
      <w:docPartObj>
        <w:docPartGallery w:val="Page Numbers (Bottom of Page)"/>
        <w:docPartUnique/>
      </w:docPartObj>
    </w:sdtPr>
    <w:sdtEndPr>
      <w:rPr>
        <w:noProof/>
      </w:rPr>
    </w:sdtEndPr>
    <w:sdtContent>
      <w:p w14:paraId="7EE22696" w14:textId="08A5491C" w:rsidR="00947DA2" w:rsidRDefault="00947DA2">
        <w:pPr>
          <w:pStyle w:val="Footer"/>
          <w:jc w:val="center"/>
        </w:pPr>
        <w:r>
          <w:fldChar w:fldCharType="begin"/>
        </w:r>
        <w:r>
          <w:instrText xml:space="preserve"> PAGE   \* MERGEFORMAT </w:instrText>
        </w:r>
        <w:r>
          <w:fldChar w:fldCharType="separate"/>
        </w:r>
        <w:r w:rsidR="00AB7593">
          <w:rPr>
            <w:noProof/>
          </w:rPr>
          <w:t>3</w:t>
        </w:r>
        <w:r>
          <w:rPr>
            <w:noProof/>
          </w:rPr>
          <w:fldChar w:fldCharType="end"/>
        </w:r>
      </w:p>
    </w:sdtContent>
  </w:sdt>
  <w:p w14:paraId="0671D534" w14:textId="77777777" w:rsidR="00947DA2" w:rsidRDefault="0094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739EE" w14:textId="77777777" w:rsidR="00C21409" w:rsidRDefault="00C21409" w:rsidP="00947DA2">
      <w:r>
        <w:separator/>
      </w:r>
    </w:p>
  </w:footnote>
  <w:footnote w:type="continuationSeparator" w:id="0">
    <w:p w14:paraId="7E12E733" w14:textId="77777777" w:rsidR="00C21409" w:rsidRDefault="00C21409" w:rsidP="0094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34F70"/>
    <w:multiLevelType w:val="hybridMultilevel"/>
    <w:tmpl w:val="0CFC7A30"/>
    <w:lvl w:ilvl="0" w:tplc="9E2A30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527FF6"/>
    <w:multiLevelType w:val="hybridMultilevel"/>
    <w:tmpl w:val="6FDA7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9D6DF6"/>
    <w:multiLevelType w:val="hybridMultilevel"/>
    <w:tmpl w:val="69101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952773"/>
    <w:multiLevelType w:val="hybridMultilevel"/>
    <w:tmpl w:val="0D864F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9285696"/>
    <w:multiLevelType w:val="hybridMultilevel"/>
    <w:tmpl w:val="469C33C2"/>
    <w:lvl w:ilvl="0" w:tplc="A85C6C96">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550116559">
    <w:abstractNumId w:val="4"/>
  </w:num>
  <w:num w:numId="2" w16cid:durableId="1346059882">
    <w:abstractNumId w:val="3"/>
  </w:num>
  <w:num w:numId="3" w16cid:durableId="1961373673">
    <w:abstractNumId w:val="0"/>
  </w:num>
  <w:num w:numId="4" w16cid:durableId="223763854">
    <w:abstractNumId w:val="2"/>
  </w:num>
  <w:num w:numId="5" w16cid:durableId="47179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88"/>
    <w:rsid w:val="00000105"/>
    <w:rsid w:val="00041B06"/>
    <w:rsid w:val="00051209"/>
    <w:rsid w:val="00057DCA"/>
    <w:rsid w:val="000757AB"/>
    <w:rsid w:val="00086B9A"/>
    <w:rsid w:val="000975F2"/>
    <w:rsid w:val="000E6EAB"/>
    <w:rsid w:val="00116983"/>
    <w:rsid w:val="00121F79"/>
    <w:rsid w:val="00173703"/>
    <w:rsid w:val="00174ED7"/>
    <w:rsid w:val="00177559"/>
    <w:rsid w:val="001905D6"/>
    <w:rsid w:val="001A7AD1"/>
    <w:rsid w:val="001E159E"/>
    <w:rsid w:val="002050DA"/>
    <w:rsid w:val="0021758D"/>
    <w:rsid w:val="00220C74"/>
    <w:rsid w:val="00247729"/>
    <w:rsid w:val="002507A4"/>
    <w:rsid w:val="00256B1B"/>
    <w:rsid w:val="002B7F3E"/>
    <w:rsid w:val="002E06C8"/>
    <w:rsid w:val="002F7517"/>
    <w:rsid w:val="00311CF6"/>
    <w:rsid w:val="003173E1"/>
    <w:rsid w:val="003433E4"/>
    <w:rsid w:val="00366CD7"/>
    <w:rsid w:val="003A25C2"/>
    <w:rsid w:val="003C1A37"/>
    <w:rsid w:val="003D45B5"/>
    <w:rsid w:val="00414E9C"/>
    <w:rsid w:val="004359C4"/>
    <w:rsid w:val="00447FB6"/>
    <w:rsid w:val="004528A1"/>
    <w:rsid w:val="0045789A"/>
    <w:rsid w:val="00493E1B"/>
    <w:rsid w:val="004A2E66"/>
    <w:rsid w:val="004B2182"/>
    <w:rsid w:val="004C4D88"/>
    <w:rsid w:val="004D278F"/>
    <w:rsid w:val="00510E35"/>
    <w:rsid w:val="005348CC"/>
    <w:rsid w:val="005539EF"/>
    <w:rsid w:val="00553C2A"/>
    <w:rsid w:val="00555FDF"/>
    <w:rsid w:val="005D47BE"/>
    <w:rsid w:val="005F2C00"/>
    <w:rsid w:val="005F44DD"/>
    <w:rsid w:val="006003BA"/>
    <w:rsid w:val="006160D4"/>
    <w:rsid w:val="00640253"/>
    <w:rsid w:val="0064394B"/>
    <w:rsid w:val="006452FA"/>
    <w:rsid w:val="00651BB9"/>
    <w:rsid w:val="00652E81"/>
    <w:rsid w:val="0066088D"/>
    <w:rsid w:val="006758BD"/>
    <w:rsid w:val="006A6224"/>
    <w:rsid w:val="006D05F4"/>
    <w:rsid w:val="006F2877"/>
    <w:rsid w:val="006F2A68"/>
    <w:rsid w:val="0071713A"/>
    <w:rsid w:val="007354A4"/>
    <w:rsid w:val="00781EBB"/>
    <w:rsid w:val="00782BB5"/>
    <w:rsid w:val="00797D1C"/>
    <w:rsid w:val="007B2044"/>
    <w:rsid w:val="007C2688"/>
    <w:rsid w:val="007C3FE9"/>
    <w:rsid w:val="007E1C46"/>
    <w:rsid w:val="007E2D2C"/>
    <w:rsid w:val="007F6AE8"/>
    <w:rsid w:val="00817D00"/>
    <w:rsid w:val="00820FFA"/>
    <w:rsid w:val="00872A58"/>
    <w:rsid w:val="008A1F9C"/>
    <w:rsid w:val="008A3BA9"/>
    <w:rsid w:val="008C37E0"/>
    <w:rsid w:val="008D598D"/>
    <w:rsid w:val="008E7803"/>
    <w:rsid w:val="009009EF"/>
    <w:rsid w:val="00923B4B"/>
    <w:rsid w:val="00934A9C"/>
    <w:rsid w:val="00944E8B"/>
    <w:rsid w:val="00947DA2"/>
    <w:rsid w:val="00955318"/>
    <w:rsid w:val="00964A94"/>
    <w:rsid w:val="00970E78"/>
    <w:rsid w:val="00971A22"/>
    <w:rsid w:val="009B438E"/>
    <w:rsid w:val="009C46E0"/>
    <w:rsid w:val="009C4D69"/>
    <w:rsid w:val="009D326D"/>
    <w:rsid w:val="00A50D36"/>
    <w:rsid w:val="00A61100"/>
    <w:rsid w:val="00AB7593"/>
    <w:rsid w:val="00AC44AE"/>
    <w:rsid w:val="00AF4809"/>
    <w:rsid w:val="00B1577D"/>
    <w:rsid w:val="00B24DB8"/>
    <w:rsid w:val="00B40D7D"/>
    <w:rsid w:val="00B5089D"/>
    <w:rsid w:val="00B8304F"/>
    <w:rsid w:val="00BA0469"/>
    <w:rsid w:val="00BB396B"/>
    <w:rsid w:val="00BB621D"/>
    <w:rsid w:val="00BB6C8C"/>
    <w:rsid w:val="00BE08BD"/>
    <w:rsid w:val="00C051F6"/>
    <w:rsid w:val="00C21409"/>
    <w:rsid w:val="00C36C50"/>
    <w:rsid w:val="00C808D7"/>
    <w:rsid w:val="00C85713"/>
    <w:rsid w:val="00C93C94"/>
    <w:rsid w:val="00CA4F18"/>
    <w:rsid w:val="00CC0A68"/>
    <w:rsid w:val="00CC23C2"/>
    <w:rsid w:val="00CE0E07"/>
    <w:rsid w:val="00CE2559"/>
    <w:rsid w:val="00CF33EB"/>
    <w:rsid w:val="00D1278D"/>
    <w:rsid w:val="00D14AFD"/>
    <w:rsid w:val="00D25CE5"/>
    <w:rsid w:val="00D507C8"/>
    <w:rsid w:val="00D5481E"/>
    <w:rsid w:val="00D62185"/>
    <w:rsid w:val="00D62424"/>
    <w:rsid w:val="00D726BA"/>
    <w:rsid w:val="00D77654"/>
    <w:rsid w:val="00D912FA"/>
    <w:rsid w:val="00DA6A08"/>
    <w:rsid w:val="00DC7180"/>
    <w:rsid w:val="00DD116D"/>
    <w:rsid w:val="00DD5D35"/>
    <w:rsid w:val="00DD753E"/>
    <w:rsid w:val="00DF0DAF"/>
    <w:rsid w:val="00DF1355"/>
    <w:rsid w:val="00E051A6"/>
    <w:rsid w:val="00E24258"/>
    <w:rsid w:val="00E266E3"/>
    <w:rsid w:val="00E37FC6"/>
    <w:rsid w:val="00EB08EA"/>
    <w:rsid w:val="00EC22ED"/>
    <w:rsid w:val="00EC24D2"/>
    <w:rsid w:val="00ED243D"/>
    <w:rsid w:val="00ED3B1C"/>
    <w:rsid w:val="00EE6D91"/>
    <w:rsid w:val="00F01E0B"/>
    <w:rsid w:val="00F23424"/>
    <w:rsid w:val="00F25F48"/>
    <w:rsid w:val="00F34129"/>
    <w:rsid w:val="00F41281"/>
    <w:rsid w:val="00F562AA"/>
    <w:rsid w:val="00F75477"/>
    <w:rsid w:val="00F81BAF"/>
    <w:rsid w:val="00F9610A"/>
    <w:rsid w:val="00FA3E34"/>
    <w:rsid w:val="00FB38D6"/>
    <w:rsid w:val="00FB6CAC"/>
    <w:rsid w:val="00FC1244"/>
    <w:rsid w:val="00FD53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E252"/>
  <w15:chartTrackingRefBased/>
  <w15:docId w15:val="{0D571E74-9293-4924-9AB5-11E332FB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88"/>
    <w:pPr>
      <w:spacing w:after="0" w:line="240" w:lineRule="auto"/>
    </w:pPr>
    <w:rPr>
      <w:rFonts w:eastAsia="Times New Roman" w:cs="Times New Roman"/>
      <w:kern w:val="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D88"/>
    <w:rPr>
      <w:color w:val="0563C1" w:themeColor="hyperlink"/>
      <w:u w:val="single"/>
    </w:rPr>
  </w:style>
  <w:style w:type="paragraph" w:styleId="ListParagraph">
    <w:name w:val="List Paragraph"/>
    <w:aliases w:val="2,Strip"/>
    <w:basedOn w:val="Normal"/>
    <w:link w:val="ListParagraphChar"/>
    <w:uiPriority w:val="34"/>
    <w:qFormat/>
    <w:rsid w:val="004C4D88"/>
    <w:pPr>
      <w:ind w:left="720"/>
      <w:contextualSpacing/>
    </w:pPr>
  </w:style>
  <w:style w:type="character" w:customStyle="1" w:styleId="UnresolvedMention1">
    <w:name w:val="Unresolved Mention1"/>
    <w:basedOn w:val="DefaultParagraphFont"/>
    <w:uiPriority w:val="99"/>
    <w:semiHidden/>
    <w:unhideWhenUsed/>
    <w:rsid w:val="004C4D88"/>
    <w:rPr>
      <w:color w:val="605E5C"/>
      <w:shd w:val="clear" w:color="auto" w:fill="E1DFDD"/>
    </w:rPr>
  </w:style>
  <w:style w:type="character" w:styleId="FollowedHyperlink">
    <w:name w:val="FollowedHyperlink"/>
    <w:basedOn w:val="DefaultParagraphFont"/>
    <w:uiPriority w:val="99"/>
    <w:semiHidden/>
    <w:unhideWhenUsed/>
    <w:rsid w:val="002F7517"/>
    <w:rPr>
      <w:color w:val="954F72" w:themeColor="followedHyperlink"/>
      <w:u w:val="single"/>
    </w:rPr>
  </w:style>
  <w:style w:type="character" w:customStyle="1" w:styleId="ListParagraphChar">
    <w:name w:val="List Paragraph Char"/>
    <w:aliases w:val="2 Char,Strip Char"/>
    <w:link w:val="ListParagraph"/>
    <w:uiPriority w:val="34"/>
    <w:locked/>
    <w:rsid w:val="006452FA"/>
    <w:rPr>
      <w:rFonts w:eastAsia="Times New Roman" w:cs="Times New Roman"/>
      <w:kern w:val="0"/>
      <w:szCs w:val="20"/>
      <w:lang w:eastAsia="lv-LV"/>
      <w14:ligatures w14:val="none"/>
    </w:rPr>
  </w:style>
  <w:style w:type="table" w:styleId="TableGrid">
    <w:name w:val="Table Grid"/>
    <w:basedOn w:val="TableNormal"/>
    <w:uiPriority w:val="39"/>
    <w:rsid w:val="00D72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DA2"/>
    <w:pPr>
      <w:tabs>
        <w:tab w:val="center" w:pos="4153"/>
        <w:tab w:val="right" w:pos="8306"/>
      </w:tabs>
    </w:pPr>
  </w:style>
  <w:style w:type="character" w:customStyle="1" w:styleId="HeaderChar">
    <w:name w:val="Header Char"/>
    <w:basedOn w:val="DefaultParagraphFont"/>
    <w:link w:val="Header"/>
    <w:uiPriority w:val="99"/>
    <w:rsid w:val="00947DA2"/>
    <w:rPr>
      <w:rFonts w:eastAsia="Times New Roman" w:cs="Times New Roman"/>
      <w:kern w:val="0"/>
      <w:szCs w:val="20"/>
      <w:lang w:eastAsia="lv-LV"/>
      <w14:ligatures w14:val="none"/>
    </w:rPr>
  </w:style>
  <w:style w:type="paragraph" w:styleId="Footer">
    <w:name w:val="footer"/>
    <w:basedOn w:val="Normal"/>
    <w:link w:val="FooterChar"/>
    <w:uiPriority w:val="99"/>
    <w:unhideWhenUsed/>
    <w:rsid w:val="00947DA2"/>
    <w:pPr>
      <w:tabs>
        <w:tab w:val="center" w:pos="4153"/>
        <w:tab w:val="right" w:pos="8306"/>
      </w:tabs>
    </w:pPr>
  </w:style>
  <w:style w:type="character" w:customStyle="1" w:styleId="FooterChar">
    <w:name w:val="Footer Char"/>
    <w:basedOn w:val="DefaultParagraphFont"/>
    <w:link w:val="Footer"/>
    <w:uiPriority w:val="99"/>
    <w:rsid w:val="00947DA2"/>
    <w:rPr>
      <w:rFonts w:eastAsia="Times New Roman" w:cs="Times New Roman"/>
      <w:kern w:val="0"/>
      <w:szCs w:val="20"/>
      <w:lang w:eastAsia="lv-LV"/>
      <w14:ligatures w14:val="none"/>
    </w:rPr>
  </w:style>
  <w:style w:type="paragraph" w:styleId="Revision">
    <w:name w:val="Revision"/>
    <w:hidden/>
    <w:uiPriority w:val="99"/>
    <w:semiHidden/>
    <w:rsid w:val="00041B06"/>
    <w:pPr>
      <w:spacing w:after="0" w:line="240" w:lineRule="auto"/>
    </w:pPr>
    <w:rPr>
      <w:rFonts w:eastAsia="Times New Roman" w:cs="Times New Roman"/>
      <w:kern w:val="0"/>
      <w:szCs w:val="20"/>
      <w:lang w:eastAsia="lv-LV"/>
      <w14:ligatures w14:val="none"/>
    </w:rPr>
  </w:style>
  <w:style w:type="paragraph" w:styleId="BalloonText">
    <w:name w:val="Balloon Text"/>
    <w:basedOn w:val="Normal"/>
    <w:link w:val="BalloonTextChar"/>
    <w:uiPriority w:val="99"/>
    <w:semiHidden/>
    <w:unhideWhenUsed/>
    <w:rsid w:val="00D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8D"/>
    <w:rPr>
      <w:rFonts w:ascii="Segoe UI" w:eastAsia="Times New Roman" w:hAnsi="Segoe UI" w:cs="Segoe UI"/>
      <w:kern w:val="0"/>
      <w:sz w:val="18"/>
      <w:szCs w:val="18"/>
      <w:lang w:eastAsia="lv-LV"/>
      <w14:ligatures w14:val="none"/>
    </w:rPr>
  </w:style>
  <w:style w:type="character" w:styleId="CommentReference">
    <w:name w:val="annotation reference"/>
    <w:basedOn w:val="DefaultParagraphFont"/>
    <w:uiPriority w:val="99"/>
    <w:semiHidden/>
    <w:unhideWhenUsed/>
    <w:rsid w:val="005D47BE"/>
    <w:rPr>
      <w:sz w:val="16"/>
      <w:szCs w:val="16"/>
    </w:rPr>
  </w:style>
  <w:style w:type="paragraph" w:styleId="CommentText">
    <w:name w:val="annotation text"/>
    <w:basedOn w:val="Normal"/>
    <w:link w:val="CommentTextChar"/>
    <w:uiPriority w:val="99"/>
    <w:semiHidden/>
    <w:unhideWhenUsed/>
    <w:rsid w:val="005D47BE"/>
    <w:rPr>
      <w:sz w:val="20"/>
    </w:rPr>
  </w:style>
  <w:style w:type="character" w:customStyle="1" w:styleId="CommentTextChar">
    <w:name w:val="Comment Text Char"/>
    <w:basedOn w:val="DefaultParagraphFont"/>
    <w:link w:val="CommentText"/>
    <w:uiPriority w:val="99"/>
    <w:semiHidden/>
    <w:rsid w:val="005D47BE"/>
    <w:rPr>
      <w:rFonts w:eastAsia="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5D47BE"/>
    <w:rPr>
      <w:b/>
      <w:bCs/>
    </w:rPr>
  </w:style>
  <w:style w:type="character" w:customStyle="1" w:styleId="CommentSubjectChar">
    <w:name w:val="Comment Subject Char"/>
    <w:basedOn w:val="CommentTextChar"/>
    <w:link w:val="CommentSubject"/>
    <w:uiPriority w:val="99"/>
    <w:semiHidden/>
    <w:rsid w:val="005D47BE"/>
    <w:rPr>
      <w:rFonts w:eastAsia="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11147">
      <w:bodyDiv w:val="1"/>
      <w:marLeft w:val="0"/>
      <w:marRight w:val="0"/>
      <w:marTop w:val="0"/>
      <w:marBottom w:val="0"/>
      <w:divBdr>
        <w:top w:val="none" w:sz="0" w:space="0" w:color="auto"/>
        <w:left w:val="none" w:sz="0" w:space="0" w:color="auto"/>
        <w:bottom w:val="none" w:sz="0" w:space="0" w:color="auto"/>
        <w:right w:val="none" w:sz="0" w:space="0" w:color="auto"/>
      </w:divBdr>
    </w:div>
    <w:div w:id="492721807">
      <w:bodyDiv w:val="1"/>
      <w:marLeft w:val="0"/>
      <w:marRight w:val="0"/>
      <w:marTop w:val="0"/>
      <w:marBottom w:val="0"/>
      <w:divBdr>
        <w:top w:val="none" w:sz="0" w:space="0" w:color="auto"/>
        <w:left w:val="none" w:sz="0" w:space="0" w:color="auto"/>
        <w:bottom w:val="none" w:sz="0" w:space="0" w:color="auto"/>
        <w:right w:val="none" w:sz="0" w:space="0" w:color="auto"/>
      </w:divBdr>
    </w:div>
    <w:div w:id="16547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5068</Words>
  <Characters>2889</Characters>
  <Application>Microsoft Office Word</Application>
  <DocSecurity>4</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Tieslietu Padome</dc:creator>
  <cp:keywords/>
  <dc:description/>
  <cp:lastModifiedBy>Rasma Zvejniece</cp:lastModifiedBy>
  <cp:revision>2</cp:revision>
  <cp:lastPrinted>2024-05-10T08:22:00Z</cp:lastPrinted>
  <dcterms:created xsi:type="dcterms:W3CDTF">2024-05-13T07:59:00Z</dcterms:created>
  <dcterms:modified xsi:type="dcterms:W3CDTF">2024-05-13T07:59:00Z</dcterms:modified>
</cp:coreProperties>
</file>