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2DB2A" w14:textId="77777777" w:rsidR="00011670" w:rsidRDefault="00A77943" w:rsidP="00011670">
      <w:pPr>
        <w:spacing w:after="120" w:line="240" w:lineRule="auto"/>
        <w:jc w:val="center"/>
        <w:rPr>
          <w:rFonts w:cs="Times New Roman"/>
          <w:b/>
          <w:bCs/>
          <w:sz w:val="28"/>
          <w:szCs w:val="28"/>
        </w:rPr>
      </w:pPr>
      <w:r w:rsidRPr="00011670">
        <w:rPr>
          <w:rFonts w:cs="Times New Roman"/>
          <w:b/>
          <w:bCs/>
          <w:sz w:val="28"/>
          <w:szCs w:val="28"/>
        </w:rPr>
        <w:t xml:space="preserve">Tieslietu padomes un Augstākās tiesas priekšsēdētāja </w:t>
      </w:r>
    </w:p>
    <w:p w14:paraId="528630E0" w14:textId="77777777" w:rsidR="00011670" w:rsidRDefault="00A77943" w:rsidP="00011670">
      <w:pPr>
        <w:spacing w:after="120" w:line="240" w:lineRule="auto"/>
        <w:jc w:val="center"/>
        <w:rPr>
          <w:rFonts w:cs="Times New Roman"/>
          <w:b/>
          <w:bCs/>
          <w:sz w:val="28"/>
          <w:szCs w:val="28"/>
        </w:rPr>
      </w:pPr>
      <w:r w:rsidRPr="00011670">
        <w:rPr>
          <w:rFonts w:cs="Times New Roman"/>
          <w:b/>
          <w:bCs/>
          <w:sz w:val="28"/>
          <w:szCs w:val="28"/>
        </w:rPr>
        <w:t xml:space="preserve">Aigara STRUPIŠA </w:t>
      </w:r>
    </w:p>
    <w:p w14:paraId="3C13DAD2" w14:textId="1E4664F5" w:rsidR="00A77943" w:rsidRPr="00011670" w:rsidRDefault="00DD753E" w:rsidP="00011670">
      <w:pPr>
        <w:spacing w:after="120" w:line="240" w:lineRule="auto"/>
        <w:jc w:val="center"/>
        <w:rPr>
          <w:rFonts w:cs="Times New Roman"/>
          <w:b/>
          <w:bCs/>
          <w:sz w:val="28"/>
          <w:szCs w:val="28"/>
        </w:rPr>
      </w:pPr>
      <w:r>
        <w:rPr>
          <w:rFonts w:cs="Times New Roman"/>
          <w:b/>
          <w:bCs/>
          <w:sz w:val="28"/>
          <w:szCs w:val="28"/>
        </w:rPr>
        <w:t>uz</w:t>
      </w:r>
      <w:bookmarkStart w:id="0" w:name="_GoBack"/>
      <w:bookmarkEnd w:id="0"/>
      <w:r w:rsidR="00A77943" w:rsidRPr="00011670">
        <w:rPr>
          <w:rFonts w:cs="Times New Roman"/>
          <w:b/>
          <w:bCs/>
          <w:sz w:val="28"/>
          <w:szCs w:val="28"/>
        </w:rPr>
        <w:t>runa Latvijas tiesnešu konferencē</w:t>
      </w:r>
    </w:p>
    <w:p w14:paraId="152A11F0" w14:textId="40CE2876" w:rsidR="008C75B1" w:rsidRPr="00011670" w:rsidRDefault="00A77943" w:rsidP="00011670">
      <w:pPr>
        <w:spacing w:after="120" w:line="240" w:lineRule="auto"/>
        <w:jc w:val="center"/>
        <w:rPr>
          <w:rFonts w:cs="Times New Roman"/>
          <w:b/>
          <w:bCs/>
          <w:sz w:val="28"/>
          <w:szCs w:val="28"/>
        </w:rPr>
      </w:pPr>
      <w:r w:rsidRPr="00011670">
        <w:rPr>
          <w:rFonts w:cs="Times New Roman"/>
          <w:b/>
          <w:bCs/>
          <w:sz w:val="28"/>
          <w:szCs w:val="28"/>
        </w:rPr>
        <w:t>2023.gada 19.maijs</w:t>
      </w:r>
    </w:p>
    <w:p w14:paraId="7C167D4F" w14:textId="77777777" w:rsidR="00C51E3B" w:rsidRPr="00A77943" w:rsidRDefault="00C51E3B" w:rsidP="00A77943">
      <w:pPr>
        <w:spacing w:after="120" w:line="240" w:lineRule="auto"/>
        <w:jc w:val="both"/>
        <w:rPr>
          <w:rFonts w:cs="Times New Roman"/>
          <w:szCs w:val="24"/>
        </w:rPr>
      </w:pPr>
    </w:p>
    <w:p w14:paraId="6A60DB53" w14:textId="283612AE" w:rsidR="00C51E3B" w:rsidRPr="00011670" w:rsidRDefault="00C51E3B" w:rsidP="00A77943">
      <w:pPr>
        <w:spacing w:after="120" w:line="240" w:lineRule="auto"/>
        <w:jc w:val="both"/>
        <w:rPr>
          <w:rFonts w:cs="Times New Roman"/>
          <w:bCs/>
          <w:szCs w:val="24"/>
        </w:rPr>
      </w:pPr>
      <w:r w:rsidRPr="00011670">
        <w:rPr>
          <w:rFonts w:cs="Times New Roman"/>
          <w:bCs/>
          <w:szCs w:val="24"/>
        </w:rPr>
        <w:t xml:space="preserve">Ir aizvadīts vēl viens gads. </w:t>
      </w:r>
    </w:p>
    <w:p w14:paraId="298F715F" w14:textId="1141F044" w:rsidR="00C51E3B" w:rsidRPr="00A77943" w:rsidRDefault="00C51E3B" w:rsidP="00A77943">
      <w:pPr>
        <w:spacing w:after="120" w:line="240" w:lineRule="auto"/>
        <w:jc w:val="both"/>
        <w:rPr>
          <w:rFonts w:cs="Times New Roman"/>
          <w:szCs w:val="24"/>
        </w:rPr>
      </w:pPr>
      <w:r w:rsidRPr="00A77943">
        <w:rPr>
          <w:rFonts w:cs="Times New Roman"/>
          <w:szCs w:val="24"/>
        </w:rPr>
        <w:t xml:space="preserve">Arī šogad varu teikt, ka kopumā tiesu sistēma darbojas labi. Protams, </w:t>
      </w:r>
      <w:r w:rsidR="00095D66" w:rsidRPr="00A77943">
        <w:rPr>
          <w:rFonts w:cs="Times New Roman"/>
          <w:szCs w:val="24"/>
        </w:rPr>
        <w:t xml:space="preserve">arī mums </w:t>
      </w:r>
      <w:r w:rsidRPr="00A77943">
        <w:rPr>
          <w:rFonts w:cs="Times New Roman"/>
          <w:szCs w:val="24"/>
        </w:rPr>
        <w:t>kā visiem, kuri darbojas</w:t>
      </w:r>
      <w:r w:rsidR="0044208B">
        <w:rPr>
          <w:rFonts w:cs="Times New Roman"/>
          <w:szCs w:val="24"/>
        </w:rPr>
        <w:t>,</w:t>
      </w:r>
      <w:r w:rsidRPr="00A77943">
        <w:rPr>
          <w:rFonts w:cs="Times New Roman"/>
          <w:szCs w:val="24"/>
        </w:rPr>
        <w:t xml:space="preserve"> nevis tikai runā, ir kļūdas, bet tās mēs analizējam un veicam pasākumus to novēršanai nākotnē.</w:t>
      </w:r>
    </w:p>
    <w:p w14:paraId="3F681D1D" w14:textId="58DE8313" w:rsidR="00C51E3B" w:rsidRPr="00A77943" w:rsidRDefault="00212691" w:rsidP="00A77943">
      <w:pPr>
        <w:spacing w:after="120" w:line="240" w:lineRule="auto"/>
        <w:jc w:val="both"/>
        <w:rPr>
          <w:rFonts w:cs="Times New Roman"/>
          <w:szCs w:val="24"/>
        </w:rPr>
      </w:pPr>
      <w:r w:rsidRPr="00A77943">
        <w:rPr>
          <w:rFonts w:cs="Times New Roman"/>
          <w:szCs w:val="24"/>
        </w:rPr>
        <w:t xml:space="preserve">Ko nozīmē “labi”? </w:t>
      </w:r>
      <w:r w:rsidR="00095D66" w:rsidRPr="00A77943">
        <w:rPr>
          <w:rFonts w:cs="Times New Roman"/>
          <w:szCs w:val="24"/>
        </w:rPr>
        <w:t>“</w:t>
      </w:r>
      <w:r w:rsidR="00C51E3B" w:rsidRPr="00A77943">
        <w:rPr>
          <w:rFonts w:cs="Times New Roman"/>
          <w:szCs w:val="24"/>
        </w:rPr>
        <w:t>Labi</w:t>
      </w:r>
      <w:r w:rsidR="00095D66" w:rsidRPr="00A77943">
        <w:rPr>
          <w:rFonts w:cs="Times New Roman"/>
          <w:szCs w:val="24"/>
        </w:rPr>
        <w:t>”</w:t>
      </w:r>
      <w:r w:rsidR="00C51E3B" w:rsidRPr="00A77943">
        <w:rPr>
          <w:rFonts w:cs="Times New Roman"/>
          <w:szCs w:val="24"/>
        </w:rPr>
        <w:t xml:space="preserve"> – </w:t>
      </w:r>
      <w:r w:rsidR="00095D66" w:rsidRPr="00A77943">
        <w:rPr>
          <w:rFonts w:cs="Times New Roman"/>
          <w:szCs w:val="24"/>
        </w:rPr>
        <w:t xml:space="preserve">tas jāskatās kontekstā. Kontekstā ar </w:t>
      </w:r>
      <w:r w:rsidR="00C51E3B" w:rsidRPr="00A77943">
        <w:rPr>
          <w:rFonts w:cs="Times New Roman"/>
          <w:szCs w:val="24"/>
        </w:rPr>
        <w:t>š</w:t>
      </w:r>
      <w:r w:rsidR="00AC5D76" w:rsidRPr="00A77943">
        <w:rPr>
          <w:rFonts w:cs="Times New Roman"/>
          <w:szCs w:val="24"/>
        </w:rPr>
        <w:t>o</w:t>
      </w:r>
      <w:r w:rsidR="00C51E3B" w:rsidRPr="00A77943">
        <w:rPr>
          <w:rFonts w:cs="Times New Roman"/>
          <w:szCs w:val="24"/>
        </w:rPr>
        <w:t xml:space="preserve"> </w:t>
      </w:r>
      <w:r w:rsidR="00095D66" w:rsidRPr="00A77943">
        <w:rPr>
          <w:rFonts w:cs="Times New Roman"/>
          <w:szCs w:val="24"/>
        </w:rPr>
        <w:t>konkrēt</w:t>
      </w:r>
      <w:r w:rsidR="00AC5D76" w:rsidRPr="00A77943">
        <w:rPr>
          <w:rFonts w:cs="Times New Roman"/>
          <w:szCs w:val="24"/>
        </w:rPr>
        <w:t>o</w:t>
      </w:r>
      <w:r w:rsidR="00095D66" w:rsidRPr="00A77943">
        <w:rPr>
          <w:rFonts w:cs="Times New Roman"/>
          <w:szCs w:val="24"/>
        </w:rPr>
        <w:t xml:space="preserve"> </w:t>
      </w:r>
      <w:r w:rsidR="00C51E3B" w:rsidRPr="00A77943">
        <w:rPr>
          <w:rFonts w:cs="Times New Roman"/>
          <w:szCs w:val="24"/>
        </w:rPr>
        <w:t>brīd</w:t>
      </w:r>
      <w:r w:rsidR="00AC5D76" w:rsidRPr="00A77943">
        <w:rPr>
          <w:rFonts w:cs="Times New Roman"/>
          <w:szCs w:val="24"/>
        </w:rPr>
        <w:t>i</w:t>
      </w:r>
      <w:r w:rsidR="00C51E3B" w:rsidRPr="00A77943">
        <w:rPr>
          <w:rFonts w:cs="Times New Roman"/>
          <w:szCs w:val="24"/>
        </w:rPr>
        <w:t xml:space="preserve"> </w:t>
      </w:r>
      <w:r w:rsidR="00AC5D76" w:rsidRPr="00A77943">
        <w:rPr>
          <w:rFonts w:cs="Times New Roman"/>
          <w:szCs w:val="24"/>
        </w:rPr>
        <w:t xml:space="preserve">un tajā pieejamajiem </w:t>
      </w:r>
      <w:r w:rsidR="00095D66" w:rsidRPr="00A77943">
        <w:rPr>
          <w:rFonts w:cs="Times New Roman"/>
          <w:szCs w:val="24"/>
        </w:rPr>
        <w:t xml:space="preserve">konkrētajiem </w:t>
      </w:r>
      <w:r w:rsidR="00C51E3B" w:rsidRPr="00A77943">
        <w:rPr>
          <w:rFonts w:cs="Times New Roman"/>
          <w:szCs w:val="24"/>
        </w:rPr>
        <w:t xml:space="preserve">resursiem – cilvēkresursiem, laika resursiem, materiālajiem resursiem. </w:t>
      </w:r>
      <w:r w:rsidR="00AC5D76" w:rsidRPr="00A77943">
        <w:rPr>
          <w:rFonts w:cs="Times New Roman"/>
          <w:szCs w:val="24"/>
        </w:rPr>
        <w:t>Nav noslēpums, ka j</w:t>
      </w:r>
      <w:r w:rsidR="00C51E3B" w:rsidRPr="00A77943">
        <w:rPr>
          <w:rFonts w:cs="Times New Roman"/>
          <w:szCs w:val="24"/>
        </w:rPr>
        <w:t>oprojām ir izteikt</w:t>
      </w:r>
      <w:r w:rsidR="0044208B">
        <w:rPr>
          <w:rFonts w:cs="Times New Roman"/>
          <w:szCs w:val="24"/>
        </w:rPr>
        <w:t>a</w:t>
      </w:r>
      <w:r w:rsidR="00C51E3B" w:rsidRPr="00A77943">
        <w:rPr>
          <w:rFonts w:cs="Times New Roman"/>
          <w:szCs w:val="24"/>
        </w:rPr>
        <w:t xml:space="preserve">s cilvēkresursu problēmas tiesās – trūkst pietiekami kvalificētu juristu, kuri vēlētos kļūt par </w:t>
      </w:r>
      <w:r w:rsidR="0044208B">
        <w:rPr>
          <w:rFonts w:cs="Times New Roman"/>
          <w:szCs w:val="24"/>
        </w:rPr>
        <w:t xml:space="preserve">pirmās </w:t>
      </w:r>
      <w:r w:rsidR="00C51E3B" w:rsidRPr="00A77943">
        <w:rPr>
          <w:rFonts w:cs="Times New Roman"/>
          <w:szCs w:val="24"/>
        </w:rPr>
        <w:t xml:space="preserve">instances tiesas tiesnešiem, vēl sliktāk ir ar tiesnešu palīgiem. </w:t>
      </w:r>
      <w:r w:rsidRPr="00A77943">
        <w:rPr>
          <w:rFonts w:cs="Times New Roman"/>
          <w:szCs w:val="24"/>
        </w:rPr>
        <w:t>Ir problēmas ar materiāltehniskajiem resursiem, konkrēti</w:t>
      </w:r>
      <w:r w:rsidR="0044208B">
        <w:rPr>
          <w:rFonts w:cs="Times New Roman"/>
          <w:szCs w:val="24"/>
        </w:rPr>
        <w:t>,</w:t>
      </w:r>
      <w:r w:rsidRPr="00A77943">
        <w:rPr>
          <w:rFonts w:cs="Times New Roman"/>
          <w:szCs w:val="24"/>
        </w:rPr>
        <w:t xml:space="preserve"> ar e-lietu, kura joprojām nedarbojas tā, kā tai būtu jādarbojas efektīvā tiesā. Bet mēs tiekam galā. Ne tik labi, kā varētu, ja nebūtu šo problēmu, bet tiekam.</w:t>
      </w:r>
    </w:p>
    <w:p w14:paraId="02E9AF14" w14:textId="288C6EE1" w:rsidR="00763406" w:rsidRPr="00A77943" w:rsidRDefault="00763406" w:rsidP="00A77943">
      <w:pPr>
        <w:spacing w:after="120" w:line="240" w:lineRule="auto"/>
        <w:jc w:val="both"/>
        <w:rPr>
          <w:rFonts w:cs="Times New Roman"/>
          <w:szCs w:val="24"/>
        </w:rPr>
      </w:pPr>
      <w:r w:rsidRPr="00A77943">
        <w:rPr>
          <w:rFonts w:cs="Times New Roman"/>
          <w:szCs w:val="24"/>
        </w:rPr>
        <w:t>Tas nenozīmē, ka nevar labāk</w:t>
      </w:r>
      <w:r w:rsidR="00FB50FF" w:rsidRPr="00A77943">
        <w:rPr>
          <w:rFonts w:cs="Times New Roman"/>
          <w:szCs w:val="24"/>
        </w:rPr>
        <w:t xml:space="preserve"> arī ar visām šīm problēmām</w:t>
      </w:r>
      <w:r w:rsidRPr="00A77943">
        <w:rPr>
          <w:rFonts w:cs="Times New Roman"/>
          <w:szCs w:val="24"/>
        </w:rPr>
        <w:t>. Un tas nenozīmē, ka nevajag labāk</w:t>
      </w:r>
      <w:r w:rsidR="00E73B35" w:rsidRPr="00A77943">
        <w:rPr>
          <w:rFonts w:cs="Times New Roman"/>
          <w:szCs w:val="24"/>
        </w:rPr>
        <w:t>. Kā zināms, n</w:t>
      </w:r>
      <w:r w:rsidRPr="00A77943">
        <w:rPr>
          <w:rFonts w:cs="Times New Roman"/>
          <w:szCs w:val="24"/>
        </w:rPr>
        <w:t>o jebkuras bezizejas ir vismaz divas izejas.</w:t>
      </w:r>
      <w:r w:rsidR="00E73B35" w:rsidRPr="00A77943">
        <w:rPr>
          <w:rFonts w:cs="Times New Roman"/>
          <w:szCs w:val="24"/>
        </w:rPr>
        <w:t xml:space="preserve"> Vienkārši jāmeklē un jākustas. Labs piemērs ir E</w:t>
      </w:r>
      <w:r w:rsidR="0044208B">
        <w:rPr>
          <w:rFonts w:cs="Times New Roman"/>
          <w:szCs w:val="24"/>
        </w:rPr>
        <w:t>iropas Cilvēktiesību tiesa,</w:t>
      </w:r>
      <w:r w:rsidR="00E73B35" w:rsidRPr="00A77943">
        <w:rPr>
          <w:rFonts w:cs="Times New Roman"/>
          <w:szCs w:val="24"/>
        </w:rPr>
        <w:t xml:space="preserve"> kura savām resursu trūkuma radītajām reālās pārslodzes problēmām meklē un atrod ļoti saprātīgus risinājumus.</w:t>
      </w:r>
    </w:p>
    <w:p w14:paraId="4EC2BC42" w14:textId="11ED323F" w:rsidR="00F603E1" w:rsidRPr="00A77943" w:rsidRDefault="00AC5D76" w:rsidP="00A77943">
      <w:pPr>
        <w:spacing w:after="120" w:line="240" w:lineRule="auto"/>
        <w:jc w:val="both"/>
        <w:rPr>
          <w:rFonts w:cs="Times New Roman"/>
          <w:szCs w:val="24"/>
        </w:rPr>
      </w:pPr>
      <w:r w:rsidRPr="00A77943">
        <w:rPr>
          <w:rFonts w:cs="Times New Roman"/>
          <w:szCs w:val="24"/>
        </w:rPr>
        <w:t>Un par to arī šodienas saruna.</w:t>
      </w:r>
    </w:p>
    <w:p w14:paraId="76178F9F" w14:textId="77777777" w:rsidR="0044208B" w:rsidRDefault="0044208B" w:rsidP="00A77943">
      <w:pPr>
        <w:spacing w:after="120" w:line="240" w:lineRule="auto"/>
        <w:jc w:val="both"/>
        <w:rPr>
          <w:rFonts w:cs="Times New Roman"/>
          <w:b/>
          <w:bCs/>
          <w:szCs w:val="24"/>
        </w:rPr>
      </w:pPr>
    </w:p>
    <w:p w14:paraId="6C7A87B9" w14:textId="6C2452DB" w:rsidR="00F603E1" w:rsidRPr="00A77943" w:rsidRDefault="00F603E1" w:rsidP="00A77943">
      <w:pPr>
        <w:spacing w:after="120" w:line="240" w:lineRule="auto"/>
        <w:jc w:val="both"/>
        <w:rPr>
          <w:rFonts w:cs="Times New Roman"/>
          <w:b/>
          <w:bCs/>
          <w:szCs w:val="24"/>
        </w:rPr>
      </w:pPr>
      <w:r w:rsidRPr="00A77943">
        <w:rPr>
          <w:rFonts w:cs="Times New Roman"/>
          <w:b/>
          <w:bCs/>
          <w:szCs w:val="24"/>
        </w:rPr>
        <w:t>Konferences jēga un temats</w:t>
      </w:r>
    </w:p>
    <w:p w14:paraId="1FB9DACC" w14:textId="2E8677EB" w:rsidR="00212691" w:rsidRPr="00A77943" w:rsidRDefault="00F603E1" w:rsidP="00A77943">
      <w:pPr>
        <w:spacing w:after="120" w:line="240" w:lineRule="auto"/>
        <w:jc w:val="both"/>
        <w:rPr>
          <w:rFonts w:cs="Times New Roman"/>
          <w:szCs w:val="24"/>
        </w:rPr>
      </w:pPr>
      <w:r w:rsidRPr="00A77943">
        <w:rPr>
          <w:rFonts w:cs="Times New Roman"/>
          <w:szCs w:val="24"/>
        </w:rPr>
        <w:t xml:space="preserve">Tiesnešu konference ir forums, kurā </w:t>
      </w:r>
      <w:r w:rsidR="00BB7090" w:rsidRPr="00A77943">
        <w:rPr>
          <w:rFonts w:cs="Times New Roman"/>
          <w:szCs w:val="24"/>
        </w:rPr>
        <w:t xml:space="preserve">vienīgo </w:t>
      </w:r>
      <w:r w:rsidRPr="00A77943">
        <w:rPr>
          <w:rFonts w:cs="Times New Roman"/>
          <w:szCs w:val="24"/>
        </w:rPr>
        <w:t>reizi gadā sast</w:t>
      </w:r>
      <w:r w:rsidR="00BB7090" w:rsidRPr="00A77943">
        <w:rPr>
          <w:rFonts w:cs="Times New Roman"/>
          <w:szCs w:val="24"/>
        </w:rPr>
        <w:t>opas</w:t>
      </w:r>
      <w:r w:rsidRPr="00A77943">
        <w:rPr>
          <w:rFonts w:cs="Times New Roman"/>
          <w:szCs w:val="24"/>
        </w:rPr>
        <w:t xml:space="preserve"> Latvijas tiesnešu lielāk</w:t>
      </w:r>
      <w:r w:rsidR="00BB7090" w:rsidRPr="00A77943">
        <w:rPr>
          <w:rFonts w:cs="Times New Roman"/>
          <w:szCs w:val="24"/>
        </w:rPr>
        <w:t>ā</w:t>
      </w:r>
      <w:r w:rsidRPr="00A77943">
        <w:rPr>
          <w:rFonts w:cs="Times New Roman"/>
          <w:szCs w:val="24"/>
        </w:rPr>
        <w:t xml:space="preserve"> daļ</w:t>
      </w:r>
      <w:r w:rsidR="00BB7090" w:rsidRPr="00A77943">
        <w:rPr>
          <w:rFonts w:cs="Times New Roman"/>
          <w:szCs w:val="24"/>
        </w:rPr>
        <w:t>a</w:t>
      </w:r>
      <w:r w:rsidRPr="00A77943">
        <w:rPr>
          <w:rFonts w:cs="Times New Roman"/>
          <w:szCs w:val="24"/>
        </w:rPr>
        <w:t xml:space="preserve">. Tas uzliek konferencei zināmu latiņu. Ja nošķir tiesnešu pašpārvaldes veidošanas funkciju, kura kopš Covid laika jau ir iegājusies neklātienes formātā, vienlaikus saglabājos visas iespējas uzklausīt un iztaujāt kandidātus attālināti, ikgadējai klātienes konferencei paliek vairāk laika mūsu kopējo aktuālo jautājumu apspriešanai. Un, ņemot vērā, ka konference pulcina vienkopus visu specializāciju un instanču tiesnešus, šī ir unikāla iespēja runāt par jautājumiem, kuri patiešām skar </w:t>
      </w:r>
      <w:r w:rsidR="005E24D8" w:rsidRPr="00A77943">
        <w:rPr>
          <w:rFonts w:cs="Times New Roman"/>
          <w:szCs w:val="24"/>
        </w:rPr>
        <w:t xml:space="preserve">gan </w:t>
      </w:r>
      <w:r w:rsidRPr="00A77943">
        <w:rPr>
          <w:rFonts w:cs="Times New Roman"/>
          <w:szCs w:val="24"/>
        </w:rPr>
        <w:t>ikvienu no mums</w:t>
      </w:r>
      <w:r w:rsidR="005E24D8" w:rsidRPr="00A77943">
        <w:rPr>
          <w:rFonts w:cs="Times New Roman"/>
          <w:szCs w:val="24"/>
        </w:rPr>
        <w:t xml:space="preserve">, gan </w:t>
      </w:r>
      <w:r w:rsidR="00FB50FF" w:rsidRPr="00A77943">
        <w:rPr>
          <w:rFonts w:cs="Times New Roman"/>
          <w:szCs w:val="24"/>
        </w:rPr>
        <w:t xml:space="preserve">arī </w:t>
      </w:r>
      <w:r w:rsidR="005E24D8" w:rsidRPr="00A77943">
        <w:rPr>
          <w:rFonts w:cs="Times New Roman"/>
          <w:szCs w:val="24"/>
        </w:rPr>
        <w:t xml:space="preserve">sabiedrību kopā, kurai mēs </w:t>
      </w:r>
      <w:r w:rsidR="00FB50FF" w:rsidRPr="00A77943">
        <w:rPr>
          <w:rFonts w:cs="Times New Roman"/>
          <w:szCs w:val="24"/>
        </w:rPr>
        <w:t xml:space="preserve">visi </w:t>
      </w:r>
      <w:r w:rsidR="005E24D8" w:rsidRPr="00A77943">
        <w:rPr>
          <w:rFonts w:cs="Times New Roman"/>
          <w:szCs w:val="24"/>
        </w:rPr>
        <w:t xml:space="preserve">kalpojam. Tāpēc, manā skatījumā, tiesnešu konference nav </w:t>
      </w:r>
      <w:r w:rsidR="00BB7090" w:rsidRPr="00A77943">
        <w:rPr>
          <w:rFonts w:cs="Times New Roman"/>
          <w:szCs w:val="24"/>
        </w:rPr>
        <w:t xml:space="preserve">labākā </w:t>
      </w:r>
      <w:r w:rsidR="005E24D8" w:rsidRPr="00A77943">
        <w:rPr>
          <w:rFonts w:cs="Times New Roman"/>
          <w:szCs w:val="24"/>
        </w:rPr>
        <w:t>vieta, kur apspriest šaurus juridiskus</w:t>
      </w:r>
      <w:r w:rsidR="00BB7090" w:rsidRPr="00A77943">
        <w:rPr>
          <w:rFonts w:cs="Times New Roman"/>
          <w:szCs w:val="24"/>
        </w:rPr>
        <w:t xml:space="preserve"> nozaru</w:t>
      </w:r>
      <w:r w:rsidR="005E24D8" w:rsidRPr="00A77943">
        <w:rPr>
          <w:rFonts w:cs="Times New Roman"/>
          <w:szCs w:val="24"/>
        </w:rPr>
        <w:t xml:space="preserve"> jautājumus, piemēram, par atšķirībām starp noilgumu un prekluzīvo termiņu u.tml. Tam ir paredzēti cit</w:t>
      </w:r>
      <w:r w:rsidR="00514EAB" w:rsidRPr="00A77943">
        <w:rPr>
          <w:rFonts w:cs="Times New Roman"/>
          <w:szCs w:val="24"/>
        </w:rPr>
        <w:t>i</w:t>
      </w:r>
      <w:r w:rsidR="005E24D8" w:rsidRPr="00A77943">
        <w:rPr>
          <w:rFonts w:cs="Times New Roman"/>
          <w:szCs w:val="24"/>
        </w:rPr>
        <w:t xml:space="preserve"> jau funkcionējoši tiesnešu forumi, piemēram, regulārās dažādu instanču tiesnešu tikšanās un profesionālās diskusijas pa nozarēm. Tiesnešu konferencei ir augstāka latiņa un augstāki mērķi.</w:t>
      </w:r>
      <w:r w:rsidR="00212691" w:rsidRPr="00A77943">
        <w:rPr>
          <w:rFonts w:cs="Times New Roman"/>
          <w:szCs w:val="24"/>
        </w:rPr>
        <w:t xml:space="preserve"> Mūsdienu tiesnesim ir pienākums būt ieinteresētam un zinošam ne vien lietu skatīšanā, bet </w:t>
      </w:r>
      <w:r w:rsidR="00514EAB" w:rsidRPr="00A77943">
        <w:rPr>
          <w:rFonts w:cs="Times New Roman"/>
          <w:szCs w:val="24"/>
        </w:rPr>
        <w:t xml:space="preserve">arī </w:t>
      </w:r>
      <w:r w:rsidR="00212691" w:rsidRPr="00A77943">
        <w:rPr>
          <w:rFonts w:cs="Times New Roman"/>
          <w:szCs w:val="24"/>
        </w:rPr>
        <w:t>tiesu sistēmiskajos jautājumos.</w:t>
      </w:r>
    </w:p>
    <w:p w14:paraId="313173FB" w14:textId="337CD0EE" w:rsidR="00F603E1" w:rsidRPr="00A77943" w:rsidRDefault="00B25D0D" w:rsidP="00A77943">
      <w:pPr>
        <w:spacing w:after="120" w:line="240" w:lineRule="auto"/>
        <w:jc w:val="both"/>
        <w:rPr>
          <w:rFonts w:cs="Times New Roman"/>
          <w:szCs w:val="24"/>
        </w:rPr>
      </w:pPr>
      <w:r w:rsidRPr="00A77943">
        <w:rPr>
          <w:rFonts w:cs="Times New Roman"/>
          <w:szCs w:val="24"/>
        </w:rPr>
        <w:t>Tāpēc šodienas konferences temats ir nesaraujami saistīts ar vienu no Tieslietu padomes stratēģijas prioritātēm – tiesu efektivitātes celšanu. Vienā teikumā – kā paraudzīties uz tiesu sistēmu kopumā tā, lai atrastu tajā noslēptās efektivitātes rezerves, kuras mēs ikdienā nepamanām. Kas jādara, lai tiesu instances darbojas nevis kā vienkārši saskaitāmie 1-2-3 katr</w:t>
      </w:r>
      <w:r w:rsidR="0044208B">
        <w:rPr>
          <w:rFonts w:cs="Times New Roman"/>
          <w:szCs w:val="24"/>
        </w:rPr>
        <w:t>s</w:t>
      </w:r>
      <w:r w:rsidRPr="00A77943">
        <w:rPr>
          <w:rFonts w:cs="Times New Roman"/>
          <w:szCs w:val="24"/>
        </w:rPr>
        <w:t xml:space="preserve"> ar savām “interesēm”, bet kā vienota mehānisma elementi sinerģijā.</w:t>
      </w:r>
    </w:p>
    <w:p w14:paraId="4D2983F0" w14:textId="6506AB7D" w:rsidR="003D27CD" w:rsidRPr="00A77943" w:rsidRDefault="0044208B" w:rsidP="00A77943">
      <w:pPr>
        <w:spacing w:after="120" w:line="240" w:lineRule="auto"/>
        <w:jc w:val="both"/>
        <w:rPr>
          <w:rFonts w:cs="Times New Roman"/>
          <w:szCs w:val="24"/>
        </w:rPr>
      </w:pPr>
      <w:r>
        <w:rPr>
          <w:rFonts w:cs="Times New Roman"/>
          <w:szCs w:val="24"/>
        </w:rPr>
        <w:t>M</w:t>
      </w:r>
      <w:r w:rsidR="003D27CD" w:rsidRPr="00A77943">
        <w:rPr>
          <w:rFonts w:cs="Times New Roman"/>
          <w:szCs w:val="24"/>
        </w:rPr>
        <w:t>ērķis ir nevis vienkārši parunāties parunāšanas pēc, bet lai dotu ies</w:t>
      </w:r>
      <w:r w:rsidR="00514EAB" w:rsidRPr="00A77943">
        <w:rPr>
          <w:rFonts w:cs="Times New Roman"/>
          <w:szCs w:val="24"/>
        </w:rPr>
        <w:t>p</w:t>
      </w:r>
      <w:r w:rsidR="003D27CD" w:rsidRPr="00A77943">
        <w:rPr>
          <w:rFonts w:cs="Times New Roman"/>
          <w:szCs w:val="24"/>
        </w:rPr>
        <w:t>ēju izteikties, izskanēt idejām, kuras pēc tam varētu ieviest. Ceru, ka mums visiem kopā tas izdosies.</w:t>
      </w:r>
    </w:p>
    <w:p w14:paraId="2E51C5CC" w14:textId="77777777" w:rsidR="00B25D0D" w:rsidRPr="00A77943" w:rsidRDefault="00B25D0D" w:rsidP="00A77943">
      <w:pPr>
        <w:spacing w:after="120" w:line="240" w:lineRule="auto"/>
        <w:jc w:val="both"/>
        <w:rPr>
          <w:rFonts w:cs="Times New Roman"/>
          <w:szCs w:val="24"/>
        </w:rPr>
      </w:pPr>
    </w:p>
    <w:p w14:paraId="71C992B3" w14:textId="7ED28BA7" w:rsidR="00E73B35" w:rsidRPr="00A77943" w:rsidRDefault="00D945EE" w:rsidP="00A77943">
      <w:pPr>
        <w:spacing w:after="120" w:line="240" w:lineRule="auto"/>
        <w:jc w:val="both"/>
        <w:rPr>
          <w:rFonts w:cs="Times New Roman"/>
          <w:b/>
          <w:bCs/>
          <w:szCs w:val="24"/>
        </w:rPr>
      </w:pPr>
      <w:r w:rsidRPr="00A77943">
        <w:rPr>
          <w:rFonts w:cs="Times New Roman"/>
          <w:b/>
          <w:bCs/>
          <w:szCs w:val="24"/>
        </w:rPr>
        <w:lastRenderedPageBreak/>
        <w:t>Vispirms p</w:t>
      </w:r>
      <w:r w:rsidR="00E73B35" w:rsidRPr="00A77943">
        <w:rPr>
          <w:rFonts w:cs="Times New Roman"/>
          <w:b/>
          <w:bCs/>
          <w:szCs w:val="24"/>
        </w:rPr>
        <w:t>araudzīsimies uz Latvijas ties</w:t>
      </w:r>
      <w:r w:rsidR="00D72185" w:rsidRPr="00A77943">
        <w:rPr>
          <w:rFonts w:cs="Times New Roman"/>
          <w:b/>
          <w:bCs/>
          <w:szCs w:val="24"/>
        </w:rPr>
        <w:t>as pašreizējo stāvokli, arī salīdzinošā aspektā</w:t>
      </w:r>
      <w:r w:rsidR="00E73B35" w:rsidRPr="00A77943">
        <w:rPr>
          <w:rFonts w:cs="Times New Roman"/>
          <w:b/>
          <w:bCs/>
          <w:szCs w:val="24"/>
        </w:rPr>
        <w:t xml:space="preserve">. </w:t>
      </w:r>
    </w:p>
    <w:p w14:paraId="4FE9D27E" w14:textId="0A1EF3CA" w:rsidR="00241CFB" w:rsidRPr="00A77943" w:rsidRDefault="00241CFB" w:rsidP="00A77943">
      <w:pPr>
        <w:spacing w:after="120" w:line="240" w:lineRule="auto"/>
        <w:jc w:val="both"/>
        <w:rPr>
          <w:rFonts w:cs="Times New Roman"/>
          <w:b/>
          <w:bCs/>
          <w:szCs w:val="24"/>
        </w:rPr>
      </w:pPr>
      <w:r w:rsidRPr="00A77943">
        <w:rPr>
          <w:rFonts w:cs="Times New Roman"/>
          <w:b/>
          <w:bCs/>
          <w:szCs w:val="24"/>
        </w:rPr>
        <w:t>Tiesnešu skaits</w:t>
      </w:r>
    </w:p>
    <w:p w14:paraId="59EC7E81" w14:textId="36BEC71F" w:rsidR="00D945EE" w:rsidRPr="00A77943" w:rsidRDefault="00D945EE" w:rsidP="00A77943">
      <w:pPr>
        <w:spacing w:after="120" w:line="240" w:lineRule="auto"/>
        <w:jc w:val="both"/>
        <w:rPr>
          <w:rFonts w:cs="Times New Roman"/>
          <w:szCs w:val="24"/>
        </w:rPr>
      </w:pPr>
      <w:r w:rsidRPr="00A77943">
        <w:rPr>
          <w:rFonts w:cs="Times New Roman"/>
          <w:szCs w:val="24"/>
        </w:rPr>
        <w:t xml:space="preserve">Latvijā ir </w:t>
      </w:r>
      <w:r w:rsidR="009D43E9" w:rsidRPr="00A77943">
        <w:rPr>
          <w:rFonts w:cs="Times New Roman"/>
          <w:szCs w:val="24"/>
        </w:rPr>
        <w:t>29 tiesneši uz 100 000 iedzīvotājiem. Salīdzinājumam</w:t>
      </w:r>
      <w:r w:rsidR="00241CFB" w:rsidRPr="00A77943">
        <w:rPr>
          <w:rFonts w:cs="Times New Roman"/>
          <w:szCs w:val="24"/>
        </w:rPr>
        <w:t xml:space="preserve"> (noapaļojot)</w:t>
      </w:r>
      <w:r w:rsidR="00A37211" w:rsidRPr="00A77943">
        <w:rPr>
          <w:rFonts w:cs="Times New Roman"/>
          <w:szCs w:val="24"/>
        </w:rPr>
        <w:t>:</w:t>
      </w:r>
    </w:p>
    <w:p w14:paraId="55916714" w14:textId="44411B9A" w:rsidR="00A37211" w:rsidRPr="00A77943" w:rsidRDefault="00A37211" w:rsidP="00A77943">
      <w:pPr>
        <w:spacing w:after="120" w:line="240" w:lineRule="auto"/>
        <w:jc w:val="both"/>
        <w:rPr>
          <w:rFonts w:cs="Times New Roman"/>
          <w:szCs w:val="24"/>
        </w:rPr>
      </w:pPr>
      <w:r w:rsidRPr="00A77943">
        <w:rPr>
          <w:rFonts w:cs="Times New Roman"/>
          <w:szCs w:val="24"/>
        </w:rPr>
        <w:t>Francijā, Zviedrijā, Norvēģijā – 11</w:t>
      </w:r>
    </w:p>
    <w:p w14:paraId="14EE00D2" w14:textId="187217CF" w:rsidR="00A37211" w:rsidRPr="00A77943" w:rsidRDefault="00A37211" w:rsidP="00A77943">
      <w:pPr>
        <w:spacing w:after="120" w:line="240" w:lineRule="auto"/>
        <w:jc w:val="both"/>
        <w:rPr>
          <w:rFonts w:cs="Times New Roman"/>
          <w:szCs w:val="24"/>
        </w:rPr>
      </w:pPr>
      <w:r w:rsidRPr="00A77943">
        <w:rPr>
          <w:rFonts w:cs="Times New Roman"/>
          <w:szCs w:val="24"/>
        </w:rPr>
        <w:t xml:space="preserve">Lielbritānijā – </w:t>
      </w:r>
      <w:r w:rsidR="00241CFB" w:rsidRPr="00A77943">
        <w:rPr>
          <w:rFonts w:cs="Times New Roman"/>
          <w:szCs w:val="24"/>
        </w:rPr>
        <w:t>4</w:t>
      </w:r>
    </w:p>
    <w:p w14:paraId="2181319C" w14:textId="10BBD6F9" w:rsidR="00A37211" w:rsidRPr="00A77943" w:rsidRDefault="00A37211" w:rsidP="00A77943">
      <w:pPr>
        <w:spacing w:after="120" w:line="240" w:lineRule="auto"/>
        <w:jc w:val="both"/>
        <w:rPr>
          <w:rFonts w:cs="Times New Roman"/>
          <w:szCs w:val="24"/>
        </w:rPr>
      </w:pPr>
      <w:r w:rsidRPr="00A77943">
        <w:rPr>
          <w:rFonts w:cs="Times New Roman"/>
          <w:szCs w:val="24"/>
        </w:rPr>
        <w:t>Portugālē, Somijā – 19</w:t>
      </w:r>
    </w:p>
    <w:p w14:paraId="755D2050" w14:textId="02195B86" w:rsidR="00A37211" w:rsidRPr="00A77943" w:rsidRDefault="00A37211" w:rsidP="00A77943">
      <w:pPr>
        <w:spacing w:after="120" w:line="240" w:lineRule="auto"/>
        <w:jc w:val="both"/>
        <w:rPr>
          <w:rFonts w:cs="Times New Roman"/>
          <w:szCs w:val="24"/>
        </w:rPr>
      </w:pPr>
      <w:r w:rsidRPr="00A77943">
        <w:rPr>
          <w:rFonts w:cs="Times New Roman"/>
          <w:szCs w:val="24"/>
        </w:rPr>
        <w:t xml:space="preserve">Dānijā – </w:t>
      </w:r>
      <w:r w:rsidR="00241CFB" w:rsidRPr="00A77943">
        <w:rPr>
          <w:rFonts w:cs="Times New Roman"/>
          <w:szCs w:val="24"/>
        </w:rPr>
        <w:t>7</w:t>
      </w:r>
    </w:p>
    <w:p w14:paraId="4A05E262" w14:textId="7984C8C8" w:rsidR="00F80CF4" w:rsidRPr="00A77943" w:rsidRDefault="00F80CF4" w:rsidP="00A77943">
      <w:pPr>
        <w:spacing w:after="120" w:line="240" w:lineRule="auto"/>
        <w:jc w:val="both"/>
        <w:rPr>
          <w:rFonts w:cs="Times New Roman"/>
          <w:szCs w:val="24"/>
        </w:rPr>
      </w:pPr>
      <w:r w:rsidRPr="00A77943">
        <w:rPr>
          <w:rFonts w:cs="Times New Roman"/>
          <w:szCs w:val="24"/>
        </w:rPr>
        <w:t>Igaunij</w:t>
      </w:r>
      <w:r w:rsidR="0044208B">
        <w:rPr>
          <w:rFonts w:cs="Times New Roman"/>
          <w:szCs w:val="24"/>
        </w:rPr>
        <w:t>ā</w:t>
      </w:r>
      <w:r w:rsidRPr="00A77943">
        <w:rPr>
          <w:rFonts w:cs="Times New Roman"/>
          <w:szCs w:val="24"/>
        </w:rPr>
        <w:t xml:space="preserve"> – </w:t>
      </w:r>
      <w:r w:rsidR="00241CFB" w:rsidRPr="00A77943">
        <w:rPr>
          <w:rFonts w:cs="Times New Roman"/>
          <w:szCs w:val="24"/>
        </w:rPr>
        <w:t>18</w:t>
      </w:r>
    </w:p>
    <w:p w14:paraId="26F92F5B" w14:textId="160C4348" w:rsidR="00A37211" w:rsidRPr="00A77943" w:rsidRDefault="00A37211" w:rsidP="00A77943">
      <w:pPr>
        <w:spacing w:after="120" w:line="240" w:lineRule="auto"/>
        <w:jc w:val="both"/>
        <w:rPr>
          <w:rFonts w:cs="Times New Roman"/>
          <w:szCs w:val="24"/>
        </w:rPr>
      </w:pPr>
      <w:r w:rsidRPr="00A77943">
        <w:rPr>
          <w:rFonts w:cs="Times New Roman"/>
          <w:szCs w:val="24"/>
        </w:rPr>
        <w:t xml:space="preserve">Latvija </w:t>
      </w:r>
      <w:r w:rsidR="00241CFB" w:rsidRPr="00A77943">
        <w:rPr>
          <w:rFonts w:cs="Times New Roman"/>
          <w:szCs w:val="24"/>
        </w:rPr>
        <w:t xml:space="preserve">šajā rādītājā </w:t>
      </w:r>
      <w:r w:rsidRPr="00A77943">
        <w:rPr>
          <w:rFonts w:cs="Times New Roman"/>
          <w:szCs w:val="24"/>
        </w:rPr>
        <w:t>atpaliek tikai no Balkānu valstīm, Bulgārijas un Monako, kur tiesnešu skaits pret iedzīvotāju skaitu ir vēl lielāks.</w:t>
      </w:r>
    </w:p>
    <w:p w14:paraId="1EF8DDAA" w14:textId="77777777" w:rsidR="00A37211" w:rsidRPr="00A77943" w:rsidRDefault="00A37211" w:rsidP="00A77943">
      <w:pPr>
        <w:spacing w:after="120" w:line="240" w:lineRule="auto"/>
        <w:jc w:val="both"/>
        <w:rPr>
          <w:rFonts w:cs="Times New Roman"/>
          <w:szCs w:val="24"/>
        </w:rPr>
      </w:pPr>
    </w:p>
    <w:p w14:paraId="762D8B7C" w14:textId="1E9F9CF0" w:rsidR="00241CFB" w:rsidRPr="00A77943" w:rsidRDefault="00241CFB" w:rsidP="00A77943">
      <w:pPr>
        <w:spacing w:after="120" w:line="240" w:lineRule="auto"/>
        <w:jc w:val="both"/>
        <w:rPr>
          <w:rFonts w:cs="Times New Roman"/>
          <w:b/>
          <w:bCs/>
          <w:szCs w:val="24"/>
        </w:rPr>
      </w:pPr>
      <w:r w:rsidRPr="00A77943">
        <w:rPr>
          <w:rFonts w:cs="Times New Roman"/>
          <w:b/>
          <w:bCs/>
          <w:szCs w:val="24"/>
        </w:rPr>
        <w:t>Tiesu budžets</w:t>
      </w:r>
    </w:p>
    <w:p w14:paraId="7B2302B4" w14:textId="27F4FCB3" w:rsidR="00241CFB" w:rsidRPr="00A77943" w:rsidRDefault="00241CFB" w:rsidP="00A77943">
      <w:pPr>
        <w:spacing w:after="120" w:line="240" w:lineRule="auto"/>
        <w:jc w:val="both"/>
        <w:rPr>
          <w:rFonts w:cs="Times New Roman"/>
          <w:b/>
          <w:bCs/>
          <w:i/>
          <w:iCs/>
          <w:szCs w:val="24"/>
        </w:rPr>
      </w:pPr>
      <w:r w:rsidRPr="00A77943">
        <w:rPr>
          <w:rFonts w:cs="Times New Roman"/>
          <w:b/>
          <w:bCs/>
          <w:i/>
          <w:iCs/>
          <w:szCs w:val="24"/>
        </w:rPr>
        <w:t>% no valsts budžeta</w:t>
      </w:r>
    </w:p>
    <w:p w14:paraId="18E5239B" w14:textId="6EEE711C" w:rsidR="00241CFB" w:rsidRPr="00A77943" w:rsidRDefault="00241CFB" w:rsidP="00A77943">
      <w:pPr>
        <w:spacing w:after="120" w:line="240" w:lineRule="auto"/>
        <w:jc w:val="both"/>
        <w:rPr>
          <w:rFonts w:cs="Times New Roman"/>
          <w:szCs w:val="24"/>
        </w:rPr>
      </w:pPr>
      <w:r w:rsidRPr="00A77943">
        <w:rPr>
          <w:rFonts w:cs="Times New Roman"/>
          <w:szCs w:val="24"/>
        </w:rPr>
        <w:t>Latvija – 1,05</w:t>
      </w:r>
    </w:p>
    <w:p w14:paraId="6D05D33E" w14:textId="6ACB63E1" w:rsidR="00241CFB" w:rsidRPr="00A77943" w:rsidRDefault="00241CFB" w:rsidP="00A77943">
      <w:pPr>
        <w:spacing w:after="120" w:line="240" w:lineRule="auto"/>
        <w:jc w:val="both"/>
        <w:rPr>
          <w:rFonts w:cs="Times New Roman"/>
          <w:szCs w:val="24"/>
        </w:rPr>
      </w:pPr>
      <w:r w:rsidRPr="00A77943">
        <w:rPr>
          <w:rFonts w:cs="Times New Roman"/>
          <w:szCs w:val="24"/>
        </w:rPr>
        <w:t>Igaunija – 0,66</w:t>
      </w:r>
    </w:p>
    <w:p w14:paraId="4501F494" w14:textId="6FD9CBFF" w:rsidR="00241CFB" w:rsidRPr="00A77943" w:rsidRDefault="00241CFB" w:rsidP="00A77943">
      <w:pPr>
        <w:spacing w:after="120" w:line="240" w:lineRule="auto"/>
        <w:jc w:val="both"/>
        <w:rPr>
          <w:rFonts w:cs="Times New Roman"/>
          <w:szCs w:val="24"/>
        </w:rPr>
      </w:pPr>
      <w:r w:rsidRPr="00A77943">
        <w:rPr>
          <w:rFonts w:cs="Times New Roman"/>
          <w:szCs w:val="24"/>
        </w:rPr>
        <w:t>Portugāle – 0,72</w:t>
      </w:r>
    </w:p>
    <w:p w14:paraId="2882CCAA" w14:textId="07250D16" w:rsidR="00241CFB" w:rsidRPr="00A77943" w:rsidRDefault="00241CFB" w:rsidP="00A77943">
      <w:pPr>
        <w:spacing w:after="120" w:line="240" w:lineRule="auto"/>
        <w:jc w:val="both"/>
        <w:rPr>
          <w:rFonts w:cs="Times New Roman"/>
          <w:szCs w:val="24"/>
        </w:rPr>
      </w:pPr>
      <w:r w:rsidRPr="00A77943">
        <w:rPr>
          <w:rFonts w:cs="Times New Roman"/>
          <w:szCs w:val="24"/>
        </w:rPr>
        <w:t>Vācija – 0,78</w:t>
      </w:r>
    </w:p>
    <w:p w14:paraId="777907C9" w14:textId="78B81BB4" w:rsidR="00241CFB" w:rsidRPr="00A77943" w:rsidRDefault="00241CFB" w:rsidP="00A77943">
      <w:pPr>
        <w:spacing w:after="120" w:line="240" w:lineRule="auto"/>
        <w:jc w:val="both"/>
        <w:rPr>
          <w:rFonts w:cs="Times New Roman"/>
          <w:szCs w:val="24"/>
        </w:rPr>
      </w:pPr>
      <w:r w:rsidRPr="00A77943">
        <w:rPr>
          <w:rFonts w:cs="Times New Roman"/>
          <w:szCs w:val="24"/>
        </w:rPr>
        <w:t>Dānija – 0,32</w:t>
      </w:r>
    </w:p>
    <w:p w14:paraId="42B92E58" w14:textId="47C73598" w:rsidR="00241CFB" w:rsidRPr="00A77943" w:rsidRDefault="00241CFB" w:rsidP="00A77943">
      <w:pPr>
        <w:spacing w:after="120" w:line="240" w:lineRule="auto"/>
        <w:jc w:val="both"/>
        <w:rPr>
          <w:rFonts w:cs="Times New Roman"/>
          <w:szCs w:val="24"/>
        </w:rPr>
      </w:pPr>
      <w:r w:rsidRPr="00A77943">
        <w:rPr>
          <w:rFonts w:cs="Times New Roman"/>
          <w:szCs w:val="24"/>
        </w:rPr>
        <w:t>Somija – 0,41</w:t>
      </w:r>
    </w:p>
    <w:p w14:paraId="38EED0F1" w14:textId="59CB428F" w:rsidR="00241CFB" w:rsidRPr="00A77943" w:rsidRDefault="00241CFB" w:rsidP="00A77943">
      <w:pPr>
        <w:spacing w:after="120" w:line="240" w:lineRule="auto"/>
        <w:jc w:val="both"/>
        <w:rPr>
          <w:rFonts w:cs="Times New Roman"/>
          <w:szCs w:val="24"/>
        </w:rPr>
      </w:pPr>
      <w:r w:rsidRPr="00A77943">
        <w:rPr>
          <w:rFonts w:cs="Times New Roman"/>
          <w:szCs w:val="24"/>
        </w:rPr>
        <w:t>Lietuva – 0,62</w:t>
      </w:r>
    </w:p>
    <w:p w14:paraId="57908860" w14:textId="3DCBE71D" w:rsidR="008D625C" w:rsidRPr="00A77943" w:rsidRDefault="008D625C" w:rsidP="00A77943">
      <w:pPr>
        <w:spacing w:after="120" w:line="240" w:lineRule="auto"/>
        <w:jc w:val="both"/>
        <w:rPr>
          <w:rFonts w:cs="Times New Roman"/>
          <w:szCs w:val="24"/>
        </w:rPr>
      </w:pPr>
      <w:r w:rsidRPr="00A77943">
        <w:rPr>
          <w:rFonts w:cs="Times New Roman"/>
          <w:szCs w:val="24"/>
        </w:rPr>
        <w:t>Īrija – 0,71</w:t>
      </w:r>
    </w:p>
    <w:p w14:paraId="600E7F4A" w14:textId="6BD5FF27" w:rsidR="00241CFB" w:rsidRPr="00A77943" w:rsidRDefault="00241CFB" w:rsidP="00A77943">
      <w:pPr>
        <w:spacing w:after="120" w:line="240" w:lineRule="auto"/>
        <w:jc w:val="both"/>
        <w:rPr>
          <w:rFonts w:cs="Times New Roman"/>
          <w:szCs w:val="24"/>
        </w:rPr>
      </w:pPr>
      <w:r w:rsidRPr="00A77943">
        <w:rPr>
          <w:rFonts w:cs="Times New Roman"/>
          <w:szCs w:val="24"/>
        </w:rPr>
        <w:t xml:space="preserve">Latvijai priekšā ir tikai Rumānija, Polija un Bulgārija </w:t>
      </w:r>
    </w:p>
    <w:p w14:paraId="213B5783" w14:textId="77777777" w:rsidR="00241CFB" w:rsidRPr="00A77943" w:rsidRDefault="00241CFB" w:rsidP="00A77943">
      <w:pPr>
        <w:spacing w:after="120" w:line="240" w:lineRule="auto"/>
        <w:jc w:val="both"/>
        <w:rPr>
          <w:rFonts w:cs="Times New Roman"/>
          <w:szCs w:val="24"/>
        </w:rPr>
      </w:pPr>
    </w:p>
    <w:p w14:paraId="0A55C8C5" w14:textId="73FC434D" w:rsidR="00241CFB" w:rsidRPr="00A77943" w:rsidRDefault="00241CFB" w:rsidP="00A77943">
      <w:pPr>
        <w:spacing w:after="120" w:line="240" w:lineRule="auto"/>
        <w:jc w:val="both"/>
        <w:rPr>
          <w:rFonts w:cs="Times New Roman"/>
          <w:b/>
          <w:bCs/>
          <w:i/>
          <w:iCs/>
          <w:szCs w:val="24"/>
        </w:rPr>
      </w:pPr>
      <w:r w:rsidRPr="00A77943">
        <w:rPr>
          <w:rFonts w:cs="Times New Roman"/>
          <w:b/>
          <w:bCs/>
          <w:i/>
          <w:iCs/>
          <w:szCs w:val="24"/>
        </w:rPr>
        <w:t>% no IKP</w:t>
      </w:r>
    </w:p>
    <w:p w14:paraId="0EB5A6B3" w14:textId="2330E002" w:rsidR="00241CFB" w:rsidRPr="00A77943" w:rsidRDefault="00241CFB" w:rsidP="00A77943">
      <w:pPr>
        <w:spacing w:after="120" w:line="240" w:lineRule="auto"/>
        <w:jc w:val="both"/>
        <w:rPr>
          <w:rFonts w:cs="Times New Roman"/>
          <w:szCs w:val="24"/>
        </w:rPr>
      </w:pPr>
      <w:r w:rsidRPr="00A77943">
        <w:rPr>
          <w:rFonts w:cs="Times New Roman"/>
          <w:szCs w:val="24"/>
        </w:rPr>
        <w:t>Latvija – 0,46</w:t>
      </w:r>
    </w:p>
    <w:p w14:paraId="3FF46ECF" w14:textId="3A48B83F" w:rsidR="00D90BE7" w:rsidRPr="00A77943" w:rsidRDefault="00D90BE7" w:rsidP="00A77943">
      <w:pPr>
        <w:spacing w:after="120" w:line="240" w:lineRule="auto"/>
        <w:jc w:val="both"/>
        <w:rPr>
          <w:rFonts w:cs="Times New Roman"/>
          <w:szCs w:val="24"/>
        </w:rPr>
      </w:pPr>
      <w:r w:rsidRPr="00A77943">
        <w:rPr>
          <w:rFonts w:cs="Times New Roman"/>
          <w:szCs w:val="24"/>
        </w:rPr>
        <w:t>Igaunija – 0,27</w:t>
      </w:r>
    </w:p>
    <w:p w14:paraId="78DB3185" w14:textId="39F484E9" w:rsidR="00D90BE7" w:rsidRPr="00A77943" w:rsidRDefault="00D90BE7" w:rsidP="00A77943">
      <w:pPr>
        <w:spacing w:after="120" w:line="240" w:lineRule="auto"/>
        <w:jc w:val="both"/>
        <w:rPr>
          <w:rFonts w:cs="Times New Roman"/>
          <w:szCs w:val="24"/>
        </w:rPr>
      </w:pPr>
      <w:r w:rsidRPr="00A77943">
        <w:rPr>
          <w:rFonts w:cs="Times New Roman"/>
          <w:szCs w:val="24"/>
        </w:rPr>
        <w:t>Portugāle – 0,35</w:t>
      </w:r>
    </w:p>
    <w:p w14:paraId="13B3CDB9" w14:textId="4D950FD0" w:rsidR="00D90BE7" w:rsidRPr="00A77943" w:rsidRDefault="00D90BE7" w:rsidP="00A77943">
      <w:pPr>
        <w:spacing w:after="120" w:line="240" w:lineRule="auto"/>
        <w:jc w:val="both"/>
        <w:rPr>
          <w:rFonts w:cs="Times New Roman"/>
          <w:szCs w:val="24"/>
        </w:rPr>
      </w:pPr>
      <w:r w:rsidRPr="00A77943">
        <w:rPr>
          <w:rFonts w:cs="Times New Roman"/>
          <w:szCs w:val="24"/>
        </w:rPr>
        <w:t>Vācija – 0,40</w:t>
      </w:r>
    </w:p>
    <w:p w14:paraId="66351895" w14:textId="43AC8C74" w:rsidR="00D90BE7" w:rsidRPr="00A77943" w:rsidRDefault="00D90BE7" w:rsidP="00A77943">
      <w:pPr>
        <w:spacing w:after="120" w:line="240" w:lineRule="auto"/>
        <w:jc w:val="both"/>
        <w:rPr>
          <w:rFonts w:cs="Times New Roman"/>
          <w:szCs w:val="24"/>
        </w:rPr>
      </w:pPr>
      <w:r w:rsidRPr="00A77943">
        <w:rPr>
          <w:rFonts w:cs="Times New Roman"/>
          <w:szCs w:val="24"/>
        </w:rPr>
        <w:t>Dānija – 0,17</w:t>
      </w:r>
    </w:p>
    <w:p w14:paraId="29E299DE" w14:textId="6BC9DB0B" w:rsidR="00D90BE7" w:rsidRPr="00A77943" w:rsidRDefault="00D90BE7" w:rsidP="00A77943">
      <w:pPr>
        <w:spacing w:after="120" w:line="240" w:lineRule="auto"/>
        <w:jc w:val="both"/>
        <w:rPr>
          <w:rFonts w:cs="Times New Roman"/>
          <w:szCs w:val="24"/>
        </w:rPr>
      </w:pPr>
      <w:r w:rsidRPr="00A77943">
        <w:rPr>
          <w:rFonts w:cs="Times New Roman"/>
          <w:szCs w:val="24"/>
        </w:rPr>
        <w:t>Somija – 0,23</w:t>
      </w:r>
    </w:p>
    <w:p w14:paraId="2867C096" w14:textId="5DC0E30E" w:rsidR="00D90BE7" w:rsidRPr="00A77943" w:rsidRDefault="00D90BE7" w:rsidP="00A77943">
      <w:pPr>
        <w:spacing w:after="120" w:line="240" w:lineRule="auto"/>
        <w:jc w:val="both"/>
        <w:rPr>
          <w:rFonts w:cs="Times New Roman"/>
          <w:szCs w:val="24"/>
        </w:rPr>
      </w:pPr>
      <w:r w:rsidRPr="00A77943">
        <w:rPr>
          <w:rFonts w:cs="Times New Roman"/>
          <w:szCs w:val="24"/>
        </w:rPr>
        <w:t>Lietuva – 0,23</w:t>
      </w:r>
    </w:p>
    <w:p w14:paraId="08DE3769" w14:textId="5A1D9732" w:rsidR="00D90BE7" w:rsidRPr="00A77943" w:rsidRDefault="00D90BE7" w:rsidP="00A77943">
      <w:pPr>
        <w:spacing w:after="120" w:line="240" w:lineRule="auto"/>
        <w:jc w:val="both"/>
        <w:rPr>
          <w:rFonts w:cs="Times New Roman"/>
          <w:szCs w:val="24"/>
        </w:rPr>
      </w:pPr>
      <w:r w:rsidRPr="00A77943">
        <w:rPr>
          <w:rFonts w:cs="Times New Roman"/>
          <w:szCs w:val="24"/>
        </w:rPr>
        <w:t>Īrija – 0,18</w:t>
      </w:r>
    </w:p>
    <w:p w14:paraId="0413ABF2" w14:textId="77777777" w:rsidR="00241CFB" w:rsidRPr="00A77943" w:rsidRDefault="00241CFB" w:rsidP="00A77943">
      <w:pPr>
        <w:spacing w:after="120" w:line="240" w:lineRule="auto"/>
        <w:jc w:val="both"/>
        <w:rPr>
          <w:rFonts w:cs="Times New Roman"/>
          <w:szCs w:val="24"/>
        </w:rPr>
      </w:pPr>
    </w:p>
    <w:p w14:paraId="14BF9103" w14:textId="54458E2B" w:rsidR="00241CFB" w:rsidRPr="00A77943" w:rsidRDefault="00241CFB" w:rsidP="00A77943">
      <w:pPr>
        <w:spacing w:after="120" w:line="240" w:lineRule="auto"/>
        <w:jc w:val="both"/>
        <w:rPr>
          <w:rFonts w:cs="Times New Roman"/>
          <w:b/>
          <w:bCs/>
          <w:szCs w:val="24"/>
        </w:rPr>
      </w:pPr>
      <w:r w:rsidRPr="00A77943">
        <w:rPr>
          <w:rFonts w:cs="Times New Roman"/>
          <w:b/>
          <w:bCs/>
          <w:szCs w:val="24"/>
        </w:rPr>
        <w:t>Lietu skaits</w:t>
      </w:r>
    </w:p>
    <w:p w14:paraId="434DEDB4" w14:textId="4DA2DAFD" w:rsidR="00241CFB" w:rsidRPr="00A77943" w:rsidRDefault="00EA1C88" w:rsidP="00A77943">
      <w:pPr>
        <w:spacing w:after="120" w:line="240" w:lineRule="auto"/>
        <w:jc w:val="both"/>
        <w:rPr>
          <w:rFonts w:cs="Times New Roman"/>
          <w:b/>
          <w:bCs/>
          <w:i/>
          <w:iCs/>
          <w:szCs w:val="24"/>
        </w:rPr>
      </w:pPr>
      <w:r w:rsidRPr="00A77943">
        <w:rPr>
          <w:rFonts w:cs="Times New Roman"/>
          <w:b/>
          <w:bCs/>
          <w:i/>
          <w:iCs/>
          <w:szCs w:val="24"/>
        </w:rPr>
        <w:t>Salīdzinājumā ar citām valstīm</w:t>
      </w:r>
    </w:p>
    <w:p w14:paraId="5AC1403F" w14:textId="3D0802B4" w:rsidR="00241CFB" w:rsidRPr="00A77943" w:rsidRDefault="00584836" w:rsidP="00A77943">
      <w:pPr>
        <w:spacing w:after="120" w:line="240" w:lineRule="auto"/>
        <w:jc w:val="both"/>
        <w:rPr>
          <w:rFonts w:cs="Times New Roman"/>
          <w:szCs w:val="24"/>
        </w:rPr>
      </w:pPr>
      <w:r w:rsidRPr="00A77943">
        <w:rPr>
          <w:rFonts w:cs="Times New Roman"/>
          <w:szCs w:val="24"/>
        </w:rPr>
        <w:lastRenderedPageBreak/>
        <w:t>Latvijā pēc Justice Scorboard datiem uz 2020.gadu ir viens no mazākajiem lietu skaitiem uz 100</w:t>
      </w:r>
      <w:r w:rsidR="0044208B">
        <w:rPr>
          <w:rFonts w:cs="Times New Roman"/>
          <w:szCs w:val="24"/>
        </w:rPr>
        <w:t> </w:t>
      </w:r>
      <w:r w:rsidRPr="00A77943">
        <w:rPr>
          <w:rFonts w:cs="Times New Roman"/>
          <w:szCs w:val="24"/>
        </w:rPr>
        <w:t>00 iedzīvotājiem civil- un komercstrīdos un administratīvajos strīdos. (https://commission.europa.eu/system/files/2022-05/eu_justice_scoreboard_2022.pdf)</w:t>
      </w:r>
    </w:p>
    <w:p w14:paraId="7B222FE3" w14:textId="77777777" w:rsidR="00C30AD7" w:rsidRDefault="00C30AD7" w:rsidP="00A77943">
      <w:pPr>
        <w:spacing w:after="120" w:line="240" w:lineRule="auto"/>
        <w:jc w:val="both"/>
        <w:rPr>
          <w:rFonts w:cs="Times New Roman"/>
          <w:b/>
          <w:bCs/>
          <w:i/>
          <w:iCs/>
          <w:szCs w:val="24"/>
        </w:rPr>
      </w:pPr>
    </w:p>
    <w:p w14:paraId="7BB80DCC" w14:textId="4DA6B854" w:rsidR="00EA1C88" w:rsidRPr="00A77943" w:rsidRDefault="00EA1C88" w:rsidP="00A77943">
      <w:pPr>
        <w:spacing w:after="120" w:line="240" w:lineRule="auto"/>
        <w:jc w:val="both"/>
        <w:rPr>
          <w:rFonts w:cs="Times New Roman"/>
          <w:b/>
          <w:bCs/>
          <w:i/>
          <w:iCs/>
          <w:szCs w:val="24"/>
        </w:rPr>
      </w:pPr>
      <w:r w:rsidRPr="00A77943">
        <w:rPr>
          <w:rFonts w:cs="Times New Roman"/>
          <w:b/>
          <w:bCs/>
          <w:i/>
          <w:iCs/>
          <w:szCs w:val="24"/>
        </w:rPr>
        <w:t>Samazinājums pa gadiem</w:t>
      </w:r>
    </w:p>
    <w:p w14:paraId="71E3F77C" w14:textId="454F514A" w:rsidR="00E73B35" w:rsidRPr="00A77943" w:rsidRDefault="001459AB" w:rsidP="00A77943">
      <w:pPr>
        <w:spacing w:after="120" w:line="240" w:lineRule="auto"/>
        <w:jc w:val="both"/>
        <w:rPr>
          <w:rFonts w:cs="Times New Roman"/>
          <w:szCs w:val="24"/>
        </w:rPr>
      </w:pPr>
      <w:r w:rsidRPr="00A77943">
        <w:rPr>
          <w:rFonts w:cs="Times New Roman"/>
          <w:szCs w:val="24"/>
        </w:rPr>
        <w:t>Kopējā statistika rāda, ka pēdējo četru gadu laikā lietu skaits uz vienu tiesnesi ir samazinājies par aptuveni 25%.</w:t>
      </w:r>
    </w:p>
    <w:p w14:paraId="68FE9A58" w14:textId="69942467" w:rsidR="001459AB" w:rsidRPr="00A77943" w:rsidRDefault="001459AB" w:rsidP="00A77943">
      <w:pPr>
        <w:spacing w:after="120" w:line="240" w:lineRule="auto"/>
        <w:jc w:val="both"/>
        <w:rPr>
          <w:rFonts w:cs="Times New Roman"/>
          <w:szCs w:val="24"/>
        </w:rPr>
      </w:pPr>
      <w:r w:rsidRPr="00A77943">
        <w:rPr>
          <w:rFonts w:cs="Times New Roman"/>
          <w:szCs w:val="24"/>
        </w:rPr>
        <w:t xml:space="preserve">Vienlaikus par aptuveni tādu pašu apmēru ir arī </w:t>
      </w:r>
      <w:r w:rsidR="00D72185" w:rsidRPr="00A77943">
        <w:rPr>
          <w:rFonts w:cs="Times New Roman"/>
          <w:szCs w:val="24"/>
        </w:rPr>
        <w:t xml:space="preserve">krities </w:t>
      </w:r>
      <w:r w:rsidR="00514EAB" w:rsidRPr="00A77943">
        <w:rPr>
          <w:rFonts w:cs="Times New Roman"/>
          <w:szCs w:val="24"/>
        </w:rPr>
        <w:t xml:space="preserve">vidējā </w:t>
      </w:r>
      <w:r w:rsidRPr="00A77943">
        <w:rPr>
          <w:rFonts w:cs="Times New Roman"/>
          <w:szCs w:val="24"/>
        </w:rPr>
        <w:t>tiesneša izskatīto lietu skait</w:t>
      </w:r>
      <w:r w:rsidR="00D72185" w:rsidRPr="00A77943">
        <w:rPr>
          <w:rFonts w:cs="Times New Roman"/>
          <w:szCs w:val="24"/>
        </w:rPr>
        <w:t>s</w:t>
      </w:r>
      <w:r w:rsidRPr="00A77943">
        <w:rPr>
          <w:rFonts w:cs="Times New Roman"/>
          <w:szCs w:val="24"/>
        </w:rPr>
        <w:t>.</w:t>
      </w:r>
    </w:p>
    <w:p w14:paraId="5C4F4941" w14:textId="7A9F4C2B" w:rsidR="001459AB" w:rsidRPr="00A77943" w:rsidRDefault="001459AB" w:rsidP="00A77943">
      <w:pPr>
        <w:spacing w:after="120" w:line="240" w:lineRule="auto"/>
        <w:jc w:val="both"/>
        <w:rPr>
          <w:rFonts w:cs="Times New Roman"/>
          <w:szCs w:val="24"/>
        </w:rPr>
      </w:pPr>
      <w:r w:rsidRPr="00A77943">
        <w:rPr>
          <w:rFonts w:cs="Times New Roman"/>
          <w:szCs w:val="24"/>
        </w:rPr>
        <w:t>Toties termiņi šajā periodā ir palikuši apmēram tajā pašā līmenī, svārstības ir salīdzinoši nenozīmīgas uz abām pusēm.</w:t>
      </w:r>
    </w:p>
    <w:p w14:paraId="5F9A7061" w14:textId="12A3C096" w:rsidR="00E73B35" w:rsidRPr="00A77943" w:rsidRDefault="00EA1C88" w:rsidP="00A77943">
      <w:pPr>
        <w:spacing w:after="120" w:line="240" w:lineRule="auto"/>
        <w:jc w:val="both"/>
        <w:rPr>
          <w:rFonts w:cs="Times New Roman"/>
          <w:szCs w:val="24"/>
        </w:rPr>
      </w:pPr>
      <w:r w:rsidRPr="00A77943">
        <w:rPr>
          <w:rFonts w:cs="Times New Roman"/>
          <w:szCs w:val="24"/>
        </w:rPr>
        <w:t xml:space="preserve">Nav jābūt ģēnijam, lai saprastu – ar šādiem rādītājiem nav nekāda pamata </w:t>
      </w:r>
      <w:r w:rsidR="004A2245" w:rsidRPr="00A77943">
        <w:rPr>
          <w:rFonts w:cs="Times New Roman"/>
          <w:szCs w:val="24"/>
        </w:rPr>
        <w:t xml:space="preserve">raudzīties uz ekstensīvajiem attīstības modeļiem, prasīt vairāk vakanču un vairāk naudas. Situācijā, kad lietu skaits būtiski samazinās, </w:t>
      </w:r>
      <w:r w:rsidR="00D72185" w:rsidRPr="00A77943">
        <w:rPr>
          <w:rFonts w:cs="Times New Roman"/>
          <w:szCs w:val="24"/>
        </w:rPr>
        <w:t>produktivitāte samazinās tādā pašā apmērā, un termiņi paliek nemainīgi</w:t>
      </w:r>
      <w:r w:rsidR="00514EAB" w:rsidRPr="00A77943">
        <w:rPr>
          <w:rFonts w:cs="Times New Roman"/>
          <w:szCs w:val="24"/>
        </w:rPr>
        <w:t>, es teiktu, ka redzams zināms balanss.</w:t>
      </w:r>
    </w:p>
    <w:p w14:paraId="54AD535E" w14:textId="77777777" w:rsidR="00EA1C88" w:rsidRPr="00A77943" w:rsidRDefault="00EA1C88" w:rsidP="00A77943">
      <w:pPr>
        <w:spacing w:after="120" w:line="240" w:lineRule="auto"/>
        <w:jc w:val="both"/>
        <w:rPr>
          <w:rFonts w:cs="Times New Roman"/>
          <w:szCs w:val="24"/>
        </w:rPr>
      </w:pPr>
    </w:p>
    <w:p w14:paraId="397E941D" w14:textId="477DACCE" w:rsidR="00BB7090" w:rsidRPr="00A77943" w:rsidRDefault="00BB7090" w:rsidP="00A77943">
      <w:pPr>
        <w:spacing w:after="120" w:line="240" w:lineRule="auto"/>
        <w:jc w:val="both"/>
        <w:rPr>
          <w:rFonts w:cs="Times New Roman"/>
          <w:b/>
          <w:bCs/>
          <w:szCs w:val="24"/>
        </w:rPr>
      </w:pPr>
      <w:r w:rsidRPr="00A77943">
        <w:rPr>
          <w:rFonts w:cs="Times New Roman"/>
          <w:b/>
          <w:bCs/>
          <w:szCs w:val="24"/>
        </w:rPr>
        <w:t>Tieslietu padome darbojas, lai visu šo savāktu kopā un radītu vienotu, uz objektīviem datiem veidotu tiesu politiku</w:t>
      </w:r>
      <w:r w:rsidR="00F42E85" w:rsidRPr="00A77943">
        <w:rPr>
          <w:rFonts w:cs="Times New Roman"/>
          <w:b/>
          <w:bCs/>
          <w:szCs w:val="24"/>
        </w:rPr>
        <w:t>, efektīvu, augsti profesionālu tiesu</w:t>
      </w:r>
      <w:r w:rsidRPr="00A77943">
        <w:rPr>
          <w:rFonts w:cs="Times New Roman"/>
          <w:b/>
          <w:bCs/>
          <w:szCs w:val="24"/>
        </w:rPr>
        <w:t xml:space="preserve">. </w:t>
      </w:r>
    </w:p>
    <w:p w14:paraId="7FA0A73C" w14:textId="7044628C" w:rsidR="00BB7090" w:rsidRPr="00A77943" w:rsidRDefault="00BB7090" w:rsidP="00A77943">
      <w:pPr>
        <w:spacing w:after="120" w:line="240" w:lineRule="auto"/>
        <w:jc w:val="both"/>
        <w:rPr>
          <w:rFonts w:cs="Times New Roman"/>
          <w:szCs w:val="24"/>
        </w:rPr>
      </w:pPr>
      <w:r w:rsidRPr="00A77943">
        <w:rPr>
          <w:rFonts w:cs="Times New Roman"/>
          <w:szCs w:val="24"/>
        </w:rPr>
        <w:t>Ne reizi vien esmu teicis, ka tam bija jābūt izdarītam 20 gadus atpakaļ. Diemžēl tiesu organizatoriskā un fiskālā padotība izpildvarai</w:t>
      </w:r>
      <w:r w:rsidR="00514EAB" w:rsidRPr="00A77943">
        <w:rPr>
          <w:rFonts w:cs="Times New Roman"/>
          <w:szCs w:val="24"/>
        </w:rPr>
        <w:t xml:space="preserve"> un politiskās kultūras līmenis</w:t>
      </w:r>
      <w:r w:rsidRPr="00A77943">
        <w:rPr>
          <w:rFonts w:cs="Times New Roman"/>
          <w:szCs w:val="24"/>
        </w:rPr>
        <w:t xml:space="preserve"> </w:t>
      </w:r>
      <w:r w:rsidR="00D72185" w:rsidRPr="00A77943">
        <w:rPr>
          <w:rFonts w:cs="Times New Roman"/>
          <w:szCs w:val="24"/>
        </w:rPr>
        <w:t xml:space="preserve">līdz šim </w:t>
      </w:r>
      <w:r w:rsidRPr="00A77943">
        <w:rPr>
          <w:rFonts w:cs="Times New Roman"/>
          <w:szCs w:val="24"/>
        </w:rPr>
        <w:t>nav ļāv</w:t>
      </w:r>
      <w:r w:rsidR="00514EAB" w:rsidRPr="00A77943">
        <w:rPr>
          <w:rFonts w:cs="Times New Roman"/>
          <w:szCs w:val="24"/>
        </w:rPr>
        <w:t>is</w:t>
      </w:r>
      <w:r w:rsidRPr="00A77943">
        <w:rPr>
          <w:rFonts w:cs="Times New Roman"/>
          <w:szCs w:val="24"/>
        </w:rPr>
        <w:t xml:space="preserve"> to izdarīt. </w:t>
      </w:r>
      <w:r w:rsidR="00261389" w:rsidRPr="00A77943">
        <w:rPr>
          <w:rFonts w:cs="Times New Roman"/>
          <w:szCs w:val="24"/>
        </w:rPr>
        <w:t>Man nav šaubu, ka šāds modelis strādā kādās valstīs ar dziļām demokrātijas tradīcijām un augstu politisko kultūru. Latvijā šis modelis nedarbojas</w:t>
      </w:r>
      <w:r w:rsidR="00D72185" w:rsidRPr="00A77943">
        <w:rPr>
          <w:rFonts w:cs="Times New Roman"/>
          <w:szCs w:val="24"/>
        </w:rPr>
        <w:t>, un visas tiesu sistēmā uzkrātās problēmas ir tam pierādījums</w:t>
      </w:r>
      <w:r w:rsidR="00261389" w:rsidRPr="00A77943">
        <w:rPr>
          <w:rFonts w:cs="Times New Roman"/>
          <w:szCs w:val="24"/>
        </w:rPr>
        <w:t xml:space="preserve">! </w:t>
      </w:r>
      <w:r w:rsidR="00EA1C88" w:rsidRPr="00A77943">
        <w:rPr>
          <w:rFonts w:cs="Times New Roman"/>
          <w:szCs w:val="24"/>
        </w:rPr>
        <w:t>Man ļoti žēl, ka nevar to paveikt ātrāk, bet 20 gadu neizdarītie darbi nav paveicami pāris gados</w:t>
      </w:r>
      <w:r w:rsidR="00C75FDB" w:rsidRPr="00A77943">
        <w:rPr>
          <w:rFonts w:cs="Times New Roman"/>
          <w:szCs w:val="24"/>
        </w:rPr>
        <w:t>.</w:t>
      </w:r>
    </w:p>
    <w:p w14:paraId="6CBD5A10" w14:textId="6289251B" w:rsidR="00EA1C88" w:rsidRPr="00A77943" w:rsidRDefault="00BB7090" w:rsidP="00A77943">
      <w:pPr>
        <w:spacing w:after="120" w:line="240" w:lineRule="auto"/>
        <w:jc w:val="both"/>
        <w:rPr>
          <w:rFonts w:cs="Times New Roman"/>
          <w:szCs w:val="24"/>
        </w:rPr>
      </w:pPr>
      <w:r w:rsidRPr="00A77943">
        <w:rPr>
          <w:rFonts w:cs="Times New Roman"/>
          <w:szCs w:val="24"/>
        </w:rPr>
        <w:t>Es neredzu alternatīvu T</w:t>
      </w:r>
      <w:r w:rsidR="00C30AD7">
        <w:rPr>
          <w:rFonts w:cs="Times New Roman"/>
          <w:szCs w:val="24"/>
        </w:rPr>
        <w:t xml:space="preserve">ieslietu padomes </w:t>
      </w:r>
      <w:r w:rsidRPr="00A77943">
        <w:rPr>
          <w:rFonts w:cs="Times New Roman"/>
          <w:szCs w:val="24"/>
        </w:rPr>
        <w:t xml:space="preserve">uzņemtajam kursam uz tiesu neatkarības un efektivitātes celšanu. </w:t>
      </w:r>
      <w:r w:rsidR="00EA1C88" w:rsidRPr="00A77943">
        <w:rPr>
          <w:rFonts w:cs="Times New Roman"/>
          <w:szCs w:val="24"/>
        </w:rPr>
        <w:t>Sabiedrība prasa profesionālu, efektīvu, objektīvu tiesu, un tai ir visas tiesības to prasīt. Savukārt mūsu visu, es uzsveru – MŪSU VISU</w:t>
      </w:r>
      <w:r w:rsidR="00C30AD7">
        <w:rPr>
          <w:rFonts w:cs="Times New Roman"/>
          <w:szCs w:val="24"/>
        </w:rPr>
        <w:t>,</w:t>
      </w:r>
      <w:r w:rsidR="00EA1C88" w:rsidRPr="00A77943">
        <w:rPr>
          <w:rFonts w:cs="Times New Roman"/>
          <w:szCs w:val="24"/>
        </w:rPr>
        <w:t xml:space="preserve"> pienākums ir to nodrošināt. </w:t>
      </w:r>
      <w:r w:rsidR="00D72185" w:rsidRPr="00A77943">
        <w:rPr>
          <w:rFonts w:cs="Times New Roman"/>
          <w:szCs w:val="24"/>
        </w:rPr>
        <w:t xml:space="preserve">Nedrīkst būt attieksme “es te tikai skatu lietas, un lieciet mani mierā”. Mūsdienu tiesnesim ir jāsaprot viņa vieta valsts konstitucionālo orgānu struktūrā un pilnā apmērā jāapzinās savi pienākumi pret sabiedrību ne vien lietu skatīšanā, bet arī tiesu sistēmas kvalitātes, uzticamības un prestiža nodrošināšanā. Tas ietver arī piedalīšanos pašpārvaldē un atbildīgu izturēšanos pret pašpārvaldes vēlēšanām. </w:t>
      </w:r>
      <w:r w:rsidR="001C3F5A" w:rsidRPr="00A77943">
        <w:rPr>
          <w:rFonts w:cs="Times New Roman"/>
          <w:szCs w:val="24"/>
        </w:rPr>
        <w:t>Esmu to jau teicis kolēģiem vizīšu laikā tiesās, un pateikšu to vēlreiz</w:t>
      </w:r>
      <w:r w:rsidR="00514EAB" w:rsidRPr="00A77943">
        <w:rPr>
          <w:rFonts w:cs="Times New Roman"/>
          <w:szCs w:val="24"/>
        </w:rPr>
        <w:t xml:space="preserve"> visiem kopā</w:t>
      </w:r>
      <w:r w:rsidR="001C3F5A" w:rsidRPr="00A77943">
        <w:rPr>
          <w:rFonts w:cs="Times New Roman"/>
          <w:szCs w:val="24"/>
        </w:rPr>
        <w:t>: esmu vīlies, ka pašpārvaldē tiek ievēlēti daži kolēģi, kuri novērtē tiesu darbu ar 5 ballēm no 5, kā tas notika aizpagājušajā tiesnešu neklātienes konferencē. Cilvēciski saprotu, ka gribas, lai kāds tevi novērtē, pačubina aiz auss un paslavē. Bet tiesnesis sava amata, statusa un profesionālisma dēļ nedrīkst pakļauties populismam un personiskas emocionālās labsajūtas dēļ pazaudēt spēju raudzīties uz lietām objektīvi. Es nesaku, ka tiesu sistēma jāvērtē ar 1, 2 vai pat 3 no 5. Bet vērtējums viennozīmīgi nav 5 no 5. Un man ir bažas, ka, ar šādu attieksmi nonākot pašpārvaldē, netiks pienācīgi veiktas pašpārvaldes funkcijas, jo “viss taču ir pilnīgā kārtībā”, 5 balles no 5!</w:t>
      </w:r>
    </w:p>
    <w:p w14:paraId="41CFDC52" w14:textId="77777777" w:rsidR="00212691" w:rsidRPr="00A77943" w:rsidRDefault="00212691" w:rsidP="00A77943">
      <w:pPr>
        <w:spacing w:after="120" w:line="240" w:lineRule="auto"/>
        <w:jc w:val="both"/>
        <w:rPr>
          <w:rFonts w:cs="Times New Roman"/>
          <w:szCs w:val="24"/>
        </w:rPr>
      </w:pPr>
      <w:r w:rsidRPr="00A77943">
        <w:rPr>
          <w:rFonts w:cs="Times New Roman"/>
          <w:szCs w:val="24"/>
        </w:rPr>
        <w:t xml:space="preserve">Bažas rada arī dalība neklātienes konferencē kandidātu uzklausīšanas stadijā. </w:t>
      </w:r>
    </w:p>
    <w:p w14:paraId="57B8D10C" w14:textId="3F992CBC" w:rsidR="00212691" w:rsidRPr="00A77943" w:rsidRDefault="00C30AD7" w:rsidP="00A77943">
      <w:pPr>
        <w:spacing w:after="120" w:line="240" w:lineRule="auto"/>
        <w:jc w:val="both"/>
        <w:rPr>
          <w:rFonts w:cs="Times New Roman"/>
          <w:szCs w:val="24"/>
        </w:rPr>
      </w:pPr>
      <w:r>
        <w:rPr>
          <w:rFonts w:cs="Times New Roman"/>
          <w:szCs w:val="24"/>
        </w:rPr>
        <w:t xml:space="preserve">Šī gada 17.aprīlī </w:t>
      </w:r>
      <w:r w:rsidR="00212691" w:rsidRPr="00A77943">
        <w:rPr>
          <w:rFonts w:cs="Times New Roman"/>
          <w:szCs w:val="24"/>
        </w:rPr>
        <w:t>kandidātu uzklausīšanu tiešraides laikā skatījās 19 tiesneši, bet līdz šodienai videoieraksts ir noskatīts kopā 79 reizes. Balsojumā piedalījās 450 tiesneši. Vai secinājums varētu būt, ka tikai 18% tiesnešu ir ieinteresēti pašpārvaldes veidošanas jautājumos?</w:t>
      </w:r>
    </w:p>
    <w:p w14:paraId="6DE26B5A" w14:textId="7BE06597" w:rsidR="00E73B35" w:rsidRPr="00A77943" w:rsidRDefault="001C3F5A" w:rsidP="00A77943">
      <w:pPr>
        <w:spacing w:after="120" w:line="240" w:lineRule="auto"/>
        <w:jc w:val="both"/>
        <w:rPr>
          <w:rFonts w:cs="Times New Roman"/>
          <w:szCs w:val="24"/>
        </w:rPr>
      </w:pPr>
      <w:r w:rsidRPr="00A77943">
        <w:rPr>
          <w:rFonts w:cs="Times New Roman"/>
          <w:szCs w:val="24"/>
        </w:rPr>
        <w:t>Spēcīga, aktīva, objektīva pašpārvalde, adekvāta t</w:t>
      </w:r>
      <w:r w:rsidR="00EA1C88" w:rsidRPr="00A77943">
        <w:rPr>
          <w:rFonts w:cs="Times New Roman"/>
          <w:szCs w:val="24"/>
        </w:rPr>
        <w:t>iesnešu a</w:t>
      </w:r>
      <w:r w:rsidR="00BB7090" w:rsidRPr="00A77943">
        <w:rPr>
          <w:rFonts w:cs="Times New Roman"/>
          <w:szCs w:val="24"/>
        </w:rPr>
        <w:t>tlase, apmācība, spriedumu vadlīnijas, lietu izskatīšanas metodoloģija</w:t>
      </w:r>
      <w:r w:rsidR="002D77E8" w:rsidRPr="00A77943">
        <w:rPr>
          <w:rFonts w:cs="Times New Roman"/>
          <w:szCs w:val="24"/>
        </w:rPr>
        <w:t xml:space="preserve">, normāla </w:t>
      </w:r>
      <w:r w:rsidRPr="00A77943">
        <w:rPr>
          <w:rFonts w:cs="Times New Roman"/>
          <w:szCs w:val="24"/>
        </w:rPr>
        <w:t xml:space="preserve">objektīva </w:t>
      </w:r>
      <w:r w:rsidR="002D77E8" w:rsidRPr="00A77943">
        <w:rPr>
          <w:rFonts w:cs="Times New Roman"/>
          <w:szCs w:val="24"/>
        </w:rPr>
        <w:t>statistika</w:t>
      </w:r>
      <w:r w:rsidRPr="00A77943">
        <w:rPr>
          <w:rFonts w:cs="Times New Roman"/>
          <w:szCs w:val="24"/>
        </w:rPr>
        <w:t xml:space="preserve"> </w:t>
      </w:r>
      <w:r w:rsidR="00EA1C88" w:rsidRPr="00A77943">
        <w:rPr>
          <w:rFonts w:cs="Times New Roman"/>
          <w:szCs w:val="24"/>
        </w:rPr>
        <w:t xml:space="preserve">– tas ir vienīgais veids, kā nodrošināt </w:t>
      </w:r>
      <w:r w:rsidRPr="00A77943">
        <w:rPr>
          <w:rFonts w:cs="Times New Roman"/>
          <w:szCs w:val="24"/>
        </w:rPr>
        <w:t xml:space="preserve">tiesu profesionalitāti sabiedrības interesēs </w:t>
      </w:r>
      <w:r w:rsidR="00EA1C88" w:rsidRPr="00A77943">
        <w:rPr>
          <w:rFonts w:cs="Times New Roman"/>
          <w:szCs w:val="24"/>
        </w:rPr>
        <w:t>paliekoši</w:t>
      </w:r>
      <w:r w:rsidRPr="00A77943">
        <w:rPr>
          <w:rFonts w:cs="Times New Roman"/>
          <w:szCs w:val="24"/>
        </w:rPr>
        <w:t xml:space="preserve"> ilgtermiņā</w:t>
      </w:r>
      <w:r w:rsidR="00EA1C88" w:rsidRPr="00A77943">
        <w:rPr>
          <w:rFonts w:cs="Times New Roman"/>
          <w:szCs w:val="24"/>
        </w:rPr>
        <w:t xml:space="preserve">. </w:t>
      </w:r>
    </w:p>
    <w:p w14:paraId="1934EA8F" w14:textId="19B1CE99" w:rsidR="00EA1C88" w:rsidRPr="00A77943" w:rsidRDefault="00EA1C88" w:rsidP="00A77943">
      <w:pPr>
        <w:spacing w:after="120" w:line="240" w:lineRule="auto"/>
        <w:jc w:val="both"/>
        <w:rPr>
          <w:rFonts w:cs="Times New Roman"/>
          <w:szCs w:val="24"/>
        </w:rPr>
      </w:pPr>
      <w:r w:rsidRPr="00A77943">
        <w:rPr>
          <w:rFonts w:cs="Times New Roman"/>
          <w:szCs w:val="24"/>
        </w:rPr>
        <w:t xml:space="preserve">Zinu, ka ir neapmierinātie ar šīm pārmaiņām, un tas ir dabiski jebkurā organizācijā. </w:t>
      </w:r>
      <w:r w:rsidR="00800716" w:rsidRPr="00A77943">
        <w:rPr>
          <w:rFonts w:cs="Times New Roman"/>
          <w:szCs w:val="24"/>
        </w:rPr>
        <w:t>Interesanti ir tas, ka šī neapmierinātība sasniedz daž</w:t>
      </w:r>
      <w:r w:rsidR="00C30AD7">
        <w:rPr>
          <w:rFonts w:cs="Times New Roman"/>
          <w:szCs w:val="24"/>
        </w:rPr>
        <w:t xml:space="preserve">as </w:t>
      </w:r>
      <w:r w:rsidR="00800716" w:rsidRPr="00A77943">
        <w:rPr>
          <w:rFonts w:cs="Times New Roman"/>
          <w:szCs w:val="24"/>
        </w:rPr>
        <w:t>dzirdīg</w:t>
      </w:r>
      <w:r w:rsidR="00C30AD7">
        <w:rPr>
          <w:rFonts w:cs="Times New Roman"/>
          <w:szCs w:val="24"/>
        </w:rPr>
        <w:t>as</w:t>
      </w:r>
      <w:r w:rsidR="00800716" w:rsidRPr="00A77943">
        <w:rPr>
          <w:rFonts w:cs="Times New Roman"/>
          <w:szCs w:val="24"/>
        </w:rPr>
        <w:t xml:space="preserve"> aus</w:t>
      </w:r>
      <w:r w:rsidR="00C30AD7">
        <w:rPr>
          <w:rFonts w:cs="Times New Roman"/>
          <w:szCs w:val="24"/>
        </w:rPr>
        <w:t>is</w:t>
      </w:r>
      <w:r w:rsidR="00800716" w:rsidRPr="00A77943">
        <w:rPr>
          <w:rFonts w:cs="Times New Roman"/>
          <w:szCs w:val="24"/>
        </w:rPr>
        <w:t xml:space="preserve"> arī ārpus tiesām. Bet par laimi Latvijas sabiedrībai, šīs ausis ir nospiedošā mazākumā</w:t>
      </w:r>
      <w:r w:rsidR="005333E5" w:rsidRPr="00A77943">
        <w:rPr>
          <w:rFonts w:cs="Times New Roman"/>
          <w:szCs w:val="24"/>
        </w:rPr>
        <w:t xml:space="preserve"> gan sabiedrībā, gan politiskajās aprindās</w:t>
      </w:r>
      <w:r w:rsidR="00800716" w:rsidRPr="00A77943">
        <w:rPr>
          <w:rFonts w:cs="Times New Roman"/>
          <w:szCs w:val="24"/>
        </w:rPr>
        <w:t xml:space="preserve">. </w:t>
      </w:r>
      <w:r w:rsidR="00FB50FF" w:rsidRPr="00A77943">
        <w:rPr>
          <w:rFonts w:cs="Times New Roman"/>
          <w:szCs w:val="24"/>
        </w:rPr>
        <w:t>Lielum lielais vairākums</w:t>
      </w:r>
      <w:r w:rsidR="005333E5" w:rsidRPr="00A77943">
        <w:rPr>
          <w:rFonts w:cs="Times New Roman"/>
          <w:szCs w:val="24"/>
        </w:rPr>
        <w:t xml:space="preserve"> saprot, ka tiesai jāattīstās profesionālisma un efektivitātes virzienā. Un beidzot pēc 30 gadiem ir arī politiskais atbalsts tiesu organizatoriskajai un fiskālajai neatkarībai no izpildvaras. Protams, mēs uzklausām arī atšķirīgos viedokļus un pārbaudām pret tiem savas pozīcijas pamatotību. Tas ir normāls diskusiju režīms. </w:t>
      </w:r>
      <w:r w:rsidRPr="00A77943">
        <w:rPr>
          <w:rFonts w:cs="Times New Roman"/>
          <w:szCs w:val="24"/>
        </w:rPr>
        <w:t>Bet</w:t>
      </w:r>
      <w:r w:rsidR="005333E5" w:rsidRPr="00A77943">
        <w:rPr>
          <w:rFonts w:cs="Times New Roman"/>
          <w:szCs w:val="24"/>
        </w:rPr>
        <w:t>, kolēģi,</w:t>
      </w:r>
      <w:r w:rsidRPr="00A77943">
        <w:rPr>
          <w:rFonts w:cs="Times New Roman"/>
          <w:szCs w:val="24"/>
        </w:rPr>
        <w:t xml:space="preserve"> latiņu nolaist mēs nevaram, jo tas ir nepieciešams sabiedrībai, tas ir nepieciešams </w:t>
      </w:r>
      <w:r w:rsidR="003A26F3" w:rsidRPr="00A77943">
        <w:rPr>
          <w:rFonts w:cs="Times New Roman"/>
          <w:szCs w:val="24"/>
        </w:rPr>
        <w:t xml:space="preserve">mūsu </w:t>
      </w:r>
      <w:r w:rsidRPr="00A77943">
        <w:rPr>
          <w:rFonts w:cs="Times New Roman"/>
          <w:szCs w:val="24"/>
        </w:rPr>
        <w:t>tautai, tas ir nepieciešams, lai mūsu bērni varēt dzīvot labākā sabiedrībā.</w:t>
      </w:r>
      <w:r w:rsidR="002D77E8" w:rsidRPr="00A77943">
        <w:rPr>
          <w:rFonts w:cs="Times New Roman"/>
          <w:szCs w:val="24"/>
        </w:rPr>
        <w:t xml:space="preserve"> Piemēram, runājot par atlasi</w:t>
      </w:r>
      <w:r w:rsidR="00C30AD7">
        <w:rPr>
          <w:rFonts w:cs="Times New Roman"/>
          <w:szCs w:val="24"/>
        </w:rPr>
        <w:t>,</w:t>
      </w:r>
      <w:r w:rsidR="002D77E8" w:rsidRPr="00A77943">
        <w:rPr>
          <w:rFonts w:cs="Times New Roman"/>
          <w:szCs w:val="24"/>
        </w:rPr>
        <w:t xml:space="preserve"> – </w:t>
      </w:r>
      <w:r w:rsidR="00261389" w:rsidRPr="00A77943">
        <w:rPr>
          <w:rFonts w:cs="Times New Roman"/>
          <w:szCs w:val="24"/>
        </w:rPr>
        <w:t xml:space="preserve">no </w:t>
      </w:r>
      <w:r w:rsidR="002D77E8" w:rsidRPr="00A77943">
        <w:rPr>
          <w:rFonts w:cs="Times New Roman"/>
          <w:b/>
          <w:bCs/>
          <w:szCs w:val="24"/>
        </w:rPr>
        <w:t>šodienas atlase</w:t>
      </w:r>
      <w:r w:rsidR="00261389" w:rsidRPr="00A77943">
        <w:rPr>
          <w:rFonts w:cs="Times New Roman"/>
          <w:b/>
          <w:bCs/>
          <w:szCs w:val="24"/>
        </w:rPr>
        <w:t>s</w:t>
      </w:r>
      <w:r w:rsidR="002D77E8" w:rsidRPr="00A77943">
        <w:rPr>
          <w:rFonts w:cs="Times New Roman"/>
          <w:b/>
          <w:bCs/>
          <w:szCs w:val="24"/>
        </w:rPr>
        <w:t xml:space="preserve"> </w:t>
      </w:r>
      <w:r w:rsidR="00261389" w:rsidRPr="00A77943">
        <w:rPr>
          <w:rFonts w:cs="Times New Roman"/>
          <w:b/>
          <w:bCs/>
          <w:szCs w:val="24"/>
        </w:rPr>
        <w:t xml:space="preserve">ir tieši atkarīga </w:t>
      </w:r>
      <w:r w:rsidR="002D77E8" w:rsidRPr="00A77943">
        <w:rPr>
          <w:rFonts w:cs="Times New Roman"/>
          <w:b/>
          <w:bCs/>
          <w:szCs w:val="24"/>
        </w:rPr>
        <w:t>tiesas kvalitāt</w:t>
      </w:r>
      <w:r w:rsidR="00261389" w:rsidRPr="00A77943">
        <w:rPr>
          <w:rFonts w:cs="Times New Roman"/>
          <w:b/>
          <w:bCs/>
          <w:szCs w:val="24"/>
        </w:rPr>
        <w:t>e</w:t>
      </w:r>
      <w:r w:rsidR="002D77E8" w:rsidRPr="00A77943">
        <w:rPr>
          <w:rFonts w:cs="Times New Roman"/>
          <w:b/>
          <w:bCs/>
          <w:szCs w:val="24"/>
        </w:rPr>
        <w:t xml:space="preserve"> nākam</w:t>
      </w:r>
      <w:r w:rsidR="00C30AD7">
        <w:rPr>
          <w:rFonts w:cs="Times New Roman"/>
          <w:b/>
          <w:bCs/>
          <w:szCs w:val="24"/>
        </w:rPr>
        <w:t>aj</w:t>
      </w:r>
      <w:r w:rsidR="00261389" w:rsidRPr="00A77943">
        <w:rPr>
          <w:rFonts w:cs="Times New Roman"/>
          <w:b/>
          <w:bCs/>
          <w:szCs w:val="24"/>
        </w:rPr>
        <w:t>os</w:t>
      </w:r>
      <w:r w:rsidR="002D77E8" w:rsidRPr="00A77943">
        <w:rPr>
          <w:rFonts w:cs="Times New Roman"/>
          <w:b/>
          <w:bCs/>
          <w:szCs w:val="24"/>
        </w:rPr>
        <w:t xml:space="preserve"> 20</w:t>
      </w:r>
      <w:r w:rsidR="00C30AD7">
        <w:rPr>
          <w:rFonts w:cs="Times New Roman"/>
          <w:b/>
          <w:bCs/>
          <w:szCs w:val="24"/>
        </w:rPr>
        <w:t>–</w:t>
      </w:r>
      <w:r w:rsidR="002D77E8" w:rsidRPr="00A77943">
        <w:rPr>
          <w:rFonts w:cs="Times New Roman"/>
          <w:b/>
          <w:bCs/>
          <w:szCs w:val="24"/>
        </w:rPr>
        <w:t xml:space="preserve">30 </w:t>
      </w:r>
      <w:r w:rsidR="00261389" w:rsidRPr="00A77943">
        <w:rPr>
          <w:rFonts w:cs="Times New Roman"/>
          <w:b/>
          <w:bCs/>
          <w:szCs w:val="24"/>
        </w:rPr>
        <w:t xml:space="preserve">un pat 40 </w:t>
      </w:r>
      <w:r w:rsidR="002D77E8" w:rsidRPr="00A77943">
        <w:rPr>
          <w:rFonts w:cs="Times New Roman"/>
          <w:b/>
          <w:bCs/>
          <w:szCs w:val="24"/>
        </w:rPr>
        <w:t>gad</w:t>
      </w:r>
      <w:r w:rsidR="00261389" w:rsidRPr="00A77943">
        <w:rPr>
          <w:rFonts w:cs="Times New Roman"/>
          <w:b/>
          <w:bCs/>
          <w:szCs w:val="24"/>
        </w:rPr>
        <w:t>us</w:t>
      </w:r>
      <w:r w:rsidR="002D77E8" w:rsidRPr="00A77943">
        <w:rPr>
          <w:rFonts w:cs="Times New Roman"/>
          <w:szCs w:val="24"/>
        </w:rPr>
        <w:t xml:space="preserve">. </w:t>
      </w:r>
      <w:r w:rsidR="004A2245" w:rsidRPr="00A77943">
        <w:rPr>
          <w:rFonts w:cs="Times New Roman"/>
          <w:b/>
          <w:bCs/>
          <w:szCs w:val="24"/>
        </w:rPr>
        <w:t>Tās</w:t>
      </w:r>
      <w:r w:rsidR="00261389" w:rsidRPr="00A77943">
        <w:rPr>
          <w:rFonts w:cs="Times New Roman"/>
          <w:b/>
          <w:bCs/>
          <w:szCs w:val="24"/>
        </w:rPr>
        <w:t>, kolēģi,</w:t>
      </w:r>
      <w:r w:rsidR="004A2245" w:rsidRPr="00A77943">
        <w:rPr>
          <w:rFonts w:cs="Times New Roman"/>
          <w:b/>
          <w:bCs/>
          <w:szCs w:val="24"/>
        </w:rPr>
        <w:t xml:space="preserve"> ir divas paaudzes!</w:t>
      </w:r>
      <w:r w:rsidR="004A2245" w:rsidRPr="00A77943">
        <w:rPr>
          <w:rFonts w:cs="Times New Roman"/>
          <w:szCs w:val="24"/>
        </w:rPr>
        <w:t xml:space="preserve"> Teikšu tieši, jo tā ir mana dziļākā pārliecība: j</w:t>
      </w:r>
      <w:r w:rsidR="002D77E8" w:rsidRPr="00A77943">
        <w:rPr>
          <w:rFonts w:cs="Times New Roman"/>
          <w:szCs w:val="24"/>
        </w:rPr>
        <w:t xml:space="preserve">a kāds nesaprot šo </w:t>
      </w:r>
      <w:r w:rsidR="004A2245" w:rsidRPr="00A77943">
        <w:rPr>
          <w:rFonts w:cs="Times New Roman"/>
          <w:szCs w:val="24"/>
        </w:rPr>
        <w:t xml:space="preserve">tiesas, tiesnešu pašpārvaldes un individuāla tiesneša </w:t>
      </w:r>
      <w:r w:rsidR="002D77E8" w:rsidRPr="00A77943">
        <w:rPr>
          <w:rFonts w:cs="Times New Roman"/>
          <w:szCs w:val="24"/>
        </w:rPr>
        <w:t>atbildību pret sabiedrību</w:t>
      </w:r>
      <w:r w:rsidR="00FB50FF" w:rsidRPr="00A77943">
        <w:rPr>
          <w:rFonts w:cs="Times New Roman"/>
          <w:szCs w:val="24"/>
        </w:rPr>
        <w:t xml:space="preserve"> vai apzināti ignorē to</w:t>
      </w:r>
      <w:r w:rsidR="002D77E8" w:rsidRPr="00A77943">
        <w:rPr>
          <w:rFonts w:cs="Times New Roman"/>
          <w:szCs w:val="24"/>
        </w:rPr>
        <w:t xml:space="preserve">, </w:t>
      </w:r>
      <w:r w:rsidR="008F4A8B" w:rsidRPr="00A77943">
        <w:rPr>
          <w:rFonts w:cs="Times New Roman"/>
          <w:szCs w:val="24"/>
        </w:rPr>
        <w:t>tas nespēj pilnā apmērā izprast un pildīt tiesneša funkciju modernā demokrātiskā sabiedrībā.</w:t>
      </w:r>
    </w:p>
    <w:p w14:paraId="205F6DC4" w14:textId="67D8E69D" w:rsidR="008567D1" w:rsidRPr="00A77943" w:rsidRDefault="008567D1" w:rsidP="00A77943">
      <w:pPr>
        <w:spacing w:after="120" w:line="240" w:lineRule="auto"/>
        <w:jc w:val="both"/>
        <w:rPr>
          <w:rFonts w:cs="Times New Roman"/>
          <w:szCs w:val="24"/>
        </w:rPr>
      </w:pPr>
      <w:r w:rsidRPr="00A77943">
        <w:rPr>
          <w:rFonts w:cs="Times New Roman"/>
          <w:szCs w:val="24"/>
        </w:rPr>
        <w:t>Ja man vien</w:t>
      </w:r>
      <w:r w:rsidR="00C30AD7">
        <w:rPr>
          <w:rFonts w:cs="Times New Roman"/>
          <w:szCs w:val="24"/>
        </w:rPr>
        <w:t>ā</w:t>
      </w:r>
      <w:r w:rsidRPr="00A77943">
        <w:rPr>
          <w:rFonts w:cs="Times New Roman"/>
          <w:szCs w:val="24"/>
        </w:rPr>
        <w:t xml:space="preserve"> teikumā jāpasaka Tieslietu padomes virzība šobrīd – tas ir ceļš uz augsti profesionālu un augsti efektīvu tiesu sistēmu, kura nav atkarīga no politiskajām un individuālajām nejaušībām – politiskās varas maiņas, tiesu priekšsēdētāju maiņas u.tml. Tas ir stratēģisks un taktiski smalks darbs, kuru nevar risināt ar mums tik ierastajām metodēm – ielāpu likšanu.</w:t>
      </w:r>
    </w:p>
    <w:p w14:paraId="595AD1C0" w14:textId="02150B6D" w:rsidR="00EA1C88" w:rsidRPr="00933626" w:rsidRDefault="00FB50FF" w:rsidP="00A77943">
      <w:pPr>
        <w:spacing w:after="120" w:line="240" w:lineRule="auto"/>
        <w:jc w:val="both"/>
        <w:rPr>
          <w:rFonts w:cs="Times New Roman"/>
          <w:b/>
          <w:bCs/>
          <w:szCs w:val="24"/>
        </w:rPr>
      </w:pPr>
      <w:r w:rsidRPr="00933626">
        <w:rPr>
          <w:rFonts w:cs="Times New Roman"/>
          <w:b/>
          <w:bCs/>
          <w:szCs w:val="24"/>
        </w:rPr>
        <w:t xml:space="preserve">Viens no </w:t>
      </w:r>
      <w:r w:rsidR="00A745D6" w:rsidRPr="00933626">
        <w:rPr>
          <w:rFonts w:cs="Times New Roman"/>
          <w:b/>
          <w:bCs/>
          <w:szCs w:val="24"/>
        </w:rPr>
        <w:t xml:space="preserve">kopainas elementiem </w:t>
      </w:r>
      <w:r w:rsidR="00933626">
        <w:rPr>
          <w:rFonts w:cs="Times New Roman"/>
          <w:b/>
          <w:bCs/>
          <w:szCs w:val="24"/>
        </w:rPr>
        <w:t xml:space="preserve">– </w:t>
      </w:r>
      <w:r w:rsidR="00EA1C88" w:rsidRPr="00933626">
        <w:rPr>
          <w:rFonts w:cs="Times New Roman"/>
          <w:b/>
          <w:bCs/>
          <w:szCs w:val="24"/>
        </w:rPr>
        <w:t>efektivitātes uzlabošanas veidu</w:t>
      </w:r>
      <w:r w:rsidR="00A745D6" w:rsidRPr="00933626">
        <w:rPr>
          <w:rFonts w:cs="Times New Roman"/>
          <w:b/>
          <w:bCs/>
          <w:szCs w:val="24"/>
        </w:rPr>
        <w:t xml:space="preserve"> meklēšana</w:t>
      </w:r>
      <w:r w:rsidR="00261389" w:rsidRPr="00933626">
        <w:rPr>
          <w:rFonts w:cs="Times New Roman"/>
          <w:b/>
          <w:bCs/>
          <w:szCs w:val="24"/>
        </w:rPr>
        <w:t xml:space="preserve"> ārpus ekstensīvās attīstības modeļa</w:t>
      </w:r>
      <w:r w:rsidR="00EA1C88" w:rsidRPr="00933626">
        <w:rPr>
          <w:rFonts w:cs="Times New Roman"/>
          <w:b/>
          <w:bCs/>
          <w:szCs w:val="24"/>
        </w:rPr>
        <w:t>.</w:t>
      </w:r>
      <w:r w:rsidR="005D6555" w:rsidRPr="00933626">
        <w:rPr>
          <w:rFonts w:cs="Times New Roman"/>
          <w:b/>
          <w:bCs/>
          <w:szCs w:val="24"/>
        </w:rPr>
        <w:t xml:space="preserve"> </w:t>
      </w:r>
      <w:r w:rsidR="005D6555" w:rsidRPr="00933626">
        <w:rPr>
          <w:rFonts w:cs="Times New Roman"/>
          <w:szCs w:val="24"/>
        </w:rPr>
        <w:t xml:space="preserve">Un šodienas konferences temats ir par vienu no tiem – </w:t>
      </w:r>
      <w:r w:rsidR="00662573" w:rsidRPr="00933626">
        <w:rPr>
          <w:rFonts w:cs="Times New Roman"/>
          <w:szCs w:val="24"/>
        </w:rPr>
        <w:t xml:space="preserve">par </w:t>
      </w:r>
      <w:r w:rsidR="005D6555" w:rsidRPr="00933626">
        <w:rPr>
          <w:rFonts w:cs="Times New Roman"/>
          <w:szCs w:val="24"/>
        </w:rPr>
        <w:t>tiesu instanču mijiedarbības efektivizēšan</w:t>
      </w:r>
      <w:r w:rsidR="00662573" w:rsidRPr="00933626">
        <w:rPr>
          <w:rFonts w:cs="Times New Roman"/>
          <w:szCs w:val="24"/>
        </w:rPr>
        <w:t>u</w:t>
      </w:r>
      <w:r w:rsidR="005D6555" w:rsidRPr="00933626">
        <w:rPr>
          <w:rFonts w:cs="Times New Roman"/>
          <w:szCs w:val="24"/>
        </w:rPr>
        <w:t>.</w:t>
      </w:r>
    </w:p>
    <w:p w14:paraId="1AE79BA1" w14:textId="2F39CEB4" w:rsidR="00BC1E79" w:rsidRPr="00933626" w:rsidRDefault="00BC1E79" w:rsidP="00A77943">
      <w:pPr>
        <w:spacing w:after="120" w:line="240" w:lineRule="auto"/>
        <w:jc w:val="both"/>
        <w:rPr>
          <w:rFonts w:cs="Times New Roman"/>
          <w:szCs w:val="24"/>
        </w:rPr>
      </w:pPr>
      <w:r w:rsidRPr="00933626">
        <w:rPr>
          <w:rFonts w:cs="Times New Roman"/>
          <w:szCs w:val="24"/>
        </w:rPr>
        <w:t xml:space="preserve">Piemēram. </w:t>
      </w:r>
    </w:p>
    <w:p w14:paraId="705E4B57" w14:textId="7EB8E950" w:rsidR="004A2245" w:rsidRPr="00933626" w:rsidRDefault="00261389" w:rsidP="00A77943">
      <w:pPr>
        <w:spacing w:after="120" w:line="240" w:lineRule="auto"/>
        <w:jc w:val="both"/>
        <w:rPr>
          <w:rFonts w:cs="Times New Roman"/>
          <w:szCs w:val="24"/>
        </w:rPr>
      </w:pPr>
      <w:r w:rsidRPr="00933626">
        <w:rPr>
          <w:rFonts w:cs="Times New Roman"/>
          <w:szCs w:val="24"/>
        </w:rPr>
        <w:t xml:space="preserve">Tiekoties ar tiesnešiem, praktiski visās pirmās instances tiesās </w:t>
      </w:r>
      <w:r w:rsidR="00BC1E79" w:rsidRPr="00933626">
        <w:rPr>
          <w:rFonts w:cs="Times New Roman"/>
          <w:szCs w:val="24"/>
        </w:rPr>
        <w:t>izskan pārmetumi apgabaltiesām par to, ka daža laba apelācijas instances prakse degradē pirmās instances tiesu darbu un padara to neefektīvu. Parasti tiek minēti divi piemēri.</w:t>
      </w:r>
    </w:p>
    <w:p w14:paraId="53792157" w14:textId="2DEAB7B0" w:rsidR="00BC1E79" w:rsidRPr="00933626" w:rsidRDefault="00BC1E79" w:rsidP="00A77943">
      <w:pPr>
        <w:spacing w:after="120" w:line="240" w:lineRule="auto"/>
        <w:jc w:val="both"/>
        <w:rPr>
          <w:rFonts w:cs="Times New Roman"/>
          <w:szCs w:val="24"/>
        </w:rPr>
      </w:pPr>
      <w:r w:rsidRPr="00933626">
        <w:rPr>
          <w:rFonts w:cs="Times New Roman"/>
          <w:szCs w:val="24"/>
        </w:rPr>
        <w:t xml:space="preserve">Pirmais, lēmumu par pieteikuma atstāšanu bez virzības civilprocesā atcelšana gadījumos, kad ir </w:t>
      </w:r>
      <w:r w:rsidR="005D6555" w:rsidRPr="00933626">
        <w:rPr>
          <w:rFonts w:cs="Times New Roman"/>
          <w:szCs w:val="24"/>
        </w:rPr>
        <w:t xml:space="preserve">saņemti </w:t>
      </w:r>
      <w:r w:rsidRPr="00933626">
        <w:rPr>
          <w:rFonts w:cs="Times New Roman"/>
          <w:szCs w:val="24"/>
        </w:rPr>
        <w:t>nesaprotami un nepilnīgi prasības pieteikumi. Pirmās instances tiesneši stāsta, ka šādos gadījumos apgabalties</w:t>
      </w:r>
      <w:r w:rsidR="005D6555" w:rsidRPr="00933626">
        <w:rPr>
          <w:rFonts w:cs="Times New Roman"/>
          <w:szCs w:val="24"/>
        </w:rPr>
        <w:t>u</w:t>
      </w:r>
      <w:r w:rsidRPr="00933626">
        <w:rPr>
          <w:rFonts w:cs="Times New Roman"/>
          <w:szCs w:val="24"/>
        </w:rPr>
        <w:t xml:space="preserve"> pozīcija </w:t>
      </w:r>
      <w:r w:rsidR="005D6555" w:rsidRPr="00933626">
        <w:rPr>
          <w:rFonts w:cs="Times New Roman"/>
          <w:szCs w:val="24"/>
        </w:rPr>
        <w:t xml:space="preserve">pārsvarā </w:t>
      </w:r>
      <w:r w:rsidRPr="00933626">
        <w:rPr>
          <w:rFonts w:cs="Times New Roman"/>
          <w:szCs w:val="24"/>
        </w:rPr>
        <w:t xml:space="preserve">ir tāda, ka jāņem pretī visi pieteikumi, jārosina lieta un izskatīšanas gaitā viss jāprecizē. Zinot lietu ierosināšanas standartus citās valstīs (piem., pieteikumam jābūt tādam, lai uz tā pamata nepieciešamības gadījumā varētu taisīt aizmugurisku spriedumu), varu visnotaļ droši apgalvot, ka šāda pieeja tiktu atzīta par klaji neefektīvu. Kāpēc? Tāpēc, ka tukšgaitā tiek darbināts tiesas mehānisms, lai gan nav izpildītas minimālās likumiskās prasības pieteikumam. Bieži vien </w:t>
      </w:r>
      <w:r w:rsidR="005D6555" w:rsidRPr="00933626">
        <w:rPr>
          <w:rFonts w:cs="Times New Roman"/>
          <w:szCs w:val="24"/>
        </w:rPr>
        <w:t>šīs prakses</w:t>
      </w:r>
      <w:r w:rsidRPr="00933626">
        <w:rPr>
          <w:rFonts w:cs="Times New Roman"/>
          <w:szCs w:val="24"/>
        </w:rPr>
        <w:t xml:space="preserve"> dēļ tiek </w:t>
      </w:r>
      <w:r w:rsidR="005D6555" w:rsidRPr="00933626">
        <w:rPr>
          <w:rFonts w:cs="Times New Roman"/>
          <w:szCs w:val="24"/>
        </w:rPr>
        <w:t>pilnīgi nepamatoti</w:t>
      </w:r>
      <w:r w:rsidRPr="00933626">
        <w:rPr>
          <w:rFonts w:cs="Times New Roman"/>
          <w:szCs w:val="24"/>
        </w:rPr>
        <w:t xml:space="preserve"> darbināta ne vien pirmā instance, bet visas trīs. Un nez kādēļ šajos gadījumos tiek piemirsts, ka arī otrai pusei ir tiesības uz taisnīgu tiesu, tai skaitā tiesības uzreiz zināt</w:t>
      </w:r>
      <w:r w:rsidR="00CE767B" w:rsidRPr="00933626">
        <w:rPr>
          <w:rFonts w:cs="Times New Roman"/>
          <w:szCs w:val="24"/>
        </w:rPr>
        <w:t xml:space="preserve">, par ko ir lieta, nevis neziņā gaidīt tiesas sēdi, </w:t>
      </w:r>
      <w:r w:rsidR="005D6555" w:rsidRPr="00933626">
        <w:rPr>
          <w:rFonts w:cs="Times New Roman"/>
          <w:szCs w:val="24"/>
        </w:rPr>
        <w:t xml:space="preserve">īsti pat </w:t>
      </w:r>
      <w:r w:rsidR="00CE767B" w:rsidRPr="00933626">
        <w:rPr>
          <w:rFonts w:cs="Times New Roman"/>
          <w:szCs w:val="24"/>
        </w:rPr>
        <w:t xml:space="preserve">nesaprotot, pret ko viņam vispār būtu jāaizstāvas. </w:t>
      </w:r>
    </w:p>
    <w:p w14:paraId="12FFA57F" w14:textId="7C640F30" w:rsidR="00CE767B" w:rsidRPr="00933626" w:rsidRDefault="00CE767B" w:rsidP="00A77943">
      <w:pPr>
        <w:spacing w:after="120" w:line="240" w:lineRule="auto"/>
        <w:jc w:val="both"/>
        <w:rPr>
          <w:rFonts w:cs="Times New Roman"/>
          <w:szCs w:val="24"/>
        </w:rPr>
      </w:pPr>
      <w:r w:rsidRPr="00933626">
        <w:rPr>
          <w:rFonts w:cs="Times New Roman"/>
          <w:szCs w:val="24"/>
        </w:rPr>
        <w:t>Otrais, pierādījumu pieņemšana civillietās apelācijas instances tiesā. Lai gan likumdevējs jau sen ir izdarījis grozījumus, kuri tiesvedības efektivitātes nolūkos aizliedz to darīt, izņemot īpašus gadījumus, tas joprojām tiek praktizēts. Rezultātā sabiedrībā joprojām dominē viedoklis, ka pirmās instances tiesa nav nopietna un ka īstā tiesāšanās sākas apelācijā. Pirmkārt, šāda prakse, ja pierādījumu pieņemšanai nav likumā paredzēto priekšnoteikumu, ir prettiesiska. Ja tiesnesis uzskata, ka šī norma pārkāpj pamattiesības, ir jāsniedz pieteikums Satversmes tiesā, nevis jāpārkāpj likums</w:t>
      </w:r>
      <w:r w:rsidR="00933626">
        <w:rPr>
          <w:rFonts w:cs="Times New Roman"/>
          <w:szCs w:val="24"/>
        </w:rPr>
        <w:t>,</w:t>
      </w:r>
      <w:r w:rsidR="005D6555" w:rsidRPr="00933626">
        <w:rPr>
          <w:rFonts w:cs="Times New Roman"/>
          <w:szCs w:val="24"/>
        </w:rPr>
        <w:t xml:space="preserve"> pat neargumentējot pierādījumu pieņemšanu</w:t>
      </w:r>
      <w:r w:rsidRPr="00933626">
        <w:rPr>
          <w:rFonts w:cs="Times New Roman"/>
          <w:szCs w:val="24"/>
        </w:rPr>
        <w:t>. Otrkārt, arī šajā gadījumā visbiežāk tiek pārkāptas otras puses tiesības uz taisnīgu tiesu, tiesnesim nostājoties pirmās puses aizstāvja pozīcijās</w:t>
      </w:r>
      <w:r w:rsidR="00662573" w:rsidRPr="00933626">
        <w:rPr>
          <w:rFonts w:cs="Times New Roman"/>
          <w:szCs w:val="24"/>
        </w:rPr>
        <w:t>, turklāt</w:t>
      </w:r>
      <w:r w:rsidRPr="00933626">
        <w:rPr>
          <w:rFonts w:cs="Times New Roman"/>
          <w:szCs w:val="24"/>
        </w:rPr>
        <w:t xml:space="preserve"> pretēji likumā tieši noteiktajam. Treškārt, tas tiešām grauj pirmās instances tiesas autoritāti un padara tiesu sistēmu neefektīvu, jo pirmā instance šajos gadījumos faktiski ir strādājusi tukšgaitā.</w:t>
      </w:r>
    </w:p>
    <w:p w14:paraId="370358A0" w14:textId="124C2285" w:rsidR="00CE767B" w:rsidRPr="00933626" w:rsidRDefault="00CE767B" w:rsidP="00A77943">
      <w:pPr>
        <w:spacing w:after="120" w:line="240" w:lineRule="auto"/>
        <w:jc w:val="both"/>
        <w:rPr>
          <w:rFonts w:cs="Times New Roman"/>
          <w:szCs w:val="24"/>
        </w:rPr>
      </w:pPr>
      <w:r w:rsidRPr="00933626">
        <w:rPr>
          <w:rFonts w:cs="Times New Roman"/>
          <w:szCs w:val="24"/>
        </w:rPr>
        <w:t xml:space="preserve">Kolēģi, </w:t>
      </w:r>
      <w:r w:rsidR="00F42E85" w:rsidRPr="00933626">
        <w:rPr>
          <w:rFonts w:cs="Times New Roman"/>
          <w:szCs w:val="24"/>
        </w:rPr>
        <w:t xml:space="preserve">ir jāsaprot viena elementāra lieta: </w:t>
      </w:r>
      <w:r w:rsidRPr="00933626">
        <w:rPr>
          <w:rFonts w:cs="Times New Roman"/>
          <w:szCs w:val="24"/>
        </w:rPr>
        <w:t>tiesas resurss nav mūsu personiskais resurss. Tas ir sabiedrības resurss. Tie ir nodokļu maksātāju līdzekļi, kuri darbina tiesu sistēmu. Un tiesu sistēma ir dārga. Tāpēc mums ir pienākums darbināt to efektīvi.</w:t>
      </w:r>
      <w:r w:rsidR="00662573" w:rsidRPr="00933626">
        <w:rPr>
          <w:rFonts w:cs="Times New Roman"/>
          <w:szCs w:val="24"/>
        </w:rPr>
        <w:t xml:space="preserve"> Un arī lietas dalībniekiem ir jābūt efektīviem.</w:t>
      </w:r>
    </w:p>
    <w:p w14:paraId="3991C4C2" w14:textId="5E62ED15" w:rsidR="00C51E3B" w:rsidRPr="00933626" w:rsidRDefault="002F4B92" w:rsidP="00A77943">
      <w:pPr>
        <w:spacing w:after="120" w:line="240" w:lineRule="auto"/>
        <w:jc w:val="both"/>
        <w:rPr>
          <w:rFonts w:cs="Times New Roman"/>
          <w:szCs w:val="24"/>
        </w:rPr>
      </w:pPr>
      <w:r w:rsidRPr="00933626">
        <w:rPr>
          <w:rFonts w:cs="Times New Roman"/>
          <w:szCs w:val="24"/>
        </w:rPr>
        <w:t xml:space="preserve">Kā redzam, abos gadījumos runa </w:t>
      </w:r>
      <w:r w:rsidR="00F42E85" w:rsidRPr="00933626">
        <w:rPr>
          <w:rFonts w:cs="Times New Roman"/>
          <w:szCs w:val="24"/>
        </w:rPr>
        <w:t xml:space="preserve">visticamāk </w:t>
      </w:r>
      <w:r w:rsidRPr="00933626">
        <w:rPr>
          <w:rFonts w:cs="Times New Roman"/>
          <w:szCs w:val="24"/>
        </w:rPr>
        <w:t>ir par neadekvātas instanču mijiedarbības radītām tiesas efektivitātes problēmām. Un tās nav vienīgās. Var runāt arī par apelācijas robežām</w:t>
      </w:r>
      <w:r w:rsidR="00F42E85" w:rsidRPr="00933626">
        <w:rPr>
          <w:rFonts w:cs="Times New Roman"/>
          <w:szCs w:val="24"/>
        </w:rPr>
        <w:t xml:space="preserve">, par kasācijas robežām, par to, kādā apmērā lieta skatāma apelācijā, </w:t>
      </w:r>
      <w:r w:rsidR="005D6555" w:rsidRPr="00933626">
        <w:rPr>
          <w:rFonts w:cs="Times New Roman"/>
          <w:szCs w:val="24"/>
        </w:rPr>
        <w:t xml:space="preserve">vai lietas skatīšana “pēc būtības” apelācijā nozīmē, ka jādublē pilnībā skatīšana pirmajā instancē, </w:t>
      </w:r>
      <w:r w:rsidR="00F42E85" w:rsidRPr="00933626">
        <w:rPr>
          <w:rFonts w:cs="Times New Roman"/>
          <w:szCs w:val="24"/>
        </w:rPr>
        <w:t>vai kasācijas instance patiešām nejaucas iekšā pierādīšanas un vērtēšanas aspektos utt.</w:t>
      </w:r>
    </w:p>
    <w:p w14:paraId="03DACADB" w14:textId="0DD4F0DB" w:rsidR="00F42E85" w:rsidRPr="00933626" w:rsidRDefault="005D6555" w:rsidP="00A77943">
      <w:pPr>
        <w:spacing w:after="120" w:line="240" w:lineRule="auto"/>
        <w:jc w:val="both"/>
        <w:rPr>
          <w:rFonts w:cs="Times New Roman"/>
          <w:szCs w:val="24"/>
        </w:rPr>
      </w:pPr>
      <w:r w:rsidRPr="00933626">
        <w:rPr>
          <w:rFonts w:cs="Times New Roman"/>
          <w:szCs w:val="24"/>
        </w:rPr>
        <w:t xml:space="preserve">Šīs mijiedarbības efektivizēšana ir </w:t>
      </w:r>
      <w:r w:rsidR="00A0262C" w:rsidRPr="00933626">
        <w:rPr>
          <w:rFonts w:cs="Times New Roman"/>
          <w:szCs w:val="24"/>
        </w:rPr>
        <w:t>šodienas temats.</w:t>
      </w:r>
    </w:p>
    <w:p w14:paraId="0BDA1147" w14:textId="5CB92A0E" w:rsidR="00A0262C" w:rsidRPr="00933626" w:rsidRDefault="00A0262C" w:rsidP="00A77943">
      <w:pPr>
        <w:spacing w:after="120" w:line="240" w:lineRule="auto"/>
        <w:jc w:val="both"/>
        <w:rPr>
          <w:rFonts w:cs="Times New Roman"/>
          <w:szCs w:val="24"/>
        </w:rPr>
      </w:pPr>
      <w:r w:rsidRPr="00933626">
        <w:rPr>
          <w:rFonts w:cs="Times New Roman"/>
          <w:szCs w:val="24"/>
        </w:rPr>
        <w:t xml:space="preserve">Mijiedarbība starp instancēm pastāv, tas ir fakts. Jautājums – cik tā ir efektīva, kā to padarīt produktīvāku, </w:t>
      </w:r>
      <w:r w:rsidR="00E00AF6" w:rsidRPr="00933626">
        <w:rPr>
          <w:rFonts w:cs="Times New Roman"/>
          <w:szCs w:val="24"/>
        </w:rPr>
        <w:t xml:space="preserve">nedublēties, </w:t>
      </w:r>
      <w:r w:rsidRPr="00933626">
        <w:rPr>
          <w:rFonts w:cs="Times New Roman"/>
          <w:szCs w:val="24"/>
        </w:rPr>
        <w:t>samazin</w:t>
      </w:r>
      <w:r w:rsidR="00E00AF6" w:rsidRPr="00933626">
        <w:rPr>
          <w:rFonts w:cs="Times New Roman"/>
          <w:szCs w:val="24"/>
        </w:rPr>
        <w:t>āt</w:t>
      </w:r>
      <w:r w:rsidRPr="00933626">
        <w:rPr>
          <w:rFonts w:cs="Times New Roman"/>
          <w:szCs w:val="24"/>
        </w:rPr>
        <w:t xml:space="preserve"> lietu izskatīšanai nepieciešamos resursus</w:t>
      </w:r>
      <w:r w:rsidR="00E00AF6" w:rsidRPr="00933626">
        <w:rPr>
          <w:rFonts w:cs="Times New Roman"/>
          <w:szCs w:val="24"/>
        </w:rPr>
        <w:t>, vienlaikus ceļot kvalitāti</w:t>
      </w:r>
      <w:r w:rsidR="005D6555" w:rsidRPr="00933626">
        <w:rPr>
          <w:rFonts w:cs="Times New Roman"/>
          <w:szCs w:val="24"/>
        </w:rPr>
        <w:t xml:space="preserve"> vai, kā minimums, nezaudējot to</w:t>
      </w:r>
      <w:r w:rsidRPr="00933626">
        <w:rPr>
          <w:rFonts w:cs="Times New Roman"/>
          <w:szCs w:val="24"/>
        </w:rPr>
        <w:t>.</w:t>
      </w:r>
    </w:p>
    <w:p w14:paraId="57CCFEC6" w14:textId="679D8DA2" w:rsidR="00A0262C" w:rsidRPr="00933626" w:rsidRDefault="00A0262C" w:rsidP="00A77943">
      <w:pPr>
        <w:spacing w:after="120" w:line="240" w:lineRule="auto"/>
        <w:jc w:val="both"/>
        <w:rPr>
          <w:rFonts w:cs="Times New Roman"/>
          <w:szCs w:val="24"/>
        </w:rPr>
      </w:pPr>
      <w:r w:rsidRPr="00933626">
        <w:rPr>
          <w:rFonts w:cs="Times New Roman"/>
          <w:szCs w:val="24"/>
        </w:rPr>
        <w:t>Ceru, ka diskusijas dalībnieki šodien sniegs ieskatu šajos jautājumos. Ja nē, tad iesaistīsimies visi no zāles</w:t>
      </w:r>
      <w:r w:rsidR="00E00AF6" w:rsidRPr="00933626">
        <w:rPr>
          <w:rFonts w:cs="Times New Roman"/>
          <w:szCs w:val="24"/>
        </w:rPr>
        <w:t xml:space="preserve"> un pārņemsim diskusiju savās rokās</w:t>
      </w:r>
      <w:r w:rsidRPr="00933626">
        <w:rPr>
          <w:rFonts w:cs="Times New Roman"/>
          <w:szCs w:val="24"/>
        </w:rPr>
        <w:t>.</w:t>
      </w:r>
    </w:p>
    <w:p w14:paraId="43D05864" w14:textId="0C2A2AB5" w:rsidR="00A0262C" w:rsidRPr="00A77943" w:rsidRDefault="00A0262C" w:rsidP="00A77943">
      <w:pPr>
        <w:spacing w:after="120" w:line="240" w:lineRule="auto"/>
        <w:jc w:val="both"/>
        <w:rPr>
          <w:rFonts w:cs="Times New Roman"/>
          <w:szCs w:val="24"/>
        </w:rPr>
      </w:pPr>
      <w:r w:rsidRPr="00933626">
        <w:rPr>
          <w:rFonts w:cs="Times New Roman"/>
          <w:szCs w:val="24"/>
        </w:rPr>
        <w:t xml:space="preserve">Paldies, un </w:t>
      </w:r>
      <w:r w:rsidR="00E00AF6" w:rsidRPr="00933626">
        <w:rPr>
          <w:rFonts w:cs="Times New Roman"/>
          <w:szCs w:val="24"/>
        </w:rPr>
        <w:t>lai radoša un auglīga saruna!</w:t>
      </w:r>
    </w:p>
    <w:sectPr w:rsidR="00A0262C" w:rsidRPr="00A77943" w:rsidSect="00A77943">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A6634" w14:textId="77777777" w:rsidR="000D7F77" w:rsidRDefault="000D7F77" w:rsidP="00800716">
      <w:pPr>
        <w:spacing w:after="0" w:line="240" w:lineRule="auto"/>
      </w:pPr>
      <w:r>
        <w:separator/>
      </w:r>
    </w:p>
  </w:endnote>
  <w:endnote w:type="continuationSeparator" w:id="0">
    <w:p w14:paraId="0A9ED386" w14:textId="77777777" w:rsidR="000D7F77" w:rsidRDefault="000D7F77" w:rsidP="00800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5ECE3" w14:textId="77777777" w:rsidR="000D7F77" w:rsidRDefault="000D7F77" w:rsidP="00800716">
      <w:pPr>
        <w:spacing w:after="0" w:line="240" w:lineRule="auto"/>
      </w:pPr>
      <w:r>
        <w:separator/>
      </w:r>
    </w:p>
  </w:footnote>
  <w:footnote w:type="continuationSeparator" w:id="0">
    <w:p w14:paraId="0196F9B4" w14:textId="77777777" w:rsidR="000D7F77" w:rsidRDefault="000D7F77" w:rsidP="008007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E3B"/>
    <w:rsid w:val="00011670"/>
    <w:rsid w:val="00095D66"/>
    <w:rsid w:val="000D7F77"/>
    <w:rsid w:val="001035B7"/>
    <w:rsid w:val="001459AB"/>
    <w:rsid w:val="001A547E"/>
    <w:rsid w:val="001C3F5A"/>
    <w:rsid w:val="00212691"/>
    <w:rsid w:val="00241CFB"/>
    <w:rsid w:val="00261389"/>
    <w:rsid w:val="00264CD3"/>
    <w:rsid w:val="002D77E8"/>
    <w:rsid w:val="002F4B92"/>
    <w:rsid w:val="003A26F3"/>
    <w:rsid w:val="003D27CD"/>
    <w:rsid w:val="0044208B"/>
    <w:rsid w:val="004A2245"/>
    <w:rsid w:val="00514EAB"/>
    <w:rsid w:val="005333E5"/>
    <w:rsid w:val="00584836"/>
    <w:rsid w:val="005D6555"/>
    <w:rsid w:val="005E24D8"/>
    <w:rsid w:val="00662573"/>
    <w:rsid w:val="00763406"/>
    <w:rsid w:val="007D752C"/>
    <w:rsid w:val="00800716"/>
    <w:rsid w:val="008567D1"/>
    <w:rsid w:val="008C75B1"/>
    <w:rsid w:val="008D625C"/>
    <w:rsid w:val="008F4A8B"/>
    <w:rsid w:val="00933626"/>
    <w:rsid w:val="00995DC4"/>
    <w:rsid w:val="009D43E9"/>
    <w:rsid w:val="00A0262C"/>
    <w:rsid w:val="00A37211"/>
    <w:rsid w:val="00A745D6"/>
    <w:rsid w:val="00A77943"/>
    <w:rsid w:val="00AC5D76"/>
    <w:rsid w:val="00B25D0D"/>
    <w:rsid w:val="00BB7090"/>
    <w:rsid w:val="00BC1E79"/>
    <w:rsid w:val="00C30AD7"/>
    <w:rsid w:val="00C51E3B"/>
    <w:rsid w:val="00C75FDB"/>
    <w:rsid w:val="00CE767B"/>
    <w:rsid w:val="00D72185"/>
    <w:rsid w:val="00D73BA9"/>
    <w:rsid w:val="00D866F7"/>
    <w:rsid w:val="00D90BE7"/>
    <w:rsid w:val="00D945EE"/>
    <w:rsid w:val="00DD753E"/>
    <w:rsid w:val="00E00AF6"/>
    <w:rsid w:val="00E73B35"/>
    <w:rsid w:val="00EA1C88"/>
    <w:rsid w:val="00F42E85"/>
    <w:rsid w:val="00F603E1"/>
    <w:rsid w:val="00F80CF4"/>
    <w:rsid w:val="00FB50F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7D33C"/>
  <w15:chartTrackingRefBased/>
  <w15:docId w15:val="{2C02FE0E-4301-46FE-9807-65E417111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07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0716"/>
  </w:style>
  <w:style w:type="paragraph" w:styleId="Footer">
    <w:name w:val="footer"/>
    <w:basedOn w:val="Normal"/>
    <w:link w:val="FooterChar"/>
    <w:uiPriority w:val="99"/>
    <w:unhideWhenUsed/>
    <w:rsid w:val="008007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0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8226</Words>
  <Characters>4689</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Aigars Strupišs</dc:creator>
  <cp:keywords/>
  <dc:description/>
  <cp:lastModifiedBy>Rasma Zvejniece</cp:lastModifiedBy>
  <cp:revision>6</cp:revision>
  <dcterms:created xsi:type="dcterms:W3CDTF">2023-05-19T20:25:00Z</dcterms:created>
  <dcterms:modified xsi:type="dcterms:W3CDTF">2023-05-20T04:42:00Z</dcterms:modified>
</cp:coreProperties>
</file>