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84501" w14:textId="091BBB46" w:rsidR="00D777E5" w:rsidRPr="000711E7" w:rsidRDefault="003330A6" w:rsidP="007D427F">
      <w:pPr>
        <w:spacing w:line="276" w:lineRule="auto"/>
        <w:jc w:val="center"/>
        <w:rPr>
          <w:b/>
        </w:rPr>
      </w:pPr>
      <w:r>
        <w:rPr>
          <w:b/>
        </w:rPr>
        <w:t xml:space="preserve">Latvijas </w:t>
      </w:r>
      <w:r w:rsidR="005E76F8" w:rsidRPr="000711E7">
        <w:rPr>
          <w:b/>
        </w:rPr>
        <w:t>Tiesnešu konfere</w:t>
      </w:r>
      <w:r w:rsidR="003C0BAF" w:rsidRPr="000711E7">
        <w:rPr>
          <w:b/>
        </w:rPr>
        <w:t xml:space="preserve">nces rezolūcija </w:t>
      </w:r>
      <w:r w:rsidR="00E61561">
        <w:rPr>
          <w:b/>
        </w:rPr>
        <w:t>“P</w:t>
      </w:r>
      <w:r w:rsidR="003C0BAF" w:rsidRPr="000711E7">
        <w:rPr>
          <w:b/>
        </w:rPr>
        <w:t>ar tiesnešu un tiesu darbinieku atlīdzību</w:t>
      </w:r>
      <w:r w:rsidR="00E61561">
        <w:rPr>
          <w:b/>
        </w:rPr>
        <w:t>”</w:t>
      </w:r>
    </w:p>
    <w:p w14:paraId="42EB4D79" w14:textId="65CDFAD6" w:rsidR="00CB118C" w:rsidRPr="000711E7" w:rsidRDefault="00CB118C" w:rsidP="007D427F">
      <w:pPr>
        <w:spacing w:line="276" w:lineRule="auto"/>
        <w:jc w:val="center"/>
        <w:rPr>
          <w:b/>
        </w:rPr>
      </w:pPr>
      <w:r w:rsidRPr="000711E7">
        <w:rPr>
          <w:b/>
        </w:rPr>
        <w:t>2019. gada 1. novembrī</w:t>
      </w:r>
    </w:p>
    <w:p w14:paraId="07EC1BDD" w14:textId="77777777" w:rsidR="003330A6" w:rsidRDefault="003330A6" w:rsidP="000711E7">
      <w:pPr>
        <w:spacing w:line="276" w:lineRule="auto"/>
        <w:jc w:val="both"/>
      </w:pPr>
    </w:p>
    <w:p w14:paraId="0BF47CB1" w14:textId="4E77338E" w:rsidR="00E76B7A" w:rsidRPr="000711E7" w:rsidRDefault="005E76F8" w:rsidP="000711E7">
      <w:pPr>
        <w:spacing w:line="276" w:lineRule="auto"/>
        <w:jc w:val="both"/>
      </w:pPr>
      <w:bookmarkStart w:id="0" w:name="_GoBack"/>
      <w:bookmarkEnd w:id="0"/>
      <w:r w:rsidRPr="000711E7">
        <w:t>Tiesnešu konference,</w:t>
      </w:r>
      <w:r w:rsidR="00E76B7A" w:rsidRPr="000711E7">
        <w:t xml:space="preserve"> </w:t>
      </w:r>
      <w:r w:rsidRPr="000711E7">
        <w:t>ņemot vērā</w:t>
      </w:r>
      <w:r w:rsidR="00EF6C41" w:rsidRPr="000711E7">
        <w:t>:</w:t>
      </w:r>
    </w:p>
    <w:p w14:paraId="04D41251" w14:textId="33F7291F" w:rsidR="005E76F8" w:rsidRPr="000711E7" w:rsidRDefault="005E76F8" w:rsidP="007D427F">
      <w:pPr>
        <w:pStyle w:val="ListParagraph"/>
        <w:numPr>
          <w:ilvl w:val="0"/>
          <w:numId w:val="1"/>
        </w:numPr>
        <w:spacing w:after="0" w:line="276" w:lineRule="auto"/>
        <w:ind w:left="426" w:hanging="426"/>
        <w:jc w:val="both"/>
      </w:pPr>
      <w:r w:rsidRPr="000711E7">
        <w:t>Latvijas Republikas Satversmes 83.</w:t>
      </w:r>
      <w:r w:rsidR="00F10D38" w:rsidRPr="000711E7">
        <w:t> </w:t>
      </w:r>
      <w:r w:rsidRPr="000711E7">
        <w:t>pantu,</w:t>
      </w:r>
      <w:r w:rsidR="00F10D38" w:rsidRPr="000711E7">
        <w:t xml:space="preserve"> no kura izriet, ka pienācīga tiesnešu darba samaksa ietilpst Latvijas Republikas Satversmes 83. pantā ietver</w:t>
      </w:r>
      <w:r w:rsidR="00EF6C41" w:rsidRPr="000711E7">
        <w:t>tās tiesnešu neatkarības saturā;</w:t>
      </w:r>
    </w:p>
    <w:p w14:paraId="156E4612" w14:textId="17B0D6B4" w:rsidR="00F10D38" w:rsidRPr="000711E7" w:rsidRDefault="005E76F8" w:rsidP="007D427F">
      <w:pPr>
        <w:pStyle w:val="ListParagraph"/>
        <w:numPr>
          <w:ilvl w:val="0"/>
          <w:numId w:val="1"/>
        </w:numPr>
        <w:spacing w:after="0" w:line="276" w:lineRule="auto"/>
        <w:ind w:left="426" w:hanging="426"/>
        <w:jc w:val="both"/>
      </w:pPr>
      <w:r w:rsidRPr="000711E7">
        <w:t>likuma “Par tiesu varu”</w:t>
      </w:r>
      <w:r w:rsidR="00F10D38" w:rsidRPr="000711E7">
        <w:t xml:space="preserve"> 92. panta otrās daļas 3</w:t>
      </w:r>
      <w:r w:rsidR="00EF6C41" w:rsidRPr="000711E7">
        <w:t>.</w:t>
      </w:r>
      <w:r w:rsidR="00F10D38" w:rsidRPr="000711E7">
        <w:t> punktā noteikto, ka Tiesnešu konference apspriež materiālās un sociālās nodrošināšanas un citus būtiskus tiesnešu dar</w:t>
      </w:r>
      <w:r w:rsidR="00EF6C41" w:rsidRPr="000711E7">
        <w:t>ba jautājumus;</w:t>
      </w:r>
    </w:p>
    <w:p w14:paraId="3DE822EB" w14:textId="545F7874" w:rsidR="005E76F8" w:rsidRPr="000711E7" w:rsidRDefault="005E76F8" w:rsidP="007D427F">
      <w:pPr>
        <w:pStyle w:val="ListParagraph"/>
        <w:numPr>
          <w:ilvl w:val="0"/>
          <w:numId w:val="1"/>
        </w:numPr>
        <w:spacing w:after="0" w:line="276" w:lineRule="auto"/>
        <w:ind w:left="426" w:hanging="426"/>
        <w:jc w:val="both"/>
      </w:pPr>
      <w:r w:rsidRPr="000711E7">
        <w:t>Valsts un pašvaldību institūciju amatpersonu</w:t>
      </w:r>
      <w:r w:rsidR="007349E6" w:rsidRPr="000711E7">
        <w:t xml:space="preserve"> un darbinieku atlīdzības likumā paredzēto par tiesnešu un tiesu darbinieku atalgojumu</w:t>
      </w:r>
      <w:r w:rsidR="00EF6C41" w:rsidRPr="000711E7">
        <w:t>;</w:t>
      </w:r>
    </w:p>
    <w:p w14:paraId="7EED2CA7" w14:textId="3426AC5F" w:rsidR="005E76F8" w:rsidRPr="000711E7" w:rsidRDefault="69FBA9C0" w:rsidP="007D427F">
      <w:pPr>
        <w:pStyle w:val="ListParagraph"/>
        <w:numPr>
          <w:ilvl w:val="0"/>
          <w:numId w:val="1"/>
        </w:numPr>
        <w:spacing w:after="0" w:line="276" w:lineRule="auto"/>
        <w:ind w:left="426" w:hanging="426"/>
        <w:jc w:val="both"/>
      </w:pPr>
      <w:r w:rsidRPr="000711E7">
        <w:t>Satversmes tiesas 2017. gada 26. oktobra spriedumā lietā Nr. 2016-31-01 “Par Valsts un pašvaldību institūciju amatpersonu un darbinieku atlīdzības likuma 4. panta devītās daļas un 6.</w:t>
      </w:r>
      <w:r w:rsidRPr="000711E7">
        <w:rPr>
          <w:vertAlign w:val="superscript"/>
        </w:rPr>
        <w:t>1</w:t>
      </w:r>
      <w:r w:rsidRPr="000711E7">
        <w:t xml:space="preserve"> panta pirmās daļas atbilstību Latvijas Republikas Satversmes 83. </w:t>
      </w:r>
      <w:r w:rsidR="00EF6C41" w:rsidRPr="000711E7">
        <w:t>un 107. pantam” paustās atziņas;</w:t>
      </w:r>
    </w:p>
    <w:p w14:paraId="50B837F6" w14:textId="153A213C" w:rsidR="005E76F8" w:rsidRPr="000711E7" w:rsidRDefault="005E76F8" w:rsidP="007D427F">
      <w:pPr>
        <w:pStyle w:val="ListParagraph"/>
        <w:numPr>
          <w:ilvl w:val="0"/>
          <w:numId w:val="1"/>
        </w:numPr>
        <w:spacing w:after="0" w:line="276" w:lineRule="auto"/>
        <w:ind w:left="426" w:hanging="426"/>
        <w:jc w:val="both"/>
        <w:rPr>
          <w:strike/>
        </w:rPr>
      </w:pPr>
      <w:r w:rsidRPr="000711E7">
        <w:t xml:space="preserve">Tieslietu Padomes </w:t>
      </w:r>
      <w:r w:rsidR="000014BA" w:rsidRPr="000711E7">
        <w:t xml:space="preserve">2018. gada 15. oktobra </w:t>
      </w:r>
      <w:r w:rsidR="0048112A" w:rsidRPr="000711E7">
        <w:t>lēmumā</w:t>
      </w:r>
      <w:r w:rsidRPr="000711E7">
        <w:t xml:space="preserve"> </w:t>
      </w:r>
      <w:r w:rsidR="000014BA" w:rsidRPr="000711E7">
        <w:t>Nr. 347</w:t>
      </w:r>
      <w:r w:rsidR="007349E6" w:rsidRPr="000711E7">
        <w:t xml:space="preserve"> </w:t>
      </w:r>
      <w:r w:rsidR="0048112A" w:rsidRPr="000711E7">
        <w:t>“P</w:t>
      </w:r>
      <w:r w:rsidR="007349E6" w:rsidRPr="000711E7">
        <w:t xml:space="preserve">ar </w:t>
      </w:r>
      <w:r w:rsidR="000014BA" w:rsidRPr="000711E7">
        <w:t>grozījumiem Valsts un pašvaldību institūciju amatpersonu un darbinieku atlīdzības likumā</w:t>
      </w:r>
      <w:r w:rsidR="0048112A" w:rsidRPr="000711E7">
        <w:t>”</w:t>
      </w:r>
      <w:r w:rsidRPr="000711E7">
        <w:t>,</w:t>
      </w:r>
      <w:r w:rsidR="0048112A" w:rsidRPr="000711E7">
        <w:t xml:space="preserve"> </w:t>
      </w:r>
      <w:r w:rsidR="007D427F" w:rsidRPr="000711E7">
        <w:t xml:space="preserve">ietvertos </w:t>
      </w:r>
      <w:r w:rsidR="0048112A" w:rsidRPr="000711E7">
        <w:t>priekšlikumus</w:t>
      </w:r>
      <w:r w:rsidR="007048CB" w:rsidRPr="000711E7">
        <w:t>;</w:t>
      </w:r>
    </w:p>
    <w:p w14:paraId="7D2F9D60" w14:textId="620B1963" w:rsidR="005E76F8" w:rsidRPr="000711E7" w:rsidRDefault="005E76F8" w:rsidP="007D427F">
      <w:pPr>
        <w:pStyle w:val="ListParagraph"/>
        <w:numPr>
          <w:ilvl w:val="0"/>
          <w:numId w:val="1"/>
        </w:numPr>
        <w:spacing w:after="0" w:line="276" w:lineRule="auto"/>
        <w:ind w:left="426" w:hanging="426"/>
        <w:jc w:val="both"/>
      </w:pPr>
      <w:r w:rsidRPr="000711E7">
        <w:t>Ties</w:t>
      </w:r>
      <w:r w:rsidR="007349E6" w:rsidRPr="000711E7">
        <w:t xml:space="preserve">lietu Padomes </w:t>
      </w:r>
      <w:r w:rsidR="000014BA" w:rsidRPr="000711E7">
        <w:t xml:space="preserve">2019. gada 30. septembra </w:t>
      </w:r>
      <w:r w:rsidR="007349E6" w:rsidRPr="000711E7">
        <w:t xml:space="preserve">lēmumu </w:t>
      </w:r>
      <w:r w:rsidR="000F79DD" w:rsidRPr="000711E7">
        <w:t>Nr. 113</w:t>
      </w:r>
      <w:r w:rsidR="007048CB" w:rsidRPr="000711E7">
        <w:t xml:space="preserve"> ”Par Augstākās tiesas prioritārajiem pasākumiem un budžeta pieprasījumu 2020.gadam”</w:t>
      </w:r>
      <w:r w:rsidR="000F79DD" w:rsidRPr="000711E7">
        <w:t xml:space="preserve"> un </w:t>
      </w:r>
      <w:r w:rsidR="007048CB" w:rsidRPr="000711E7">
        <w:t xml:space="preserve">lēmumu </w:t>
      </w:r>
      <w:r w:rsidR="000F79DD" w:rsidRPr="000711E7">
        <w:t>Nr. 114</w:t>
      </w:r>
      <w:r w:rsidR="007048CB" w:rsidRPr="000711E7">
        <w:t xml:space="preserve"> “P</w:t>
      </w:r>
      <w:r w:rsidR="007349E6" w:rsidRPr="000711E7">
        <w:t>ar</w:t>
      </w:r>
      <w:r w:rsidR="000014BA" w:rsidRPr="000711E7">
        <w:t xml:space="preserve"> rajonu (pilsētu) tiesu un apgabaltiesu budžeta pieprasījumu 2020. gadam</w:t>
      </w:r>
      <w:r w:rsidR="007D427F" w:rsidRPr="000711E7">
        <w:t>”, kuros</w:t>
      </w:r>
      <w:r w:rsidR="00F10D38" w:rsidRPr="000711E7">
        <w:t xml:space="preserve"> </w:t>
      </w:r>
      <w:r w:rsidR="000F79DD" w:rsidRPr="000711E7">
        <w:t>atzīts par nepietiekamu budžeta pieprasījums daļā par tiesu darbinieku atalgojuma palielināšanu līdz maksimālajam apmēram esošā normatīvā regulējuma ietvaros,</w:t>
      </w:r>
    </w:p>
    <w:p w14:paraId="76297EF2" w14:textId="6B84026C" w:rsidR="00EF6C41" w:rsidRPr="000711E7" w:rsidRDefault="007D427F" w:rsidP="000711E7">
      <w:pPr>
        <w:spacing w:before="240" w:line="276" w:lineRule="auto"/>
        <w:jc w:val="both"/>
        <w:rPr>
          <w:i/>
        </w:rPr>
      </w:pPr>
      <w:r w:rsidRPr="000711E7">
        <w:rPr>
          <w:i/>
        </w:rPr>
        <w:t>ievērojot</w:t>
      </w:r>
      <w:r w:rsidR="00EF6C41" w:rsidRPr="000711E7">
        <w:rPr>
          <w:i/>
        </w:rPr>
        <w:t>:</w:t>
      </w:r>
    </w:p>
    <w:p w14:paraId="2B664CE9" w14:textId="66DDF035" w:rsidR="008148E4" w:rsidRPr="000711E7" w:rsidRDefault="008148E4" w:rsidP="007D427F">
      <w:pPr>
        <w:pStyle w:val="ListParagraph"/>
        <w:numPr>
          <w:ilvl w:val="0"/>
          <w:numId w:val="2"/>
        </w:numPr>
        <w:spacing w:after="0" w:line="276" w:lineRule="auto"/>
        <w:ind w:left="426" w:hanging="426"/>
        <w:jc w:val="both"/>
      </w:pPr>
      <w:r w:rsidRPr="000711E7">
        <w:t>Deklarācijā par Artura Krišjāņa Kariņa vadītā Min</w:t>
      </w:r>
      <w:r w:rsidR="00624F82">
        <w:t>istru kabineta iecerēto darbību</w:t>
      </w:r>
      <w:r w:rsidRPr="000711E7">
        <w:t xml:space="preserve"> 174. punktā teikt</w:t>
      </w:r>
      <w:r w:rsidR="007048CB" w:rsidRPr="000711E7">
        <w:t>o</w:t>
      </w:r>
      <w:r w:rsidRPr="000711E7">
        <w:t>, ka “Sekmēsim sabiedrības uzticēšanos tiesu varai, kas balstīta uz tiesiskuma nostiprināšanu un tiesu s</w:t>
      </w:r>
      <w:r w:rsidR="007048CB" w:rsidRPr="000711E7">
        <w:t>istēmas prestiža paaugstināšanu</w:t>
      </w:r>
      <w:r w:rsidRPr="000711E7">
        <w:t>”;</w:t>
      </w:r>
    </w:p>
    <w:p w14:paraId="5B01DB92" w14:textId="2BB60A30" w:rsidR="000817AE" w:rsidRPr="000711E7" w:rsidRDefault="008148E4" w:rsidP="007D427F">
      <w:pPr>
        <w:pStyle w:val="ListParagraph"/>
        <w:numPr>
          <w:ilvl w:val="0"/>
          <w:numId w:val="2"/>
        </w:numPr>
        <w:spacing w:after="0" w:line="276" w:lineRule="auto"/>
        <w:ind w:left="426" w:hanging="426"/>
        <w:jc w:val="both"/>
      </w:pPr>
      <w:r w:rsidRPr="000711E7">
        <w:t xml:space="preserve">Ministru kabineta ārkārtas sēdē 2019. gada 11. oktobrī </w:t>
      </w:r>
      <w:r w:rsidR="000817AE" w:rsidRPr="000711E7">
        <w:t>atbalstīt</w:t>
      </w:r>
      <w:r w:rsidR="007048CB" w:rsidRPr="000711E7">
        <w:t>o</w:t>
      </w:r>
      <w:r w:rsidR="000817AE" w:rsidRPr="000711E7">
        <w:t xml:space="preserve"> likumprojekt</w:t>
      </w:r>
      <w:r w:rsidR="007048CB" w:rsidRPr="000711E7">
        <w:t>u “Par valsts budžetu 2020. gadam”</w:t>
      </w:r>
      <w:r w:rsidRPr="000711E7">
        <w:t xml:space="preserve"> un </w:t>
      </w:r>
      <w:r w:rsidR="007048CB" w:rsidRPr="000711E7">
        <w:t>likumprojektu “</w:t>
      </w:r>
      <w:r w:rsidRPr="000711E7">
        <w:t>Par vidēja termiņa budžeta ietvaru 2020., 2021. un 2022.</w:t>
      </w:r>
      <w:r w:rsidR="00AE2C91" w:rsidRPr="000711E7">
        <w:t> </w:t>
      </w:r>
      <w:r w:rsidR="007048CB" w:rsidRPr="000711E7">
        <w:t>gadam”, kurā tiesu varai -</w:t>
      </w:r>
      <w:r w:rsidR="000817AE" w:rsidRPr="000711E7">
        <w:t xml:space="preserve"> tiesnešu un tiesu darbinieku konkurētspējīga atalgojuma nodrošināšanai nav paredzēti papildu līdzekļi;</w:t>
      </w:r>
    </w:p>
    <w:p w14:paraId="4D6F271F" w14:textId="3A08AD29" w:rsidR="008148E4" w:rsidRPr="000711E7" w:rsidRDefault="008148E4" w:rsidP="007D427F">
      <w:pPr>
        <w:pStyle w:val="ListParagraph"/>
        <w:numPr>
          <w:ilvl w:val="0"/>
          <w:numId w:val="2"/>
        </w:numPr>
        <w:spacing w:after="0" w:line="276" w:lineRule="auto"/>
        <w:ind w:left="426" w:hanging="426"/>
        <w:jc w:val="both"/>
      </w:pPr>
      <w:r w:rsidRPr="000711E7">
        <w:t xml:space="preserve">2019. gada </w:t>
      </w:r>
      <w:r w:rsidR="007D427F" w:rsidRPr="000711E7">
        <w:t>11. oktobrī</w:t>
      </w:r>
      <w:r w:rsidR="007048CB" w:rsidRPr="000711E7">
        <w:t xml:space="preserve"> sabiedrības apspriešanai </w:t>
      </w:r>
      <w:r w:rsidRPr="000711E7">
        <w:t>Valsts kanceleja</w:t>
      </w:r>
      <w:r w:rsidR="007048CB" w:rsidRPr="000711E7">
        <w:t>s nodoto</w:t>
      </w:r>
      <w:r w:rsidRPr="000711E7">
        <w:t xml:space="preserve"> likumprojektu “Valsts un pašvaldību institūciju amatpersonu u</w:t>
      </w:r>
      <w:r w:rsidR="007048CB" w:rsidRPr="000711E7">
        <w:t xml:space="preserve">n darbinieku atlīdzības likums”, </w:t>
      </w:r>
      <w:r w:rsidRPr="000711E7">
        <w:t>kurā cita starpā paredzēts tiesnešu un tiesu darbinieku atalgojuma tiesiskais regulējums</w:t>
      </w:r>
      <w:r w:rsidR="00EE2143" w:rsidRPr="000711E7">
        <w:t>,</w:t>
      </w:r>
      <w:r w:rsidR="003C0BAF" w:rsidRPr="000711E7">
        <w:t xml:space="preserve"> un likumprojekta </w:t>
      </w:r>
      <w:r w:rsidR="00624F82">
        <w:t>anotācijā norādīto</w:t>
      </w:r>
      <w:r w:rsidRPr="000711E7">
        <w:t xml:space="preserve">, ka “Atlīdzības sistēma valsts un pašvaldību institūcijās pārskatīta un pilnveidota, lai tā spētu nodrošināt konkurētspējīgu atlīdzību valsts pārvaldē, kas veicinātu stabilu, efektīvu un atklātu valsts </w:t>
      </w:r>
      <w:r w:rsidR="007048CB" w:rsidRPr="000711E7">
        <w:t>un pašvaldību institūciju darbu</w:t>
      </w:r>
      <w:r w:rsidRPr="000711E7">
        <w:t>”;</w:t>
      </w:r>
    </w:p>
    <w:p w14:paraId="4DCFE4F7" w14:textId="526633EB" w:rsidR="000817AE" w:rsidRPr="000711E7" w:rsidRDefault="00C73919" w:rsidP="007D427F">
      <w:pPr>
        <w:pStyle w:val="ListParagraph"/>
        <w:numPr>
          <w:ilvl w:val="0"/>
          <w:numId w:val="2"/>
        </w:numPr>
        <w:spacing w:after="0" w:line="276" w:lineRule="auto"/>
        <w:ind w:left="426" w:hanging="426"/>
        <w:jc w:val="both"/>
      </w:pPr>
      <w:r w:rsidRPr="000711E7">
        <w:t xml:space="preserve">ka </w:t>
      </w:r>
      <w:r w:rsidR="000817AE" w:rsidRPr="000711E7">
        <w:t>tiesneš</w:t>
      </w:r>
      <w:r w:rsidRPr="000711E7">
        <w:t>u</w:t>
      </w:r>
      <w:r w:rsidR="000817AE" w:rsidRPr="000711E7">
        <w:t xml:space="preserve"> atalgojums</w:t>
      </w:r>
      <w:r w:rsidR="002F0CC3" w:rsidRPr="000711E7">
        <w:t xml:space="preserve"> likumprojektā “Valsts un pašvaldību institūciju amatpersonu un darbinieku atlīdzības likums”</w:t>
      </w:r>
      <w:r w:rsidR="000817AE" w:rsidRPr="000711E7">
        <w:t xml:space="preserve"> pēc būtības n</w:t>
      </w:r>
      <w:r w:rsidR="002F0CC3" w:rsidRPr="000711E7">
        <w:t xml:space="preserve">av </w:t>
      </w:r>
      <w:r w:rsidR="000817AE" w:rsidRPr="000711E7">
        <w:t xml:space="preserve">pārskatīts un </w:t>
      </w:r>
      <w:r w:rsidR="00EE2143" w:rsidRPr="000711E7">
        <w:t xml:space="preserve">nav konkurētspējīgs ar </w:t>
      </w:r>
      <w:r w:rsidR="000817AE" w:rsidRPr="000711E7">
        <w:t>izpild</w:t>
      </w:r>
      <w:r w:rsidR="00AE2C91" w:rsidRPr="000711E7">
        <w:t xml:space="preserve">u </w:t>
      </w:r>
      <w:r w:rsidR="000817AE" w:rsidRPr="000711E7">
        <w:t>varas un likumdevēj</w:t>
      </w:r>
      <w:r w:rsidR="00AE2C91" w:rsidRPr="000711E7">
        <w:t xml:space="preserve">a </w:t>
      </w:r>
      <w:r w:rsidR="000817AE" w:rsidRPr="000711E7">
        <w:t xml:space="preserve">varas </w:t>
      </w:r>
      <w:r w:rsidR="002F0CC3" w:rsidRPr="000711E7">
        <w:t>attiecīgu amatpersonu atalgojum</w:t>
      </w:r>
      <w:r w:rsidR="00EE2143" w:rsidRPr="000711E7">
        <w:t>u</w:t>
      </w:r>
      <w:r w:rsidR="000817AE" w:rsidRPr="000711E7">
        <w:t>;</w:t>
      </w:r>
    </w:p>
    <w:p w14:paraId="41FD6307" w14:textId="70581D99" w:rsidR="000817AE" w:rsidRPr="000711E7" w:rsidRDefault="00C73919" w:rsidP="007D427F">
      <w:pPr>
        <w:pStyle w:val="ListParagraph"/>
        <w:numPr>
          <w:ilvl w:val="0"/>
          <w:numId w:val="2"/>
        </w:numPr>
        <w:spacing w:after="0" w:line="276" w:lineRule="auto"/>
        <w:ind w:left="426" w:hanging="426"/>
        <w:jc w:val="both"/>
      </w:pPr>
      <w:r w:rsidRPr="000711E7">
        <w:t>ka</w:t>
      </w:r>
      <w:r w:rsidR="69FBA9C0" w:rsidRPr="000711E7">
        <w:t xml:space="preserve"> tiesiskuma nostiprināšana un tiesu sistēmas prestiža paaugstināšana nav iedomājama bez augsti kvalificētiem un motivētiem tiesnešiem un tiesu darbiniekiem, ko nodrošina tiesneša statusam atbilstošs atalgojum</w:t>
      </w:r>
      <w:r w:rsidR="007D427F" w:rsidRPr="000711E7">
        <w:t>s un</w:t>
      </w:r>
      <w:r w:rsidRPr="000711E7">
        <w:t xml:space="preserve"> </w:t>
      </w:r>
      <w:r w:rsidR="69FBA9C0" w:rsidRPr="000711E7">
        <w:t>tiesu darbinieku konkurētspējīgs atalgojums,</w:t>
      </w:r>
    </w:p>
    <w:p w14:paraId="21A41819" w14:textId="128B509E" w:rsidR="00A14AF3" w:rsidRPr="000711E7" w:rsidRDefault="007D427F" w:rsidP="0014796D">
      <w:pPr>
        <w:spacing w:before="240" w:after="0" w:line="276" w:lineRule="auto"/>
        <w:jc w:val="both"/>
        <w:rPr>
          <w:i/>
        </w:rPr>
      </w:pPr>
      <w:r w:rsidRPr="000711E7">
        <w:rPr>
          <w:i/>
        </w:rPr>
        <w:lastRenderedPageBreak/>
        <w:t>pauž nožēlu:</w:t>
      </w:r>
    </w:p>
    <w:p w14:paraId="5C7A82DD" w14:textId="5699BC5B" w:rsidR="003C0BAF" w:rsidRPr="000711E7" w:rsidRDefault="003C0BAF" w:rsidP="00C55962">
      <w:pPr>
        <w:spacing w:after="0" w:line="276" w:lineRule="auto"/>
        <w:jc w:val="both"/>
      </w:pPr>
      <w:r w:rsidRPr="000711E7">
        <w:t>par līdzšinējo valdības</w:t>
      </w:r>
      <w:r w:rsidR="002F0CC3" w:rsidRPr="000711E7">
        <w:t xml:space="preserve"> un Saeimas </w:t>
      </w:r>
      <w:r w:rsidRPr="000711E7">
        <w:t xml:space="preserve">īstenoto </w:t>
      </w:r>
      <w:r w:rsidR="00EE2143" w:rsidRPr="000711E7">
        <w:t xml:space="preserve">nepietiekošo </w:t>
      </w:r>
      <w:r w:rsidR="002F0CC3" w:rsidRPr="000711E7">
        <w:t>politiku tiesu varas stiprināšanas jomā, ilgstoši neparedzot un nenodrošinot tiesneš</w:t>
      </w:r>
      <w:r w:rsidRPr="000711E7">
        <w:t xml:space="preserve">a statusam atbilstošu </w:t>
      </w:r>
      <w:r w:rsidR="002F0CC3" w:rsidRPr="000711E7">
        <w:t xml:space="preserve">atalgojumu, </w:t>
      </w:r>
      <w:r w:rsidRPr="000711E7">
        <w:t xml:space="preserve">tādējādi spiežot tiesnešus vairākkārtīgi vērsties Latvijas Republikas Satversmes tiesā savu </w:t>
      </w:r>
      <w:r w:rsidR="00686273" w:rsidRPr="000711E7">
        <w:t>tiesību aizsardzībai, kas norāda uz izpild</w:t>
      </w:r>
      <w:r w:rsidR="00AE2C91" w:rsidRPr="000711E7">
        <w:t xml:space="preserve">u </w:t>
      </w:r>
      <w:r w:rsidR="00686273" w:rsidRPr="000711E7">
        <w:t>varas un likumdevēj</w:t>
      </w:r>
      <w:r w:rsidR="00AE2C91" w:rsidRPr="000711E7">
        <w:t xml:space="preserve">a </w:t>
      </w:r>
      <w:r w:rsidR="00686273" w:rsidRPr="000711E7">
        <w:t>varas nepietiekamu izpratni par tiesu varas lomu un nozīmi Latvijas Republikas kā tiesiskas un</w:t>
      </w:r>
      <w:r w:rsidR="000711E7" w:rsidRPr="000711E7">
        <w:t xml:space="preserve"> demokrātiskas valsts attīstībā;</w:t>
      </w:r>
    </w:p>
    <w:p w14:paraId="468BEF5E" w14:textId="586E7E23" w:rsidR="00686273" w:rsidRPr="000711E7" w:rsidRDefault="00686273" w:rsidP="00C55962">
      <w:pPr>
        <w:spacing w:after="0" w:line="276" w:lineRule="auto"/>
        <w:jc w:val="both"/>
      </w:pPr>
      <w:r w:rsidRPr="000711E7">
        <w:t xml:space="preserve">par līdzšinējo valdības un Saeimas </w:t>
      </w:r>
      <w:r w:rsidR="00EE2143" w:rsidRPr="000711E7">
        <w:t xml:space="preserve">nepietiekošo </w:t>
      </w:r>
      <w:r w:rsidRPr="000711E7">
        <w:t xml:space="preserve">rīcību, </w:t>
      </w:r>
      <w:r w:rsidR="003C0BAF" w:rsidRPr="000711E7">
        <w:t xml:space="preserve">ilgstoši atliekot un nerisinot </w:t>
      </w:r>
      <w:r w:rsidR="002F0CC3" w:rsidRPr="000711E7">
        <w:t>tiesu darbinieku</w:t>
      </w:r>
      <w:r w:rsidRPr="000711E7">
        <w:t xml:space="preserve"> nekonkurētspējīgā atalgojuma </w:t>
      </w:r>
      <w:r w:rsidR="00C55962">
        <w:t>problēmu</w:t>
      </w:r>
      <w:r w:rsidR="002F0CC3" w:rsidRPr="000711E7">
        <w:t>,</w:t>
      </w:r>
      <w:r w:rsidRPr="000711E7">
        <w:t xml:space="preserve"> </w:t>
      </w:r>
      <w:r w:rsidR="007548AD" w:rsidRPr="000711E7">
        <w:t xml:space="preserve">tādējādi neveicinot tiesu varas </w:t>
      </w:r>
      <w:r w:rsidRPr="000711E7">
        <w:t>pilnvērtīg</w:t>
      </w:r>
      <w:r w:rsidR="007548AD" w:rsidRPr="000711E7">
        <w:t>u</w:t>
      </w:r>
      <w:r w:rsidRPr="000711E7">
        <w:t xml:space="preserve"> attīstī</w:t>
      </w:r>
      <w:r w:rsidR="007548AD" w:rsidRPr="000711E7">
        <w:t xml:space="preserve">bu </w:t>
      </w:r>
      <w:r w:rsidRPr="000711E7">
        <w:t xml:space="preserve">un </w:t>
      </w:r>
      <w:r w:rsidR="007548AD" w:rsidRPr="000711E7">
        <w:t>ne</w:t>
      </w:r>
      <w:r w:rsidRPr="000711E7">
        <w:t>sekmē</w:t>
      </w:r>
      <w:r w:rsidR="007548AD" w:rsidRPr="000711E7">
        <w:t>jo</w:t>
      </w:r>
      <w:r w:rsidRPr="000711E7">
        <w:t>t tiesu varas prestiž</w:t>
      </w:r>
      <w:r w:rsidR="007548AD" w:rsidRPr="000711E7">
        <w:t>a celšanu</w:t>
      </w:r>
      <w:r w:rsidR="007D427F" w:rsidRPr="000711E7">
        <w:t>,</w:t>
      </w:r>
    </w:p>
    <w:p w14:paraId="3CDCD91B" w14:textId="27FE4B77" w:rsidR="00686273" w:rsidRPr="000711E7" w:rsidRDefault="007D427F" w:rsidP="000711E7">
      <w:pPr>
        <w:spacing w:before="240" w:after="0" w:line="276" w:lineRule="auto"/>
        <w:jc w:val="both"/>
      </w:pPr>
      <w:r w:rsidRPr="000711E7">
        <w:rPr>
          <w:i/>
        </w:rPr>
        <w:t>uzsver</w:t>
      </w:r>
      <w:r w:rsidRPr="000711E7">
        <w:t xml:space="preserve">, </w:t>
      </w:r>
      <w:r w:rsidR="00E976C0" w:rsidRPr="000711E7">
        <w:t xml:space="preserve">ka </w:t>
      </w:r>
      <w:r w:rsidR="00686273" w:rsidRPr="000711E7">
        <w:t>tiesneša</w:t>
      </w:r>
      <w:r w:rsidR="00E976C0" w:rsidRPr="000711E7">
        <w:t xml:space="preserve"> </w:t>
      </w:r>
      <w:r w:rsidR="00686273" w:rsidRPr="000711E7">
        <w:t xml:space="preserve">amatam atbilstošs </w:t>
      </w:r>
      <w:r w:rsidR="00E976C0" w:rsidRPr="000711E7">
        <w:t>un tiesu darbiniek</w:t>
      </w:r>
      <w:r w:rsidR="00686273" w:rsidRPr="000711E7">
        <w:t xml:space="preserve">iem </w:t>
      </w:r>
      <w:r w:rsidR="00E976C0" w:rsidRPr="000711E7">
        <w:t>konkurētspējīgs atalgojums ir priekšnosacījums līdzsvarotai visu Latvijas Republikas valsts varas atzaru attīstī</w:t>
      </w:r>
      <w:r w:rsidR="00686273" w:rsidRPr="000711E7">
        <w:t xml:space="preserve">bai, tādējādi veicinot un </w:t>
      </w:r>
      <w:r w:rsidR="00E976C0" w:rsidRPr="000711E7">
        <w:t>stiprinot</w:t>
      </w:r>
      <w:r w:rsidR="000F79DD" w:rsidRPr="000711E7">
        <w:t xml:space="preserve"> tiesiskuma nostiprināšanu</w:t>
      </w:r>
      <w:r w:rsidR="00C73919" w:rsidRPr="000711E7">
        <w:t xml:space="preserve"> Latvijas Republikā</w:t>
      </w:r>
      <w:r w:rsidR="000711E7" w:rsidRPr="000711E7">
        <w:t>,</w:t>
      </w:r>
    </w:p>
    <w:p w14:paraId="29C3B0AB" w14:textId="1A09534E" w:rsidR="00686273" w:rsidRPr="000711E7" w:rsidRDefault="00686273" w:rsidP="000711E7">
      <w:pPr>
        <w:spacing w:before="240" w:after="0" w:line="276" w:lineRule="auto"/>
        <w:jc w:val="both"/>
      </w:pPr>
      <w:r w:rsidRPr="00C55962">
        <w:rPr>
          <w:b/>
        </w:rPr>
        <w:t>aicina</w:t>
      </w:r>
      <w:r w:rsidR="007D427F" w:rsidRPr="000711E7">
        <w:t xml:space="preserve"> </w:t>
      </w:r>
      <w:r w:rsidR="00E976C0" w:rsidRPr="000711E7">
        <w:t xml:space="preserve">likumprojekta “Valsts un pašvaldību institūciju amatpersonu un darbinieku atlīdzības likums” turpmākā izskatīšanas laikā </w:t>
      </w:r>
      <w:r w:rsidRPr="000711E7">
        <w:t xml:space="preserve">ņemt par piemēru Igaunijas Republikā esošo valsts pārvaldes </w:t>
      </w:r>
      <w:r w:rsidR="00EE2143" w:rsidRPr="000711E7">
        <w:t xml:space="preserve">finansēto </w:t>
      </w:r>
      <w:r w:rsidRPr="000711E7">
        <w:t xml:space="preserve">amatpersonu </w:t>
      </w:r>
      <w:r w:rsidR="00EE2143" w:rsidRPr="000711E7">
        <w:t>atalgojuma modeli, kurā valsts amatpersonas atalgojuma sistēma veidota</w:t>
      </w:r>
      <w:r w:rsidR="000F79DD" w:rsidRPr="000711E7">
        <w:t xml:space="preserve">, ievērojot loģisku atalgojuma hierarhiju </w:t>
      </w:r>
      <w:r w:rsidR="00EE2143" w:rsidRPr="000711E7">
        <w:t>atbilstoši ieņemamo amatu nozīmīgumam,</w:t>
      </w:r>
      <w:r w:rsidR="00921EC0" w:rsidRPr="000711E7">
        <w:t xml:space="preserve"> kā arī ņemt vērā Tieslietu Padomes 2018. gada 15. oktobra lēmumā Nr. 347 paustās atziņas par tiesnešu atalgojumu un Tieslietu Padomes</w:t>
      </w:r>
      <w:r w:rsidR="001A1E2E" w:rsidRPr="000711E7">
        <w:t xml:space="preserve"> 2019. gada 30. septembra lēmumos</w:t>
      </w:r>
      <w:r w:rsidR="00921EC0" w:rsidRPr="000711E7">
        <w:t xml:space="preserve"> norādīto par tiesas darbinieku atalgojumu</w:t>
      </w:r>
      <w:r w:rsidR="000711E7" w:rsidRPr="000711E7">
        <w:t>,</w:t>
      </w:r>
    </w:p>
    <w:p w14:paraId="21EC6E9A" w14:textId="7B9BADA2" w:rsidR="00EE2143" w:rsidRPr="000711E7" w:rsidRDefault="00C73919" w:rsidP="000711E7">
      <w:pPr>
        <w:spacing w:before="240" w:after="0" w:line="276" w:lineRule="auto"/>
        <w:jc w:val="both"/>
      </w:pPr>
      <w:r w:rsidRPr="000711E7">
        <w:rPr>
          <w:b/>
        </w:rPr>
        <w:t>pie</w:t>
      </w:r>
      <w:r w:rsidR="00EE2143" w:rsidRPr="000711E7">
        <w:rPr>
          <w:b/>
        </w:rPr>
        <w:t>prasa</w:t>
      </w:r>
      <w:r w:rsidR="00EE2143" w:rsidRPr="000711E7">
        <w:t xml:space="preserve"> likumprojekta “Valsts un pašvaldību institūciju amatpersonu un darbinieku atlīdzības likums” turpmākā</w:t>
      </w:r>
      <w:r w:rsidR="00624F82">
        <w:t>s</w:t>
      </w:r>
      <w:r w:rsidR="00EE2143" w:rsidRPr="000711E7">
        <w:t xml:space="preserve"> izskatīšanas laikā </w:t>
      </w:r>
      <w:r w:rsidR="00E976C0" w:rsidRPr="000711E7">
        <w:t>nodrošināt tādu atlīdzības sistēmu, lai tā</w:t>
      </w:r>
      <w:r w:rsidR="00921EC0" w:rsidRPr="000711E7">
        <w:t xml:space="preserve"> ievērotu līdzsvaru starp visiem </w:t>
      </w:r>
      <w:r w:rsidR="00C55962">
        <w:t xml:space="preserve">valsts </w:t>
      </w:r>
      <w:r w:rsidR="00921EC0" w:rsidRPr="000711E7">
        <w:t>varas atzariem</w:t>
      </w:r>
      <w:r w:rsidR="00E976C0" w:rsidRPr="000711E7">
        <w:t xml:space="preserve"> </w:t>
      </w:r>
      <w:r w:rsidR="00921EC0" w:rsidRPr="000711E7">
        <w:t xml:space="preserve">un </w:t>
      </w:r>
      <w:r w:rsidR="00EE2143" w:rsidRPr="000711E7">
        <w:t xml:space="preserve">būtu konkurētspējīga </w:t>
      </w:r>
      <w:r w:rsidR="00E976C0" w:rsidRPr="000711E7">
        <w:t xml:space="preserve">ne </w:t>
      </w:r>
      <w:r w:rsidR="00EE2143" w:rsidRPr="000711E7">
        <w:t xml:space="preserve">tikai </w:t>
      </w:r>
      <w:r w:rsidR="00E976C0" w:rsidRPr="000711E7">
        <w:t>valsts pārvaldē izpild</w:t>
      </w:r>
      <w:r w:rsidR="00AE2C91" w:rsidRPr="000711E7">
        <w:t xml:space="preserve">u </w:t>
      </w:r>
      <w:r w:rsidR="00E976C0" w:rsidRPr="000711E7">
        <w:t>varas un likumdevēj</w:t>
      </w:r>
      <w:r w:rsidR="00AE2C91" w:rsidRPr="000711E7">
        <w:t xml:space="preserve">a </w:t>
      </w:r>
      <w:r w:rsidR="00E976C0" w:rsidRPr="000711E7">
        <w:t xml:space="preserve">varas atzarā, </w:t>
      </w:r>
      <w:r w:rsidR="00EE2143" w:rsidRPr="000711E7">
        <w:t>bet arī tiesu varas atzarā</w:t>
      </w:r>
      <w:r w:rsidR="000711E7" w:rsidRPr="000711E7">
        <w:t>,</w:t>
      </w:r>
    </w:p>
    <w:p w14:paraId="7B166730" w14:textId="65D0BBD9" w:rsidR="006B69EB" w:rsidRPr="000711E7" w:rsidRDefault="00AE2C91" w:rsidP="000711E7">
      <w:pPr>
        <w:spacing w:before="240" w:after="0" w:line="276" w:lineRule="auto"/>
        <w:jc w:val="both"/>
      </w:pPr>
      <w:r w:rsidRPr="000711E7">
        <w:rPr>
          <w:b/>
        </w:rPr>
        <w:t>atzīst</w:t>
      </w:r>
      <w:r w:rsidRPr="000711E7">
        <w:t>,</w:t>
      </w:r>
      <w:r w:rsidR="007D427F" w:rsidRPr="000711E7">
        <w:t xml:space="preserve"> </w:t>
      </w:r>
      <w:r w:rsidRPr="000711E7">
        <w:t>ka valsts un tiesu sistēmas jēgpilnai attīstībai ir nepieciešams kvalitatīvs dialogs starp valsts varas atzariem ne tikai atlīdzības sistēmas pilnveides jautājumos, tādēļ izsaka apņemšanos to nodrošināt no savas puses un aicina izpildu varu, likumdevēja varu uz pilnvērtīgu sadarbību, kas balstīta cieņpilnā dialogā un vērsta uz konstruktīvu, valstisku risinājumu rašanu</w:t>
      </w:r>
      <w:r w:rsidR="00A14AF3" w:rsidRPr="000711E7">
        <w:t>,</w:t>
      </w:r>
    </w:p>
    <w:p w14:paraId="2E46C451" w14:textId="3A65B075" w:rsidR="002F0CC3" w:rsidRDefault="002F0CC3" w:rsidP="000711E7">
      <w:pPr>
        <w:spacing w:before="240" w:after="0" w:line="276" w:lineRule="auto"/>
        <w:jc w:val="both"/>
      </w:pPr>
      <w:r w:rsidRPr="000711E7">
        <w:rPr>
          <w:i/>
        </w:rPr>
        <w:t>uzdod</w:t>
      </w:r>
      <w:r w:rsidR="00C73919" w:rsidRPr="000711E7">
        <w:t xml:space="preserve"> </w:t>
      </w:r>
      <w:r w:rsidRPr="000711E7">
        <w:t xml:space="preserve">Tiesu administrācijai nosūtīt šo rezolūciju </w:t>
      </w:r>
      <w:r w:rsidR="00921EC0" w:rsidRPr="000711E7">
        <w:t xml:space="preserve">Valsts </w:t>
      </w:r>
      <w:r w:rsidR="00094EA1" w:rsidRPr="000711E7">
        <w:t>p</w:t>
      </w:r>
      <w:r w:rsidRPr="000711E7">
        <w:t xml:space="preserve">rezidentam, </w:t>
      </w:r>
      <w:r w:rsidR="0066016E" w:rsidRPr="000711E7">
        <w:t xml:space="preserve">Saeimai un </w:t>
      </w:r>
      <w:r w:rsidRPr="000711E7">
        <w:t>Ministru kabinetam.</w:t>
      </w:r>
    </w:p>
    <w:p w14:paraId="5B72734B" w14:textId="278EE133" w:rsidR="00C55962" w:rsidRPr="000711E7" w:rsidRDefault="00C55962" w:rsidP="00C55962">
      <w:pPr>
        <w:spacing w:before="240" w:after="0" w:line="276" w:lineRule="auto"/>
        <w:ind w:left="5040" w:firstLine="720"/>
        <w:jc w:val="both"/>
      </w:pPr>
      <w:r>
        <w:t>Konferences vadītāja I. Freimane</w:t>
      </w:r>
    </w:p>
    <w:sectPr w:rsidR="00C55962" w:rsidRPr="000711E7" w:rsidSect="00C5596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046AE" w14:textId="77777777" w:rsidR="007643B0" w:rsidRDefault="007643B0" w:rsidP="00EE2143">
      <w:pPr>
        <w:spacing w:after="0" w:line="240" w:lineRule="auto"/>
      </w:pPr>
      <w:r>
        <w:separator/>
      </w:r>
    </w:p>
  </w:endnote>
  <w:endnote w:type="continuationSeparator" w:id="0">
    <w:p w14:paraId="33147937" w14:textId="77777777" w:rsidR="007643B0" w:rsidRDefault="007643B0" w:rsidP="00EE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28F" w14:textId="77777777" w:rsidR="003330A6" w:rsidRDefault="00333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72A3F" w14:textId="173FC892" w:rsidR="000711E7" w:rsidRPr="003330A6" w:rsidRDefault="000711E7" w:rsidP="00333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ECA9E" w14:textId="77777777" w:rsidR="003330A6" w:rsidRDefault="00333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8A69B" w14:textId="77777777" w:rsidR="007643B0" w:rsidRDefault="007643B0" w:rsidP="00EE2143">
      <w:pPr>
        <w:spacing w:after="0" w:line="240" w:lineRule="auto"/>
      </w:pPr>
      <w:r>
        <w:separator/>
      </w:r>
    </w:p>
  </w:footnote>
  <w:footnote w:type="continuationSeparator" w:id="0">
    <w:p w14:paraId="78A3A14D" w14:textId="77777777" w:rsidR="007643B0" w:rsidRDefault="007643B0" w:rsidP="00EE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93506" w14:textId="77777777" w:rsidR="003330A6" w:rsidRDefault="00333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87104" w14:textId="77777777" w:rsidR="003330A6" w:rsidRDefault="00333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9DC52" w14:textId="068A779F" w:rsidR="00C55962" w:rsidRPr="003330A6" w:rsidRDefault="00C55962" w:rsidP="00333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1758E"/>
    <w:multiLevelType w:val="hybridMultilevel"/>
    <w:tmpl w:val="052CA8BA"/>
    <w:lvl w:ilvl="0" w:tplc="5C629A7E">
      <w:start w:val="1"/>
      <w:numFmt w:val="decimal"/>
      <w:lvlText w:val="%1)"/>
      <w:lvlJc w:val="left"/>
      <w:pPr>
        <w:ind w:left="1080" w:hanging="360"/>
      </w:pPr>
      <w:rPr>
        <w:rFonts w:ascii="Times New Roman" w:eastAsiaTheme="minorHAnsi" w:hAnsi="Times New Roman" w:cstheme="minorBidi"/>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A2B0C78"/>
    <w:multiLevelType w:val="hybridMultilevel"/>
    <w:tmpl w:val="E0BADD78"/>
    <w:lvl w:ilvl="0" w:tplc="27A0A27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F334AA"/>
    <w:multiLevelType w:val="hybridMultilevel"/>
    <w:tmpl w:val="5928E918"/>
    <w:lvl w:ilvl="0" w:tplc="5C629A7E">
      <w:start w:val="1"/>
      <w:numFmt w:val="decimal"/>
      <w:lvlText w:val="%1)"/>
      <w:lvlJc w:val="left"/>
      <w:pPr>
        <w:ind w:left="1140" w:hanging="360"/>
      </w:pPr>
      <w:rPr>
        <w:rFonts w:ascii="Times New Roman" w:eastAsiaTheme="minorHAnsi" w:hAnsi="Times New Roman" w:cstheme="minorBidi"/>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623A260D"/>
    <w:multiLevelType w:val="hybridMultilevel"/>
    <w:tmpl w:val="62F83CAA"/>
    <w:lvl w:ilvl="0" w:tplc="27A0A274">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F8"/>
    <w:rsid w:val="000014BA"/>
    <w:rsid w:val="00027CD1"/>
    <w:rsid w:val="000711E7"/>
    <w:rsid w:val="000817AE"/>
    <w:rsid w:val="0009351E"/>
    <w:rsid w:val="00094EA1"/>
    <w:rsid w:val="000F79DD"/>
    <w:rsid w:val="0014796D"/>
    <w:rsid w:val="001A1E2E"/>
    <w:rsid w:val="002F0CC3"/>
    <w:rsid w:val="003330A6"/>
    <w:rsid w:val="003C0BAF"/>
    <w:rsid w:val="004435F6"/>
    <w:rsid w:val="004674A2"/>
    <w:rsid w:val="0048112A"/>
    <w:rsid w:val="004D4E40"/>
    <w:rsid w:val="005E76F8"/>
    <w:rsid w:val="00624F82"/>
    <w:rsid w:val="00646734"/>
    <w:rsid w:val="00653583"/>
    <w:rsid w:val="0066016E"/>
    <w:rsid w:val="00686273"/>
    <w:rsid w:val="006B69EB"/>
    <w:rsid w:val="007048CB"/>
    <w:rsid w:val="007349E6"/>
    <w:rsid w:val="007548AD"/>
    <w:rsid w:val="007643B0"/>
    <w:rsid w:val="007B158F"/>
    <w:rsid w:val="007D427F"/>
    <w:rsid w:val="008148E4"/>
    <w:rsid w:val="008165FC"/>
    <w:rsid w:val="008A54E6"/>
    <w:rsid w:val="008C7E6D"/>
    <w:rsid w:val="00921EC0"/>
    <w:rsid w:val="0094694C"/>
    <w:rsid w:val="009E1799"/>
    <w:rsid w:val="00A14AF3"/>
    <w:rsid w:val="00AE2C91"/>
    <w:rsid w:val="00B60581"/>
    <w:rsid w:val="00C55962"/>
    <w:rsid w:val="00C73919"/>
    <w:rsid w:val="00CB118C"/>
    <w:rsid w:val="00D777E5"/>
    <w:rsid w:val="00E61561"/>
    <w:rsid w:val="00E76B7A"/>
    <w:rsid w:val="00E976C0"/>
    <w:rsid w:val="00EB6910"/>
    <w:rsid w:val="00EE2143"/>
    <w:rsid w:val="00EF6C41"/>
    <w:rsid w:val="00F10D38"/>
    <w:rsid w:val="00F25F97"/>
    <w:rsid w:val="00F84839"/>
    <w:rsid w:val="00FC53D0"/>
    <w:rsid w:val="69FBA9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020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6F8"/>
    <w:pPr>
      <w:ind w:left="720"/>
      <w:contextualSpacing/>
    </w:pPr>
  </w:style>
  <w:style w:type="paragraph" w:styleId="Header">
    <w:name w:val="header"/>
    <w:basedOn w:val="Normal"/>
    <w:link w:val="HeaderChar"/>
    <w:uiPriority w:val="99"/>
    <w:unhideWhenUsed/>
    <w:rsid w:val="00EE21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2143"/>
  </w:style>
  <w:style w:type="paragraph" w:styleId="Footer">
    <w:name w:val="footer"/>
    <w:basedOn w:val="Normal"/>
    <w:link w:val="FooterChar"/>
    <w:uiPriority w:val="99"/>
    <w:unhideWhenUsed/>
    <w:rsid w:val="00EE21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2143"/>
  </w:style>
  <w:style w:type="character" w:styleId="CommentReference">
    <w:name w:val="annotation reference"/>
    <w:basedOn w:val="DefaultParagraphFont"/>
    <w:uiPriority w:val="99"/>
    <w:semiHidden/>
    <w:unhideWhenUsed/>
    <w:rsid w:val="00921EC0"/>
    <w:rPr>
      <w:sz w:val="16"/>
      <w:szCs w:val="16"/>
    </w:rPr>
  </w:style>
  <w:style w:type="paragraph" w:styleId="CommentText">
    <w:name w:val="annotation text"/>
    <w:basedOn w:val="Normal"/>
    <w:link w:val="CommentTextChar"/>
    <w:uiPriority w:val="99"/>
    <w:semiHidden/>
    <w:unhideWhenUsed/>
    <w:rsid w:val="00921EC0"/>
    <w:pPr>
      <w:spacing w:line="240" w:lineRule="auto"/>
    </w:pPr>
    <w:rPr>
      <w:sz w:val="20"/>
      <w:szCs w:val="20"/>
    </w:rPr>
  </w:style>
  <w:style w:type="character" w:customStyle="1" w:styleId="CommentTextChar">
    <w:name w:val="Comment Text Char"/>
    <w:basedOn w:val="DefaultParagraphFont"/>
    <w:link w:val="CommentText"/>
    <w:uiPriority w:val="99"/>
    <w:semiHidden/>
    <w:rsid w:val="00921EC0"/>
    <w:rPr>
      <w:sz w:val="20"/>
      <w:szCs w:val="20"/>
    </w:rPr>
  </w:style>
  <w:style w:type="paragraph" w:styleId="CommentSubject">
    <w:name w:val="annotation subject"/>
    <w:basedOn w:val="CommentText"/>
    <w:next w:val="CommentText"/>
    <w:link w:val="CommentSubjectChar"/>
    <w:uiPriority w:val="99"/>
    <w:semiHidden/>
    <w:unhideWhenUsed/>
    <w:rsid w:val="00921EC0"/>
    <w:rPr>
      <w:b/>
      <w:bCs/>
    </w:rPr>
  </w:style>
  <w:style w:type="character" w:customStyle="1" w:styleId="CommentSubjectChar">
    <w:name w:val="Comment Subject Char"/>
    <w:basedOn w:val="CommentTextChar"/>
    <w:link w:val="CommentSubject"/>
    <w:uiPriority w:val="99"/>
    <w:semiHidden/>
    <w:rsid w:val="00921EC0"/>
    <w:rPr>
      <w:b/>
      <w:bCs/>
      <w:sz w:val="20"/>
      <w:szCs w:val="20"/>
    </w:rPr>
  </w:style>
  <w:style w:type="paragraph" w:styleId="BalloonText">
    <w:name w:val="Balloon Text"/>
    <w:basedOn w:val="Normal"/>
    <w:link w:val="BalloonTextChar"/>
    <w:uiPriority w:val="99"/>
    <w:semiHidden/>
    <w:unhideWhenUsed/>
    <w:rsid w:val="00921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15804">
      <w:bodyDiv w:val="1"/>
      <w:marLeft w:val="0"/>
      <w:marRight w:val="0"/>
      <w:marTop w:val="0"/>
      <w:marBottom w:val="0"/>
      <w:divBdr>
        <w:top w:val="none" w:sz="0" w:space="0" w:color="auto"/>
        <w:left w:val="none" w:sz="0" w:space="0" w:color="auto"/>
        <w:bottom w:val="none" w:sz="0" w:space="0" w:color="auto"/>
        <w:right w:val="none" w:sz="0" w:space="0" w:color="auto"/>
      </w:divBdr>
    </w:div>
    <w:div w:id="908806266">
      <w:bodyDiv w:val="1"/>
      <w:marLeft w:val="0"/>
      <w:marRight w:val="0"/>
      <w:marTop w:val="0"/>
      <w:marBottom w:val="0"/>
      <w:divBdr>
        <w:top w:val="none" w:sz="0" w:space="0" w:color="auto"/>
        <w:left w:val="none" w:sz="0" w:space="0" w:color="auto"/>
        <w:bottom w:val="none" w:sz="0" w:space="0" w:color="auto"/>
        <w:right w:val="none" w:sz="0" w:space="0" w:color="auto"/>
      </w:divBdr>
    </w:div>
    <w:div w:id="176869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3500</Words>
  <Characters>1995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2019-11-04T11:26:00Z</dcterms:created>
  <dcterms:modified xsi:type="dcterms:W3CDTF">2019-11-04T11:26:00Z</dcterms:modified>
</cp:coreProperties>
</file>