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14ECB" w14:textId="77777777" w:rsidR="00933377" w:rsidRPr="00F62747" w:rsidRDefault="00933377" w:rsidP="00933377">
      <w:pPr>
        <w:spacing w:line="360" w:lineRule="auto"/>
        <w:jc w:val="center"/>
        <w:rPr>
          <w:b/>
        </w:rPr>
      </w:pPr>
      <w:r w:rsidRPr="00F62747">
        <w:rPr>
          <w:b/>
        </w:rPr>
        <w:t>Tiesnešu ētikas komisija</w:t>
      </w:r>
    </w:p>
    <w:p w14:paraId="0AF8B045" w14:textId="77777777" w:rsidR="00933377" w:rsidRDefault="00933377" w:rsidP="00933377">
      <w:pPr>
        <w:spacing w:line="360" w:lineRule="auto"/>
        <w:jc w:val="center"/>
        <w:rPr>
          <w:b/>
          <w:spacing w:val="20"/>
          <w:sz w:val="32"/>
          <w:szCs w:val="32"/>
        </w:rPr>
      </w:pPr>
      <w:r w:rsidRPr="00F62747">
        <w:rPr>
          <w:b/>
          <w:spacing w:val="20"/>
          <w:sz w:val="32"/>
          <w:szCs w:val="32"/>
        </w:rPr>
        <w:t>SKAIDROJUMS</w:t>
      </w:r>
    </w:p>
    <w:p w14:paraId="64B89D78" w14:textId="1BFA6DD4" w:rsidR="00933377" w:rsidRDefault="00517C26" w:rsidP="008D0458">
      <w:pPr>
        <w:tabs>
          <w:tab w:val="right" w:pos="9071"/>
        </w:tabs>
        <w:spacing w:line="360" w:lineRule="auto"/>
      </w:pPr>
      <w:r>
        <w:t>Rīgā</w:t>
      </w:r>
      <w:r>
        <w:tab/>
        <w:t xml:space="preserve">2018.gada </w:t>
      </w:r>
      <w:r w:rsidR="000E6DE5">
        <w:t>27.</w:t>
      </w:r>
      <w:r w:rsidR="00933377">
        <w:t xml:space="preserve">aprīlī </w:t>
      </w:r>
    </w:p>
    <w:p w14:paraId="197DED7F" w14:textId="77777777" w:rsidR="00933377" w:rsidRDefault="00933377" w:rsidP="00933377">
      <w:pPr>
        <w:spacing w:line="360" w:lineRule="auto"/>
      </w:pPr>
    </w:p>
    <w:p w14:paraId="0F0CEB78" w14:textId="13A6C04D" w:rsidR="00933377" w:rsidRPr="001121DE" w:rsidRDefault="00933377" w:rsidP="00402BBB">
      <w:pPr>
        <w:spacing w:line="360" w:lineRule="auto"/>
        <w:jc w:val="both"/>
      </w:pPr>
      <w:r>
        <w:tab/>
        <w:t>[1]</w:t>
      </w:r>
      <w:r w:rsidR="008D0458">
        <w:t> </w:t>
      </w:r>
      <w:r>
        <w:t>Tiesnešu ē</w:t>
      </w:r>
      <w:r w:rsidR="00402BBB">
        <w:t>tikas komisija saņēmusi divu tiesnešu</w:t>
      </w:r>
      <w:r>
        <w:t xml:space="preserve"> </w:t>
      </w:r>
      <w:r w:rsidR="00402BBB">
        <w:t xml:space="preserve">lūgumus </w:t>
      </w:r>
      <w:r>
        <w:t xml:space="preserve">izvērtēt tiesas priekšsēdētājas rīcības atbilstību </w:t>
      </w:r>
      <w:r w:rsidR="00402BBB">
        <w:t>tiesnešu ētikas normām</w:t>
      </w:r>
      <w:r>
        <w:t xml:space="preserve"> situācijā, kad tiesas priekšsēdētāja</w:t>
      </w:r>
      <w:r w:rsidR="00402BBB">
        <w:t>,</w:t>
      </w:r>
      <w:r w:rsidR="00402BBB" w:rsidRPr="00402BBB">
        <w:t xml:space="preserve"> </w:t>
      </w:r>
      <w:r w:rsidR="007C180E">
        <w:t>atsaucoties uz</w:t>
      </w:r>
      <w:r w:rsidR="00402BBB">
        <w:t xml:space="preserve"> tiesas darba kvalitātes nodrošināšan</w:t>
      </w:r>
      <w:r w:rsidR="008D0458">
        <w:t>u</w:t>
      </w:r>
      <w:r w:rsidR="00402BBB">
        <w:t xml:space="preserve"> un tiesnešu darba organizāciju,</w:t>
      </w:r>
      <w:r>
        <w:t xml:space="preserve"> </w:t>
      </w:r>
      <w:r w:rsidR="00402BBB">
        <w:t>nav saskaņojusi</w:t>
      </w:r>
      <w:r>
        <w:t xml:space="preserve"> </w:t>
      </w:r>
      <w:r w:rsidR="00402BBB">
        <w:t>tiesnešu dalību</w:t>
      </w:r>
      <w:r w:rsidRPr="00072D7E">
        <w:t xml:space="preserve"> </w:t>
      </w:r>
      <w:r w:rsidR="00402BBB">
        <w:t>jau uzsāktajā</w:t>
      </w:r>
      <w:r>
        <w:t>s mācībās Latvijas Tiesnešu mācību centrā, lai gan piedalīšanās m</w:t>
      </w:r>
      <w:r w:rsidR="0009385D">
        <w:t>ācībās bijusi saskaņota ar tiesas</w:t>
      </w:r>
      <w:r>
        <w:t xml:space="preserve"> kolēģijas priekšsēdētāju.</w:t>
      </w:r>
      <w:r w:rsidR="00402BBB">
        <w:t xml:space="preserve"> Tāpat v</w:t>
      </w:r>
      <w:r w:rsidRPr="001121DE">
        <w:t>iens no tiesnešiem lūdzis sniegt skaidrojumu, vai tiesas priekšsēdētāja kompetencē ietilpst tiesneša prasmju un zināšanu vērtēšana caur profesionālās ētikas prizmu, lai atļautu vai liegtu viņam piedalīties apmācībās, kas nepārprotami saistītas ar tiesneša karjeru un darba pienākumiem.</w:t>
      </w:r>
    </w:p>
    <w:p w14:paraId="7DB21542" w14:textId="77777777" w:rsidR="00933377" w:rsidRDefault="00933377" w:rsidP="00933377">
      <w:pPr>
        <w:spacing w:line="360" w:lineRule="auto"/>
        <w:jc w:val="both"/>
      </w:pPr>
      <w:r w:rsidRPr="001121DE">
        <w:tab/>
      </w:r>
    </w:p>
    <w:p w14:paraId="33E68DCC" w14:textId="5436C257" w:rsidR="00933377" w:rsidRDefault="001121DE" w:rsidP="0023233E">
      <w:pPr>
        <w:spacing w:line="360" w:lineRule="auto"/>
        <w:ind w:firstLine="720"/>
        <w:jc w:val="both"/>
      </w:pPr>
      <w:r>
        <w:t>[2</w:t>
      </w:r>
      <w:r w:rsidR="00933377">
        <w:t>]</w:t>
      </w:r>
      <w:r w:rsidR="008D0458">
        <w:t> </w:t>
      </w:r>
      <w:r w:rsidR="00933377">
        <w:t>Tiesas priekšsēdētāja</w:t>
      </w:r>
      <w:r w:rsidR="0009385D">
        <w:t>,</w:t>
      </w:r>
      <w:r w:rsidR="00933377">
        <w:t xml:space="preserve"> atsau</w:t>
      </w:r>
      <w:r w:rsidR="0009385D">
        <w:t>coties uz likuma „</w:t>
      </w:r>
      <w:r w:rsidR="00933377">
        <w:t>Par tiesu varu” 33.panta trešās daļas 4.,</w:t>
      </w:r>
      <w:r w:rsidR="00CD636E">
        <w:t xml:space="preserve"> </w:t>
      </w:r>
      <w:r w:rsidR="00933377">
        <w:t>4.</w:t>
      </w:r>
      <w:r w:rsidR="00933377" w:rsidRPr="008F1876">
        <w:rPr>
          <w:vertAlign w:val="superscript"/>
        </w:rPr>
        <w:t>1</w:t>
      </w:r>
      <w:r w:rsidR="00933377">
        <w:t xml:space="preserve"> un 5.punktu, </w:t>
      </w:r>
      <w:r w:rsidR="0009385D">
        <w:t xml:space="preserve">kā arī </w:t>
      </w:r>
      <w:r w:rsidR="00933377">
        <w:t>40.panta trešo daļu</w:t>
      </w:r>
      <w:r w:rsidR="00CD636E">
        <w:t>,</w:t>
      </w:r>
      <w:r w:rsidR="00933377">
        <w:t xml:space="preserve"> </w:t>
      </w:r>
      <w:r w:rsidR="007C180E">
        <w:t xml:space="preserve">Tiesnešu ētikas komisijai </w:t>
      </w:r>
      <w:r w:rsidR="00933377">
        <w:t xml:space="preserve">norādījusi, ka </w:t>
      </w:r>
      <w:r w:rsidR="0009385D">
        <w:t xml:space="preserve">saskaņojums dalībai mācībās nav dots </w:t>
      </w:r>
      <w:r w:rsidR="00933377">
        <w:t>darba organizācijas, pienākumu sadale</w:t>
      </w:r>
      <w:r w:rsidR="0009385D">
        <w:t>s</w:t>
      </w:r>
      <w:r w:rsidR="00933377">
        <w:t xml:space="preserve"> starp tiesnešiem un profe</w:t>
      </w:r>
      <w:r w:rsidR="0009385D">
        <w:t>sionālās ētikas jautājumu dēļ.</w:t>
      </w:r>
      <w:r w:rsidR="00BB3E4F">
        <w:t xml:space="preserve"> </w:t>
      </w:r>
      <w:r w:rsidR="0009385D">
        <w:t>T</w:t>
      </w:r>
      <w:r w:rsidR="00933377">
        <w:t xml:space="preserve">iesnesis apelācijas instances tiesas sastāvos kā nereferējošais </w:t>
      </w:r>
      <w:r w:rsidR="00CD636E">
        <w:t xml:space="preserve">tiesnesis </w:t>
      </w:r>
      <w:r w:rsidR="00933377">
        <w:t>piedalījies mazāka skaita lietu izskatīšanā</w:t>
      </w:r>
      <w:r w:rsidR="0023233E">
        <w:t xml:space="preserve">, </w:t>
      </w:r>
      <w:r w:rsidR="00933377">
        <w:t>n</w:t>
      </w:r>
      <w:r>
        <w:t>ekā citi tiesneši</w:t>
      </w:r>
      <w:r w:rsidR="00933377">
        <w:t xml:space="preserve">. </w:t>
      </w:r>
      <w:r>
        <w:t>T</w:t>
      </w:r>
      <w:r w:rsidR="00933377">
        <w:t xml:space="preserve">iesnesim nav bijusi liegta iespēja apmeklēt mācības 2017. un </w:t>
      </w:r>
      <w:r w:rsidR="00BB3E4F">
        <w:t>2018.gadā, s</w:t>
      </w:r>
      <w:r w:rsidR="00933377">
        <w:t xml:space="preserve">askaņojums dalībai </w:t>
      </w:r>
      <w:r w:rsidR="00BB3E4F">
        <w:t xml:space="preserve">šajās </w:t>
      </w:r>
      <w:r w:rsidR="00933377">
        <w:t>mācībās n</w:t>
      </w:r>
      <w:r w:rsidR="009741E2">
        <w:t>av</w:t>
      </w:r>
      <w:r w:rsidR="00933377">
        <w:t xml:space="preserve"> dots deontoloģijas jautājumu dēļ. Uzskata, ka tiesnešiem, kuri vēlas apmeklēt konkrētās mācības, jābūt ne tikai jurisprudencē zinošiem, bet arī ar augstiem morāles standartiem un pilnīgu izpratni par tiesu darbu un darba organizāciju. </w:t>
      </w:r>
    </w:p>
    <w:p w14:paraId="2EDA98A9" w14:textId="77777777" w:rsidR="00933377" w:rsidRDefault="00933377" w:rsidP="00933377">
      <w:pPr>
        <w:spacing w:line="360" w:lineRule="auto"/>
        <w:jc w:val="both"/>
      </w:pPr>
    </w:p>
    <w:p w14:paraId="131F6529" w14:textId="72146F0D" w:rsidR="005C316E" w:rsidRPr="005C316E" w:rsidRDefault="0009385D" w:rsidP="005C316E">
      <w:pPr>
        <w:spacing w:line="360" w:lineRule="auto"/>
        <w:ind w:firstLine="720"/>
        <w:jc w:val="both"/>
        <w:rPr>
          <w:rFonts w:eastAsia="Calibri"/>
          <w:color w:val="000000"/>
          <w:w w:val="104"/>
          <w:lang w:eastAsia="en-US"/>
        </w:rPr>
      </w:pPr>
      <w:r>
        <w:t>[3]</w:t>
      </w:r>
      <w:r w:rsidR="008D0458">
        <w:t> </w:t>
      </w:r>
      <w:r w:rsidR="005C316E" w:rsidRPr="005C316E">
        <w:rPr>
          <w:rFonts w:eastAsia="Calibri"/>
          <w:lang w:eastAsia="en-US"/>
        </w:rPr>
        <w:t xml:space="preserve">Ievērojot to, ka minētā situācija ir cieši saistīta ar jautājumu par </w:t>
      </w:r>
      <w:r w:rsidR="007D291C">
        <w:rPr>
          <w:rFonts w:eastAsia="Calibri"/>
          <w:lang w:eastAsia="en-US"/>
        </w:rPr>
        <w:t>tiesnešu dalību</w:t>
      </w:r>
      <w:r w:rsidR="005C316E">
        <w:rPr>
          <w:rFonts w:eastAsia="Calibri"/>
          <w:lang w:eastAsia="en-US"/>
        </w:rPr>
        <w:t xml:space="preserve"> speciāli </w:t>
      </w:r>
      <w:r w:rsidR="007C180E">
        <w:rPr>
          <w:rFonts w:eastAsia="Calibri"/>
          <w:lang w:eastAsia="en-US"/>
        </w:rPr>
        <w:t xml:space="preserve">tiesnešiem </w:t>
      </w:r>
      <w:r w:rsidR="005C316E">
        <w:rPr>
          <w:rFonts w:eastAsia="Calibri"/>
          <w:lang w:eastAsia="en-US"/>
        </w:rPr>
        <w:t>organizētaj</w:t>
      </w:r>
      <w:r w:rsidR="007D291C">
        <w:rPr>
          <w:rFonts w:eastAsia="Calibri"/>
          <w:lang w:eastAsia="en-US"/>
        </w:rPr>
        <w:t>ās mācībās</w:t>
      </w:r>
      <w:r w:rsidR="00465B72">
        <w:rPr>
          <w:rFonts w:eastAsia="Calibri"/>
          <w:lang w:eastAsia="en-US"/>
        </w:rPr>
        <w:t xml:space="preserve"> (piemēram, Latvijas Tiesnešu mācību centrs)</w:t>
      </w:r>
      <w:r w:rsidR="005C316E" w:rsidRPr="005C316E">
        <w:rPr>
          <w:rFonts w:eastAsia="Calibri"/>
          <w:lang w:eastAsia="en-US"/>
        </w:rPr>
        <w:t xml:space="preserve"> darba laikā</w:t>
      </w:r>
      <w:r w:rsidR="007D291C">
        <w:rPr>
          <w:rFonts w:eastAsia="Calibri"/>
          <w:lang w:eastAsia="en-US"/>
        </w:rPr>
        <w:t xml:space="preserve"> un</w:t>
      </w:r>
      <w:r w:rsidR="005C316E" w:rsidRPr="005C316E">
        <w:rPr>
          <w:rFonts w:eastAsia="Calibri"/>
          <w:lang w:eastAsia="en-US"/>
        </w:rPr>
        <w:t xml:space="preserve"> tiesas priekšsēdētāja kompetenci </w:t>
      </w:r>
      <w:r w:rsidR="005C316E">
        <w:rPr>
          <w:rFonts w:eastAsia="Calibri"/>
          <w:lang w:eastAsia="en-US"/>
        </w:rPr>
        <w:t xml:space="preserve">tiesas darba organizēšanā, </w:t>
      </w:r>
      <w:r w:rsidR="005C316E" w:rsidRPr="005C316E">
        <w:rPr>
          <w:rFonts w:eastAsia="Calibri"/>
          <w:lang w:eastAsia="en-US"/>
        </w:rPr>
        <w:t>Tiesnešu ētikas komisija sniedz skaidrojumu par šiem jautājumiem.</w:t>
      </w:r>
    </w:p>
    <w:p w14:paraId="3678A099" w14:textId="77777777" w:rsidR="005C316E" w:rsidRDefault="005C316E" w:rsidP="00933377">
      <w:pPr>
        <w:spacing w:line="360" w:lineRule="auto"/>
        <w:jc w:val="both"/>
      </w:pPr>
    </w:p>
    <w:p w14:paraId="4CB5EB18" w14:textId="21461E50" w:rsidR="00B77C02" w:rsidRDefault="00933377" w:rsidP="00933377">
      <w:pPr>
        <w:spacing w:line="360" w:lineRule="auto"/>
        <w:jc w:val="both"/>
        <w:rPr>
          <w:noProof/>
        </w:rPr>
      </w:pPr>
      <w:r w:rsidRPr="00F97FA5">
        <w:tab/>
      </w:r>
      <w:r w:rsidR="001121DE" w:rsidRPr="008D0458">
        <w:t>[</w:t>
      </w:r>
      <w:r w:rsidR="005C316E" w:rsidRPr="008D0458">
        <w:rPr>
          <w:noProof/>
        </w:rPr>
        <w:t>4</w:t>
      </w:r>
      <w:r w:rsidR="001121DE" w:rsidRPr="008D0458">
        <w:rPr>
          <w:noProof/>
        </w:rPr>
        <w:t>]</w:t>
      </w:r>
      <w:r w:rsidR="008D0458">
        <w:rPr>
          <w:noProof/>
        </w:rPr>
        <w:t> </w:t>
      </w:r>
      <w:r w:rsidR="005C316E">
        <w:rPr>
          <w:noProof/>
        </w:rPr>
        <w:t>Likuma „</w:t>
      </w:r>
      <w:r w:rsidRPr="00F97FA5">
        <w:rPr>
          <w:noProof/>
        </w:rPr>
        <w:t xml:space="preserve">Par tiesu varu” </w:t>
      </w:r>
      <w:r w:rsidR="00B31795">
        <w:rPr>
          <w:noProof/>
        </w:rPr>
        <w:t>89.panta piektā daļa</w:t>
      </w:r>
      <w:r>
        <w:rPr>
          <w:noProof/>
        </w:rPr>
        <w:t xml:space="preserve"> noteic, ka tiesnesim ir pienākums pastāvīgi papildināt savas zināšanas visas tiesneša karjeras laikā.</w:t>
      </w:r>
      <w:r w:rsidR="00B032E3">
        <w:rPr>
          <w:noProof/>
        </w:rPr>
        <w:t xml:space="preserve"> </w:t>
      </w:r>
      <w:r w:rsidR="00B31795">
        <w:rPr>
          <w:noProof/>
        </w:rPr>
        <w:t>Latvijas t</w:t>
      </w:r>
      <w:r>
        <w:rPr>
          <w:noProof/>
        </w:rPr>
        <w:t>iesnešu ētikas kodeksa 3.kanona 2.punkts paredz, ka tiesnesis pilnveido savu profesionalitāti.</w:t>
      </w:r>
      <w:r w:rsidR="00B31795">
        <w:rPr>
          <w:noProof/>
        </w:rPr>
        <w:t xml:space="preserve"> </w:t>
      </w:r>
    </w:p>
    <w:p w14:paraId="7A08C591" w14:textId="6B1CF12B" w:rsidR="001121DE" w:rsidRPr="00B77C02" w:rsidRDefault="00B77C02" w:rsidP="00B77C02">
      <w:pPr>
        <w:spacing w:line="360" w:lineRule="auto"/>
        <w:ind w:firstLine="709"/>
        <w:jc w:val="both"/>
        <w:rPr>
          <w:noProof/>
        </w:rPr>
      </w:pPr>
      <w:r>
        <w:rPr>
          <w:noProof/>
        </w:rPr>
        <w:t>Bangaloras Tiesnešu ētikas principu</w:t>
      </w:r>
      <w:r w:rsidR="00933377" w:rsidRPr="00B31795">
        <w:rPr>
          <w:noProof/>
          <w:color w:val="000000"/>
          <w:w w:val="104"/>
        </w:rPr>
        <w:t xml:space="preserve"> </w:t>
      </w:r>
      <w:r w:rsidR="00933377">
        <w:rPr>
          <w:noProof/>
        </w:rPr>
        <w:t xml:space="preserve">6.3.punkts noteic, ka tiesnesis veic visus iespējamos pasākumus, lai saglabātu un </w:t>
      </w:r>
      <w:r w:rsidR="007C180E">
        <w:rPr>
          <w:noProof/>
        </w:rPr>
        <w:t xml:space="preserve">uzlabotu </w:t>
      </w:r>
      <w:r w:rsidR="00933377">
        <w:rPr>
          <w:noProof/>
        </w:rPr>
        <w:t>savas zināšanas, prasmes un personīgās spējas, kas nepieciešamas tiesneša pienākumu pienācīgai veikšanai, šim nolūkam izmantojot apmācību un citas iespējas, kurām tiesas uzraudzībā jābūt tiesnešiem pieejamām.</w:t>
      </w:r>
      <w:r>
        <w:rPr>
          <w:noProof/>
        </w:rPr>
        <w:t xml:space="preserve"> Savukārt</w:t>
      </w:r>
      <w:r w:rsidRPr="00B77C02">
        <w:rPr>
          <w:noProof/>
        </w:rPr>
        <w:t xml:space="preserve"> </w:t>
      </w:r>
      <w:r>
        <w:rPr>
          <w:noProof/>
        </w:rPr>
        <w:lastRenderedPageBreak/>
        <w:t xml:space="preserve">Bangaloras Tiesnešu ētikas principu </w:t>
      </w:r>
      <w:r w:rsidR="00933377">
        <w:rPr>
          <w:noProof/>
        </w:rPr>
        <w:t>komentāru</w:t>
      </w:r>
      <w:r>
        <w:rPr>
          <w:noProof/>
        </w:rPr>
        <w:t xml:space="preserve"> 199. un 200.punktā</w:t>
      </w:r>
      <w:r w:rsidR="00933377">
        <w:rPr>
          <w:noProof/>
        </w:rPr>
        <w:t xml:space="preserve"> </w:t>
      </w:r>
      <w:r>
        <w:rPr>
          <w:noProof/>
        </w:rPr>
        <w:t xml:space="preserve">norādīts, ka </w:t>
      </w:r>
      <w:r w:rsidR="00933377">
        <w:rPr>
          <w:noProof/>
        </w:rPr>
        <w:t>tiesu neatkarība rada tiesnesim tiesības</w:t>
      </w:r>
      <w:r w:rsidR="007C180E">
        <w:rPr>
          <w:noProof/>
        </w:rPr>
        <w:t xml:space="preserve"> un</w:t>
      </w:r>
      <w:r w:rsidR="00933377">
        <w:rPr>
          <w:noProof/>
        </w:rPr>
        <w:t xml:space="preserve"> uzliek arī ētiskus pienākumus, tostarp pienākumu veikt tiesneša pienākumus profesionāli un rūpīgi. Tas nozīmē, ka tiesnesim ir jābūt ievērojamām profesionālajām prasmēm un šīs prasmes jāiegūst, jāuztur un regulāri jāuzlabo, izmantojot</w:t>
      </w:r>
      <w:r w:rsidR="00933377" w:rsidRPr="007F3D99">
        <w:rPr>
          <w:noProof/>
        </w:rPr>
        <w:t xml:space="preserve"> </w:t>
      </w:r>
      <w:r w:rsidR="00933377">
        <w:rPr>
          <w:noProof/>
        </w:rPr>
        <w:t>tālākizglītības iespējas, kuras tiesnesim ir gan tiesības, gan pienākums izmantot.</w:t>
      </w:r>
      <w:r>
        <w:rPr>
          <w:noProof/>
        </w:rPr>
        <w:t xml:space="preserve"> S</w:t>
      </w:r>
      <w:r w:rsidR="00933377">
        <w:rPr>
          <w:noProof/>
        </w:rPr>
        <w:t>abiedrības uzticēšanās tiesu sistēmai ti</w:t>
      </w:r>
      <w:r w:rsidR="008D0458">
        <w:rPr>
          <w:noProof/>
        </w:rPr>
        <w:t>e</w:t>
      </w:r>
      <w:r w:rsidR="00933377">
        <w:rPr>
          <w:noProof/>
        </w:rPr>
        <w:t>k stiprināta, ja tiesneša zināšanas ir tik plašas un dziļas, ka tās iziet ārpus tiesību zināšanām un aptver arī sociāli nozīmīgus jautājumus, un ja tiesnesim piemīt tādas personīgās prasmes un izpratne (gan tiesā, gan ārpus tiesas), kas ļauj viņam vadīt lietu izskatīšanu un pret visām iesaistītajām personām izturēties pienācīgi un iejūtīgi</w:t>
      </w:r>
      <w:r w:rsidR="007C180E">
        <w:rPr>
          <w:noProof/>
        </w:rPr>
        <w:t>. Līdz ar to</w:t>
      </w:r>
      <w:r w:rsidR="00933377">
        <w:rPr>
          <w:noProof/>
        </w:rPr>
        <w:t xml:space="preserve"> mācības ir būtiskas neatkarīgai, objektīvai un kompetentai tiesas spriešanai un aizsargā tie</w:t>
      </w:r>
      <w:r>
        <w:rPr>
          <w:noProof/>
        </w:rPr>
        <w:t xml:space="preserve">snesi no nepieļaujamām ietekmēm </w:t>
      </w:r>
      <w:r w:rsidRPr="00B77C02">
        <w:rPr>
          <w:i/>
          <w:noProof/>
        </w:rPr>
        <w:t xml:space="preserve">(sk. </w:t>
      </w:r>
      <w:hyperlink r:id="rId6" w:history="1">
        <w:r w:rsidRPr="00B77C02">
          <w:rPr>
            <w:rStyle w:val="Hipersaite"/>
            <w:i/>
            <w:noProof/>
            <w:color w:val="auto"/>
            <w:u w:val="none"/>
          </w:rPr>
          <w:t>http://www.coe.int/t/dghl/cooperation/ccje/textes/Bangalore PriciplesComment</w:t>
        </w:r>
      </w:hyperlink>
      <w:r w:rsidRPr="00B77C02">
        <w:rPr>
          <w:i/>
          <w:noProof/>
        </w:rPr>
        <w:t>)</w:t>
      </w:r>
      <w:r w:rsidRPr="00B77C02">
        <w:rPr>
          <w:noProof/>
        </w:rPr>
        <w:t>.</w:t>
      </w:r>
    </w:p>
    <w:p w14:paraId="3D904150" w14:textId="51201D7C" w:rsidR="00933377" w:rsidRPr="00B77C02" w:rsidRDefault="00933377" w:rsidP="00B77C02">
      <w:pPr>
        <w:spacing w:line="360" w:lineRule="auto"/>
        <w:jc w:val="both"/>
        <w:rPr>
          <w:noProof/>
        </w:rPr>
      </w:pPr>
      <w:r>
        <w:rPr>
          <w:noProof/>
        </w:rPr>
        <w:tab/>
      </w:r>
      <w:r w:rsidRPr="00B77C02">
        <w:rPr>
          <w:noProof/>
        </w:rPr>
        <w:t>Arī Eiropas Juridiskās tālākizglītības tīkla Ģenerālās asamblejas laikā 2016.gada 10.jūnijā mācību iestādes, kuras ir atbildīgas par tiesnešu un prokuroru sagatavošanu un tālākizglītošanu 28 Eiropas Savienības dalībvalstīs, vienbalsīgi apstiprinājušas deviņus pamatprincipus, kas attiecināmi uz tiesu sistēmas darbinieku tālākizglītošanu.</w:t>
      </w:r>
      <w:r w:rsidR="00B77C02" w:rsidRPr="00B77C02">
        <w:rPr>
          <w:noProof/>
        </w:rPr>
        <w:t xml:space="preserve"> </w:t>
      </w:r>
      <w:r w:rsidR="008D0458">
        <w:rPr>
          <w:noProof/>
        </w:rPr>
        <w:t>Ce</w:t>
      </w:r>
      <w:r w:rsidR="00B77C02" w:rsidRPr="00B77C02">
        <w:rPr>
          <w:noProof/>
        </w:rPr>
        <w:t>turtais princips noteic, ka v</w:t>
      </w:r>
      <w:r w:rsidRPr="00B77C02">
        <w:rPr>
          <w:noProof/>
        </w:rPr>
        <w:t>isiem tiesnešiem ir jābūt pietiekamam laikam apmeklēt mācības, ja vien tas izņēmuma kārtā neapdraud tiesas darba īstenošanu.</w:t>
      </w:r>
      <w:r w:rsidR="00B77C02" w:rsidRPr="00B77C02">
        <w:rPr>
          <w:noProof/>
        </w:rPr>
        <w:t xml:space="preserve"> Savukārt </w:t>
      </w:r>
      <w:r w:rsidRPr="00B77C02">
        <w:rPr>
          <w:noProof/>
        </w:rPr>
        <w:t>Eiropas Tiesnešu konsultatīvā padome 2010.gada 17.-19.novembra 11.plenārsēdē pieņēmusi Tiesnešu pamatprincipus (</w:t>
      </w:r>
      <w:r w:rsidRPr="00B77C02">
        <w:rPr>
          <w:i/>
          <w:noProof/>
        </w:rPr>
        <w:t>Magna Carta</w:t>
      </w:r>
      <w:r w:rsidRPr="00B77C02">
        <w:rPr>
          <w:noProof/>
        </w:rPr>
        <w:t>), kur apkopoti un kodificēti svarīgākie secinājumi, viens no kuriem paredz, ka piedalīties sākotnējā un turpmākā apmācībā ir gan tiesneša tiesības, gan pienākums. Apmācība ir jāorganizē tiesu varas pārraudzībā. Apmācība ir tiesnešu neatkarības garantija, kā arī būtisks tiesu sistēmas kvalitātes un efektivitātes elements.</w:t>
      </w:r>
    </w:p>
    <w:p w14:paraId="62267ACB" w14:textId="77777777" w:rsidR="00933377" w:rsidRDefault="00933377" w:rsidP="00933377">
      <w:pPr>
        <w:spacing w:line="360" w:lineRule="auto"/>
        <w:ind w:firstLine="720"/>
        <w:jc w:val="both"/>
      </w:pPr>
    </w:p>
    <w:p w14:paraId="7941AAB0" w14:textId="48DBD49C" w:rsidR="00933377" w:rsidRDefault="001121DE" w:rsidP="00933377">
      <w:pPr>
        <w:spacing w:line="360" w:lineRule="auto"/>
        <w:ind w:firstLine="720"/>
        <w:jc w:val="both"/>
        <w:rPr>
          <w:noProof/>
        </w:rPr>
      </w:pPr>
      <w:r>
        <w:rPr>
          <w:noProof/>
        </w:rPr>
        <w:t>[</w:t>
      </w:r>
      <w:r w:rsidR="008D0458">
        <w:rPr>
          <w:noProof/>
        </w:rPr>
        <w:t>5</w:t>
      </w:r>
      <w:r>
        <w:rPr>
          <w:noProof/>
        </w:rPr>
        <w:t>]</w:t>
      </w:r>
      <w:r w:rsidR="008D0458">
        <w:rPr>
          <w:noProof/>
        </w:rPr>
        <w:t> </w:t>
      </w:r>
      <w:r w:rsidR="0034101F">
        <w:rPr>
          <w:noProof/>
        </w:rPr>
        <w:t>Tātad tiesneša</w:t>
      </w:r>
      <w:r w:rsidR="00933377">
        <w:rPr>
          <w:noProof/>
        </w:rPr>
        <w:t xml:space="preserve"> tālākizglītībai </w:t>
      </w:r>
      <w:r w:rsidR="0034101F">
        <w:rPr>
          <w:noProof/>
        </w:rPr>
        <w:t xml:space="preserve">ir </w:t>
      </w:r>
      <w:r w:rsidR="00933377">
        <w:rPr>
          <w:noProof/>
        </w:rPr>
        <w:t>piešķirama ļoti liela vērība, jo tai ir būtiska nozīme</w:t>
      </w:r>
      <w:r w:rsidR="00933377" w:rsidRPr="00A22547">
        <w:rPr>
          <w:noProof/>
        </w:rPr>
        <w:t xml:space="preserve"> </w:t>
      </w:r>
      <w:r w:rsidR="00933377">
        <w:rPr>
          <w:noProof/>
        </w:rPr>
        <w:t>tiesas neatkarības, objektivitāt</w:t>
      </w:r>
      <w:r w:rsidR="0034101F">
        <w:rPr>
          <w:noProof/>
        </w:rPr>
        <w:t xml:space="preserve">es un kompetences nodrošināšanā, kā arī </w:t>
      </w:r>
      <w:r w:rsidR="00933377">
        <w:rPr>
          <w:noProof/>
        </w:rPr>
        <w:t xml:space="preserve">tiesneša </w:t>
      </w:r>
      <w:r w:rsidR="0034101F">
        <w:rPr>
          <w:noProof/>
        </w:rPr>
        <w:t>pa</w:t>
      </w:r>
      <w:r w:rsidR="00933377">
        <w:rPr>
          <w:noProof/>
        </w:rPr>
        <w:t>sargāšan</w:t>
      </w:r>
      <w:r w:rsidR="0034101F">
        <w:rPr>
          <w:noProof/>
        </w:rPr>
        <w:t>ā</w:t>
      </w:r>
      <w:r w:rsidR="00933377">
        <w:rPr>
          <w:noProof/>
        </w:rPr>
        <w:t xml:space="preserve"> no nepieļaujamām ietekmēm.</w:t>
      </w:r>
      <w:r w:rsidR="0034101F">
        <w:rPr>
          <w:noProof/>
        </w:rPr>
        <w:t xml:space="preserve"> Tādēļ</w:t>
      </w:r>
      <w:r w:rsidR="0034101F" w:rsidRPr="0034101F">
        <w:rPr>
          <w:noProof/>
        </w:rPr>
        <w:t xml:space="preserve"> </w:t>
      </w:r>
      <w:r w:rsidR="0034101F" w:rsidRPr="00B77C02">
        <w:rPr>
          <w:noProof/>
        </w:rPr>
        <w:t xml:space="preserve">visiem tiesnešiem ir jābūt pietiekamam laikam apmeklēt </w:t>
      </w:r>
      <w:r w:rsidR="00367B7E">
        <w:rPr>
          <w:rFonts w:eastAsia="Calibri"/>
          <w:noProof/>
          <w:lang w:eastAsia="en-US"/>
        </w:rPr>
        <w:t>tiesnešiem speciāli organizētās</w:t>
      </w:r>
      <w:r w:rsidR="00367B7E" w:rsidRPr="005C316E">
        <w:rPr>
          <w:rFonts w:eastAsia="Calibri"/>
          <w:noProof/>
          <w:lang w:eastAsia="en-US"/>
        </w:rPr>
        <w:t xml:space="preserve"> </w:t>
      </w:r>
      <w:r w:rsidR="0034101F" w:rsidRPr="00B77C02">
        <w:rPr>
          <w:noProof/>
        </w:rPr>
        <w:t>mācības, ja vien tas izņēmuma kārtā neapdraud tiesas darba īstenošanu.</w:t>
      </w:r>
    </w:p>
    <w:p w14:paraId="673E262F" w14:textId="2A2BD589" w:rsidR="00933377" w:rsidRDefault="0034101F" w:rsidP="00933377">
      <w:pPr>
        <w:spacing w:line="360" w:lineRule="auto"/>
        <w:ind w:firstLine="720"/>
        <w:jc w:val="both"/>
      </w:pPr>
      <w:r>
        <w:rPr>
          <w:noProof/>
        </w:rPr>
        <w:t>Zināšanas tiesnesim ir jāpapildina pastāvīgi visas savas karjeras laikā</w:t>
      </w:r>
      <w:r w:rsidR="007C180E">
        <w:rPr>
          <w:noProof/>
        </w:rPr>
        <w:t>.</w:t>
      </w:r>
      <w:r>
        <w:rPr>
          <w:noProof/>
        </w:rPr>
        <w:t xml:space="preserve"> </w:t>
      </w:r>
      <w:r w:rsidR="007C180E">
        <w:rPr>
          <w:noProof/>
        </w:rPr>
        <w:t>Tā kā piedalīties apmācībās ir tiesneša pienākums un tiesnesi</w:t>
      </w:r>
      <w:r w:rsidR="008D0458">
        <w:rPr>
          <w:noProof/>
        </w:rPr>
        <w:t>s</w:t>
      </w:r>
      <w:r w:rsidR="007C180E">
        <w:rPr>
          <w:noProof/>
        </w:rPr>
        <w:t xml:space="preserve"> pats visupirms ir atbildīgs par to, lai papildinātu savas zināšanas un prasmes nepieciešamajās jomās, tad</w:t>
      </w:r>
      <w:r>
        <w:rPr>
          <w:noProof/>
        </w:rPr>
        <w:t xml:space="preserve"> </w:t>
      </w:r>
      <w:r w:rsidR="00933377">
        <w:rPr>
          <w:noProof/>
        </w:rPr>
        <w:t xml:space="preserve">viņš pats </w:t>
      </w:r>
      <w:r w:rsidR="007C180E">
        <w:rPr>
          <w:noProof/>
        </w:rPr>
        <w:t xml:space="preserve">arī </w:t>
      </w:r>
      <w:r w:rsidR="00933377">
        <w:rPr>
          <w:noProof/>
        </w:rPr>
        <w:t>ir tiesīgs izvēlēties, kuras no</w:t>
      </w:r>
      <w:r w:rsidR="00367B7E" w:rsidRPr="00367B7E">
        <w:rPr>
          <w:rFonts w:eastAsia="Calibri"/>
          <w:noProof/>
          <w:lang w:eastAsia="en-US"/>
        </w:rPr>
        <w:t xml:space="preserve"> </w:t>
      </w:r>
      <w:r w:rsidR="00367B7E">
        <w:rPr>
          <w:rFonts w:eastAsia="Calibri"/>
          <w:noProof/>
          <w:lang w:eastAsia="en-US"/>
        </w:rPr>
        <w:t>tiesnešiem speciāli organizētajām</w:t>
      </w:r>
      <w:r w:rsidR="00367B7E" w:rsidRPr="005C316E">
        <w:rPr>
          <w:rFonts w:eastAsia="Calibri"/>
          <w:noProof/>
          <w:lang w:eastAsia="en-US"/>
        </w:rPr>
        <w:t xml:space="preserve"> mācībām</w:t>
      </w:r>
      <w:r w:rsidR="00367B7E">
        <w:rPr>
          <w:rFonts w:eastAsia="Calibri"/>
          <w:noProof/>
          <w:lang w:eastAsia="en-US"/>
        </w:rPr>
        <w:t xml:space="preserve"> apmeklēs. Vienlaikus tiesnesim ir jārūpējas par to, lai </w:t>
      </w:r>
      <w:r w:rsidR="00933377">
        <w:rPr>
          <w:noProof/>
        </w:rPr>
        <w:t>tālākizglītošanās nekādā veidā neapdraudētu tiesas darba īstenošanu un tiesneša pienākumu</w:t>
      </w:r>
      <w:r w:rsidR="00367B7E">
        <w:rPr>
          <w:noProof/>
        </w:rPr>
        <w:t xml:space="preserve"> </w:t>
      </w:r>
      <w:r w:rsidR="00933377">
        <w:rPr>
          <w:noProof/>
        </w:rPr>
        <w:t xml:space="preserve">pildīšanu ar pienācīgu rūpību, jo </w:t>
      </w:r>
      <w:r w:rsidR="00933377" w:rsidRPr="00CE689C">
        <w:rPr>
          <w:noProof/>
          <w:color w:val="000000"/>
          <w:w w:val="104"/>
        </w:rPr>
        <w:t>atbilstoši Latvijas tiesnešu ētikas kodeksa 3.kanona 1.punktam tiesneš</w:t>
      </w:r>
      <w:r w:rsidR="00933377">
        <w:rPr>
          <w:noProof/>
          <w:color w:val="000000"/>
          <w:w w:val="104"/>
        </w:rPr>
        <w:t>a</w:t>
      </w:r>
      <w:r w:rsidR="00933377" w:rsidRPr="00CE689C">
        <w:rPr>
          <w:noProof/>
          <w:color w:val="000000"/>
          <w:w w:val="104"/>
        </w:rPr>
        <w:t xml:space="preserve"> tiešo pienākumu pildīšana ir primāra salīdzinājumā ar pārējām </w:t>
      </w:r>
      <w:r w:rsidR="00933377" w:rsidRPr="00CE689C">
        <w:rPr>
          <w:noProof/>
          <w:color w:val="000000"/>
          <w:w w:val="104"/>
        </w:rPr>
        <w:lastRenderedPageBreak/>
        <w:t xml:space="preserve">tiesneša veiktajām darbībām. </w:t>
      </w:r>
      <w:r w:rsidR="00367B7E">
        <w:rPr>
          <w:noProof/>
          <w:color w:val="000000"/>
          <w:w w:val="104"/>
        </w:rPr>
        <w:t xml:space="preserve">Tādēļ Tiesnešu ētikas komisija </w:t>
      </w:r>
      <w:r w:rsidR="00933377">
        <w:t xml:space="preserve">jau </w:t>
      </w:r>
      <w:r w:rsidR="00367B7E">
        <w:t>iepriekš</w:t>
      </w:r>
      <w:r w:rsidR="00933377">
        <w:t xml:space="preserve"> ir atzinusi, ka tiesnesim ir tiesības apmeklēt mācības pie nosacījuma, ka tiek nodrošināta profesionālo pienākumu efektīva izpilde, tiesneša mācības neatstāj negatīvu ietekmi u</w:t>
      </w:r>
      <w:r w:rsidR="00887EF8">
        <w:t>z</w:t>
      </w:r>
      <w:r w:rsidR="00933377">
        <w:t xml:space="preserve"> priekšsēdētāja, citu viņa kolēģu un tiesas darbinieku funkciju pienācīgu izpildi, un mācību process ir vērsts uz zināšanu pilnveidošanu, prasmju un personīgo spēju nostiprināšanu, kas sekmētu tiesneša pienākumu pienācīgu veikšanu (sk. </w:t>
      </w:r>
      <w:r w:rsidR="00933377" w:rsidRPr="00CF5F45">
        <w:rPr>
          <w:i/>
        </w:rPr>
        <w:t xml:space="preserve">Tiesnešu </w:t>
      </w:r>
      <w:r w:rsidR="008D0458">
        <w:rPr>
          <w:i/>
        </w:rPr>
        <w:t>ē</w:t>
      </w:r>
      <w:r w:rsidR="00933377" w:rsidRPr="00CF5F45">
        <w:rPr>
          <w:i/>
        </w:rPr>
        <w:t>tikas komisijas 2018.gada 1</w:t>
      </w:r>
      <w:r w:rsidR="008D0458">
        <w:rPr>
          <w:i/>
        </w:rPr>
        <w:t>6</w:t>
      </w:r>
      <w:r w:rsidR="00933377" w:rsidRPr="00CF5F45">
        <w:rPr>
          <w:i/>
        </w:rPr>
        <w:t>.marta skaidrojumu</w:t>
      </w:r>
      <w:r w:rsidR="00933377">
        <w:t>).</w:t>
      </w:r>
    </w:p>
    <w:p w14:paraId="564BC9D7" w14:textId="77777777" w:rsidR="00933377" w:rsidRPr="00CE689C" w:rsidRDefault="00933377" w:rsidP="00933377">
      <w:pPr>
        <w:spacing w:line="360" w:lineRule="auto"/>
        <w:ind w:firstLine="720"/>
        <w:jc w:val="both"/>
        <w:rPr>
          <w:color w:val="000000"/>
          <w:w w:val="104"/>
          <w:u w:val="single"/>
        </w:rPr>
      </w:pPr>
    </w:p>
    <w:p w14:paraId="348B251B" w14:textId="0F4EFDDA" w:rsidR="00933377" w:rsidRDefault="00933377" w:rsidP="00DB3AFE">
      <w:pPr>
        <w:spacing w:line="360" w:lineRule="auto"/>
        <w:ind w:firstLine="720"/>
        <w:jc w:val="both"/>
      </w:pPr>
      <w:r>
        <w:rPr>
          <w:color w:val="000000"/>
          <w:w w:val="104"/>
        </w:rPr>
        <w:t>[</w:t>
      </w:r>
      <w:r w:rsidR="008D0458">
        <w:rPr>
          <w:color w:val="000000"/>
          <w:w w:val="104"/>
        </w:rPr>
        <w:t>6</w:t>
      </w:r>
      <w:r>
        <w:rPr>
          <w:color w:val="000000"/>
          <w:w w:val="104"/>
        </w:rPr>
        <w:t>]</w:t>
      </w:r>
      <w:r w:rsidR="008D0458">
        <w:rPr>
          <w:color w:val="000000"/>
          <w:w w:val="104"/>
        </w:rPr>
        <w:t> </w:t>
      </w:r>
      <w:r w:rsidR="00DB3AFE">
        <w:rPr>
          <w:color w:val="000000"/>
          <w:w w:val="104"/>
        </w:rPr>
        <w:t>Saskaņā ar likuma „Par tiesu varu” 33. un 40.pantu tiesas</w:t>
      </w:r>
      <w:r w:rsidR="00DB3AFE" w:rsidRPr="00DB3AFE">
        <w:rPr>
          <w:color w:val="000000"/>
          <w:w w:val="104"/>
        </w:rPr>
        <w:t xml:space="preserve"> iestādes darbu līdztekus tiesneša pienākumu pildīšanai vada tiesas priekšsēdētājs.</w:t>
      </w:r>
      <w:r w:rsidR="00DB3AFE">
        <w:rPr>
          <w:color w:val="000000"/>
          <w:w w:val="104"/>
        </w:rPr>
        <w:t xml:space="preserve"> Ti</w:t>
      </w:r>
      <w:r w:rsidRPr="007A7864">
        <w:t xml:space="preserve">esas priekšsēdētājs nosaka tiesnešu pienākumus, kas saistīti ar tiesas iestādes efektīvu funkcionēšanu, atbild par lietu un citu pienākumu sadali starp tiesnešiem un organizē tiesas darbu. </w:t>
      </w:r>
      <w:r w:rsidR="00DB3AFE">
        <w:t>T</w:t>
      </w:r>
      <w:r w:rsidRPr="007A7864">
        <w:t xml:space="preserve">iesas priekšsēdētājs var pieprasīt tiesnesim paskaidrojumu par tiesneša darba organizācijas un citiem jautājumiem </w:t>
      </w:r>
      <w:r w:rsidR="00DB3AFE">
        <w:t>tiesas priekšsēdētājam</w:t>
      </w:r>
      <w:r w:rsidRPr="007A7864">
        <w:t xml:space="preserve"> noteiktās kompetences ietvaros, kā arī dot tiesnesim rīkojumus, kas saistīti ar tiesneša darba organizāciju amata pienākumu izpildei.</w:t>
      </w:r>
    </w:p>
    <w:p w14:paraId="591B5B24" w14:textId="18EFCBEB" w:rsidR="00933377" w:rsidRDefault="00933377" w:rsidP="00933377">
      <w:pPr>
        <w:spacing w:line="360" w:lineRule="auto"/>
        <w:ind w:firstLine="720"/>
        <w:jc w:val="both"/>
        <w:rPr>
          <w:color w:val="000000"/>
          <w:w w:val="104"/>
        </w:rPr>
      </w:pPr>
      <w:r>
        <w:t xml:space="preserve">Eiropas Padomes Eiropas tiesnešu konsultatīvās padomes </w:t>
      </w:r>
      <w:r w:rsidR="00DB3AFE">
        <w:t>2016.gada novembra plenārsēdē</w:t>
      </w:r>
      <w:r>
        <w:t xml:space="preserve"> pieņemts </w:t>
      </w:r>
      <w:r w:rsidR="00DB3AFE">
        <w:t>viedoklis Nr.19 „</w:t>
      </w:r>
      <w:r>
        <w:t xml:space="preserve">Par tiesas priekšsēdētāja lomu” </w:t>
      </w:r>
      <w:r w:rsidRPr="00DB3AFE">
        <w:rPr>
          <w:i/>
        </w:rPr>
        <w:t>(sk.</w:t>
      </w:r>
      <w:r>
        <w:t xml:space="preserve"> </w:t>
      </w:r>
      <w:r w:rsidRPr="009C32AC">
        <w:rPr>
          <w:i/>
        </w:rPr>
        <w:t>Latvijas Republikas Augstākās tiesas biļeten</w:t>
      </w:r>
      <w:r w:rsidR="008D0458">
        <w:rPr>
          <w:i/>
        </w:rPr>
        <w:t>u</w:t>
      </w:r>
      <w:r w:rsidRPr="009C32AC">
        <w:rPr>
          <w:i/>
        </w:rPr>
        <w:t xml:space="preserve"> Nr.14/2017, </w:t>
      </w:r>
      <w:r w:rsidRPr="00DB3AFE">
        <w:rPr>
          <w:i/>
        </w:rPr>
        <w:t>27.lpp.)</w:t>
      </w:r>
      <w:r>
        <w:t xml:space="preserve">, kura </w:t>
      </w:r>
      <w:r w:rsidR="00832E0A">
        <w:t xml:space="preserve">secinājumu un rekomendāciju </w:t>
      </w:r>
      <w:r>
        <w:t xml:space="preserve">1.punktā </w:t>
      </w:r>
      <w:r w:rsidR="00DB3AFE">
        <w:t>norādīts</w:t>
      </w:r>
      <w:r>
        <w:t xml:space="preserve">, ka </w:t>
      </w:r>
      <w:r>
        <w:rPr>
          <w:color w:val="000000"/>
          <w:w w:val="104"/>
        </w:rPr>
        <w:t>t</w:t>
      </w:r>
      <w:r w:rsidRPr="007D6660">
        <w:rPr>
          <w:color w:val="000000"/>
          <w:w w:val="104"/>
        </w:rPr>
        <w:t>iesas priekšsēdēt</w:t>
      </w:r>
      <w:r>
        <w:rPr>
          <w:color w:val="000000"/>
          <w:w w:val="104"/>
        </w:rPr>
        <w:t>āja loma iezīmēta trīs jomās, proti,</w:t>
      </w:r>
      <w:r w:rsidR="00DB3AFE">
        <w:rPr>
          <w:color w:val="000000"/>
          <w:w w:val="104"/>
        </w:rPr>
        <w:t xml:space="preserve"> tiesas un tiesnešu pārstāvēšanā</w:t>
      </w:r>
      <w:r>
        <w:rPr>
          <w:color w:val="000000"/>
          <w:w w:val="104"/>
        </w:rPr>
        <w:t>, tiesas efektīvas fun</w:t>
      </w:r>
      <w:r w:rsidR="00DB3AFE">
        <w:rPr>
          <w:color w:val="000000"/>
          <w:w w:val="104"/>
        </w:rPr>
        <w:t>kcionēšanas nodrošināšanā</w:t>
      </w:r>
      <w:r>
        <w:rPr>
          <w:color w:val="000000"/>
          <w:w w:val="104"/>
        </w:rPr>
        <w:t xml:space="preserve">, nodrošinot pakalpojumu sabiedrībai, </w:t>
      </w:r>
      <w:r w:rsidR="00DB3AFE">
        <w:rPr>
          <w:color w:val="000000"/>
          <w:w w:val="104"/>
        </w:rPr>
        <w:t>kā arī</w:t>
      </w:r>
      <w:r>
        <w:rPr>
          <w:color w:val="000000"/>
          <w:w w:val="104"/>
        </w:rPr>
        <w:t xml:space="preserve"> </w:t>
      </w:r>
      <w:r w:rsidR="00DB3AFE">
        <w:rPr>
          <w:color w:val="000000"/>
          <w:w w:val="104"/>
        </w:rPr>
        <w:t>jurisdikcijas funkciju pildīšanā</w:t>
      </w:r>
      <w:r>
        <w:rPr>
          <w:color w:val="000000"/>
          <w:w w:val="104"/>
        </w:rPr>
        <w:t>. Pildot savus pienākumus,</w:t>
      </w:r>
      <w:r w:rsidRPr="007D6660">
        <w:rPr>
          <w:color w:val="000000"/>
          <w:w w:val="104"/>
        </w:rPr>
        <w:t xml:space="preserve"> </w:t>
      </w:r>
      <w:r>
        <w:rPr>
          <w:color w:val="000000"/>
          <w:w w:val="104"/>
        </w:rPr>
        <w:t>tiesas priekšsēdētājs aizsargā tiesas un tiesnešu neatkarību un objektivitāti, un viņam jārīkojas kā šo vērtību un principu sargam.</w:t>
      </w:r>
      <w:r w:rsidR="00DB3AFE">
        <w:rPr>
          <w:color w:val="000000"/>
          <w:w w:val="104"/>
        </w:rPr>
        <w:t xml:space="preserve"> Savukārt viedokļa Nr.19 </w:t>
      </w:r>
      <w:r w:rsidR="00803340">
        <w:t xml:space="preserve">secinājumu un rekomendāciju </w:t>
      </w:r>
      <w:r>
        <w:rPr>
          <w:color w:val="000000"/>
          <w:w w:val="104"/>
        </w:rPr>
        <w:t xml:space="preserve">3. un 5.punktā </w:t>
      </w:r>
      <w:r w:rsidR="00DB3AFE">
        <w:rPr>
          <w:color w:val="000000"/>
          <w:w w:val="104"/>
        </w:rPr>
        <w:t>norādīts</w:t>
      </w:r>
      <w:r>
        <w:rPr>
          <w:color w:val="000000"/>
          <w:w w:val="104"/>
        </w:rPr>
        <w:t>, ka tiesas priekšsēdētājam kā tiesas neatkarības, objektivitātes un efektivitātes garantam ir jāievēro attiecīgās tiesas tiesnešu iekšējā neatkarība. Jebkuram vadības modelim jāveicina tiesas labāka vadīšana, un tā nedrīkst būt pašmērķis. Tiesas priekšsēdētājs nekādā gadījumā nedrīkst iesaistīties jebkādās darbībās vai aktivitātēs, kuras var graut tiesnešu neatkarību un objektivitāti.</w:t>
      </w:r>
      <w:r w:rsidR="00803340">
        <w:rPr>
          <w:color w:val="000000"/>
          <w:w w:val="104"/>
        </w:rPr>
        <w:t xml:space="preserve"> </w:t>
      </w:r>
      <w:r w:rsidR="00803340" w:rsidRPr="00803340">
        <w:rPr>
          <w:color w:val="000000"/>
          <w:w w:val="104"/>
        </w:rPr>
        <w:t>Turklāt priekšsēdētājiem ir nozīmīga loma pamudināt tiesnešus piedalīties nepieciešamajās apmācībās un radīt tam piemērotus apstākļus</w:t>
      </w:r>
      <w:r w:rsidR="00803340">
        <w:rPr>
          <w:color w:val="000000"/>
          <w:w w:val="104"/>
        </w:rPr>
        <w:t>.</w:t>
      </w:r>
    </w:p>
    <w:p w14:paraId="09846838" w14:textId="77777777" w:rsidR="00933377" w:rsidRPr="007D6660" w:rsidRDefault="00933377" w:rsidP="00933377">
      <w:pPr>
        <w:spacing w:line="360" w:lineRule="auto"/>
        <w:ind w:firstLine="720"/>
        <w:jc w:val="both"/>
        <w:rPr>
          <w:color w:val="000000"/>
          <w:w w:val="104"/>
        </w:rPr>
      </w:pPr>
    </w:p>
    <w:p w14:paraId="379EF4A7" w14:textId="367C1780" w:rsidR="00DB3AFE" w:rsidRDefault="001121DE" w:rsidP="00BB3E4F">
      <w:pPr>
        <w:spacing w:line="360" w:lineRule="auto"/>
        <w:ind w:firstLine="720"/>
        <w:jc w:val="both"/>
      </w:pPr>
      <w:r>
        <w:t>[</w:t>
      </w:r>
      <w:r w:rsidR="008D0458">
        <w:t>7</w:t>
      </w:r>
      <w:r>
        <w:t>]</w:t>
      </w:r>
      <w:r w:rsidR="008D0458">
        <w:t> </w:t>
      </w:r>
      <w:r w:rsidR="00F66468">
        <w:t>Tādējādi</w:t>
      </w:r>
      <w:r w:rsidR="003C6E4E">
        <w:t>,</w:t>
      </w:r>
      <w:r w:rsidR="00F66468">
        <w:t xml:space="preserve"> no vienas puses</w:t>
      </w:r>
      <w:r w:rsidR="003C6E4E">
        <w:t>,</w:t>
      </w:r>
      <w:r w:rsidR="00F66468">
        <w:t xml:space="preserve"> ir tiesas priekšsēdētāja pienākums nodrošināt </w:t>
      </w:r>
      <w:r w:rsidR="00F66468" w:rsidRPr="007A7864">
        <w:t>tiesas iestādes efektīvu funkcionēšanu</w:t>
      </w:r>
      <w:r w:rsidR="00F66468">
        <w:t xml:space="preserve"> un saistībā ar to arī tiesības dot tiesnesim</w:t>
      </w:r>
      <w:r w:rsidR="00F66468" w:rsidRPr="00F66468">
        <w:t xml:space="preserve"> </w:t>
      </w:r>
      <w:r w:rsidR="00F66468">
        <w:t xml:space="preserve">rīkojumus, </w:t>
      </w:r>
      <w:r w:rsidR="00F66468" w:rsidRPr="007A7864">
        <w:t>kas saistīti ar tiesneša darba organizāciju amata pienākumu izpildei</w:t>
      </w:r>
      <w:r w:rsidR="008D0458">
        <w:t>.</w:t>
      </w:r>
      <w:r w:rsidR="00F66468">
        <w:t xml:space="preserve"> </w:t>
      </w:r>
      <w:r w:rsidR="008D0458">
        <w:t>S</w:t>
      </w:r>
      <w:r w:rsidR="00F66468">
        <w:t>avukārt</w:t>
      </w:r>
      <w:r w:rsidR="008D0458">
        <w:t>,</w:t>
      </w:r>
      <w:r w:rsidR="00F66468">
        <w:t xml:space="preserve"> no otras puses</w:t>
      </w:r>
      <w:r w:rsidR="008D0458">
        <w:t>,</w:t>
      </w:r>
      <w:r w:rsidR="00F66468">
        <w:t xml:space="preserve"> ir tiesneša pienākums</w:t>
      </w:r>
      <w:r w:rsidR="00F66468" w:rsidRPr="00F66468">
        <w:rPr>
          <w:noProof/>
        </w:rPr>
        <w:t xml:space="preserve"> </w:t>
      </w:r>
      <w:r w:rsidR="00F66468">
        <w:rPr>
          <w:noProof/>
        </w:rPr>
        <w:t xml:space="preserve">pastāvīgi papildināt savas zināšanas visas </w:t>
      </w:r>
      <w:r w:rsidR="00A03F14">
        <w:rPr>
          <w:noProof/>
        </w:rPr>
        <w:t>savas</w:t>
      </w:r>
      <w:r w:rsidR="00F66468">
        <w:rPr>
          <w:noProof/>
        </w:rPr>
        <w:t xml:space="preserve"> karjeras laikā, kuru tiesas priekš</w:t>
      </w:r>
      <w:r w:rsidR="00A03F14">
        <w:rPr>
          <w:noProof/>
        </w:rPr>
        <w:t>sē</w:t>
      </w:r>
      <w:r w:rsidR="00F66468">
        <w:rPr>
          <w:noProof/>
        </w:rPr>
        <w:t>dētājs var ierobežot</w:t>
      </w:r>
      <w:r w:rsidR="00A03F14" w:rsidRPr="00A03F14">
        <w:rPr>
          <w:noProof/>
        </w:rPr>
        <w:t xml:space="preserve"> </w:t>
      </w:r>
      <w:r w:rsidR="00A03F14" w:rsidRPr="00B77C02">
        <w:rPr>
          <w:noProof/>
        </w:rPr>
        <w:t>izņēmuma kārtā</w:t>
      </w:r>
      <w:r w:rsidR="00A03F14">
        <w:rPr>
          <w:noProof/>
        </w:rPr>
        <w:t xml:space="preserve">, konstatējot </w:t>
      </w:r>
      <w:r w:rsidR="00A03F14" w:rsidRPr="00B77C02">
        <w:rPr>
          <w:noProof/>
        </w:rPr>
        <w:t>apdraud</w:t>
      </w:r>
      <w:r w:rsidR="00A03F14">
        <w:rPr>
          <w:noProof/>
        </w:rPr>
        <w:t xml:space="preserve">ējumu tiesas darba </w:t>
      </w:r>
      <w:r w:rsidR="00A03F14">
        <w:rPr>
          <w:noProof/>
        </w:rPr>
        <w:lastRenderedPageBreak/>
        <w:t xml:space="preserve">īstenošanai. Līdz ar to tiesneša dalībai </w:t>
      </w:r>
      <w:r w:rsidR="00A03F14">
        <w:rPr>
          <w:rFonts w:eastAsia="Calibri"/>
          <w:lang w:eastAsia="en-US"/>
        </w:rPr>
        <w:t>tiesnešiem speciāli organizētajās mācībās</w:t>
      </w:r>
      <w:r w:rsidR="00A03F14" w:rsidRPr="005C316E">
        <w:rPr>
          <w:rFonts w:eastAsia="Calibri"/>
          <w:lang w:eastAsia="en-US"/>
        </w:rPr>
        <w:t xml:space="preserve"> darba laikā</w:t>
      </w:r>
      <w:r w:rsidR="00A03F14">
        <w:rPr>
          <w:rFonts w:eastAsia="Calibri"/>
          <w:lang w:eastAsia="en-US"/>
        </w:rPr>
        <w:t xml:space="preserve"> nav nepieciešams tiesas priekšsēdētāja saskaņojums, kas pēc būtības ir atļaujas došana. Tomēr šādā gadījumā, lai tiesas priekšsēdētājs varētu </w:t>
      </w:r>
      <w:r w:rsidR="00A03F14">
        <w:t xml:space="preserve">nodrošināt </w:t>
      </w:r>
      <w:r w:rsidR="00A03F14" w:rsidRPr="007A7864">
        <w:t>tiesas iestādes efektīvu funkcionēšanu</w:t>
      </w:r>
      <w:r w:rsidR="00A03F14">
        <w:t>,</w:t>
      </w:r>
      <w:r w:rsidR="00A03F14">
        <w:rPr>
          <w:rFonts w:eastAsia="Calibri"/>
          <w:lang w:eastAsia="en-US"/>
        </w:rPr>
        <w:t xml:space="preserve"> tiesneša pienākums ir savlaicīgi informēt tiesas priekšsēdētāju par plānotajām mācībām, savukārt tiesas priekšsēdētājam ir tiesības</w:t>
      </w:r>
      <w:r w:rsidR="00465B72">
        <w:rPr>
          <w:rFonts w:eastAsia="Calibri"/>
          <w:lang w:eastAsia="en-US"/>
        </w:rPr>
        <w:t xml:space="preserve"> pamatoti iebilst pret tiesneša dalību konkrētajās mācībās un aizliegt viņam tajās piedalīties.</w:t>
      </w:r>
    </w:p>
    <w:p w14:paraId="5500D57D" w14:textId="77777777" w:rsidR="0023233E" w:rsidRDefault="00465B72" w:rsidP="00CA3939">
      <w:pPr>
        <w:spacing w:line="360" w:lineRule="auto"/>
        <w:ind w:firstLine="720"/>
        <w:jc w:val="both"/>
      </w:pPr>
      <w:r>
        <w:t xml:space="preserve">Šādam tiesas priekšsēdētāja </w:t>
      </w:r>
      <w:r w:rsidR="00933377" w:rsidRPr="009F745E">
        <w:t xml:space="preserve">lēmumam ir jābūt </w:t>
      </w:r>
      <w:r>
        <w:t xml:space="preserve">savlaicīgam, </w:t>
      </w:r>
      <w:r w:rsidR="00933377" w:rsidRPr="009F745E">
        <w:t>pamatotam un motivētam</w:t>
      </w:r>
      <w:r>
        <w:t>. To nevar pamatot</w:t>
      </w:r>
      <w:r w:rsidR="0041066F">
        <w:t xml:space="preserve"> ar</w:t>
      </w:r>
      <w:r w:rsidR="00933377" w:rsidRPr="009F745E">
        <w:t xml:space="preserve"> </w:t>
      </w:r>
      <w:r>
        <w:t>vispārīgām frāzēm</w:t>
      </w:r>
      <w:r w:rsidR="0023233E">
        <w:t>,</w:t>
      </w:r>
      <w:r w:rsidR="0041066F">
        <w:t xml:space="preserve"> </w:t>
      </w:r>
      <w:r w:rsidR="000E6DE5">
        <w:t>tostarp ar vispārīgu atsauci uz profesionālo ētiku,</w:t>
      </w:r>
      <w:r w:rsidR="00A20909">
        <w:t xml:space="preserve"> </w:t>
      </w:r>
      <w:r w:rsidR="0041066F">
        <w:t xml:space="preserve">un tā </w:t>
      </w:r>
      <w:r>
        <w:t>motīvi</w:t>
      </w:r>
      <w:r w:rsidR="0041066F">
        <w:t xml:space="preserve"> nevar būt</w:t>
      </w:r>
      <w:r w:rsidR="00933377">
        <w:t xml:space="preserve"> </w:t>
      </w:r>
      <w:r w:rsidR="00933377" w:rsidRPr="009F745E">
        <w:t xml:space="preserve">personiskas </w:t>
      </w:r>
      <w:r w:rsidR="00933377">
        <w:t xml:space="preserve">vai profesionālas </w:t>
      </w:r>
      <w:r w:rsidR="00933377" w:rsidRPr="009F745E">
        <w:t>nesaskaņas ar tiesnesi</w:t>
      </w:r>
      <w:r w:rsidR="00933377">
        <w:t>.</w:t>
      </w:r>
      <w:r>
        <w:t xml:space="preserve"> Turklāt par </w:t>
      </w:r>
      <w:r w:rsidR="00E66827">
        <w:t>aizliegumu piedalīties konkrētajās mācībās tiesnesis ir jāinformē pēc iespējas savlaicīgi, dodot</w:t>
      </w:r>
      <w:r w:rsidR="00933377">
        <w:t xml:space="preserve"> </w:t>
      </w:r>
      <w:r w:rsidR="00E66827">
        <w:t xml:space="preserve">iespēju </w:t>
      </w:r>
      <w:r w:rsidR="00933377">
        <w:t>v</w:t>
      </w:r>
      <w:r w:rsidR="00BB3E4F">
        <w:t xml:space="preserve">iņam </w:t>
      </w:r>
      <w:r w:rsidR="00933377">
        <w:t xml:space="preserve">sniegt paskaidrojumus </w:t>
      </w:r>
      <w:r w:rsidR="00E66827">
        <w:t>par apstākļiem, kas bijuši par pamatu</w:t>
      </w:r>
      <w:r w:rsidR="00933377">
        <w:t xml:space="preserve"> </w:t>
      </w:r>
      <w:r w:rsidR="00E66827">
        <w:t xml:space="preserve">tiesas priekšsēdētāja </w:t>
      </w:r>
      <w:r w:rsidR="00E66827" w:rsidRPr="009F745E">
        <w:t>lēmumam</w:t>
      </w:r>
      <w:r w:rsidR="00E66827">
        <w:t>. Savukārt, l</w:t>
      </w:r>
      <w:r w:rsidR="00933377">
        <w:t xml:space="preserve">emjot par mācību apmeklējuma saskaņošanu gadījumos, kad mācības plānotas vairākās kārtās, tiesas priekšsēdētājam būtu jāņem vērā </w:t>
      </w:r>
      <w:r w:rsidR="00E66827">
        <w:t xml:space="preserve">arī </w:t>
      </w:r>
      <w:r w:rsidR="00933377">
        <w:t xml:space="preserve">tiesneša </w:t>
      </w:r>
      <w:r w:rsidR="0041066F">
        <w:t>un ar viņu saistīto kolēģu jau uzsākt</w:t>
      </w:r>
      <w:r w:rsidR="001D2D32">
        <w:t>aj</w:t>
      </w:r>
      <w:r w:rsidR="0041066F">
        <w:t xml:space="preserve">ās mācībās </w:t>
      </w:r>
      <w:r w:rsidR="00933377">
        <w:t>iegu</w:t>
      </w:r>
      <w:r w:rsidR="0041066F">
        <w:t>ldītais laiks un darbs</w:t>
      </w:r>
      <w:r w:rsidR="00933377">
        <w:t>.</w:t>
      </w:r>
    </w:p>
    <w:p w14:paraId="6D2554F1" w14:textId="77777777" w:rsidR="0023233E" w:rsidRDefault="0023233E" w:rsidP="00CA3939">
      <w:pPr>
        <w:spacing w:line="360" w:lineRule="auto"/>
        <w:ind w:firstLine="720"/>
        <w:jc w:val="both"/>
      </w:pPr>
    </w:p>
    <w:p w14:paraId="79AE71F0" w14:textId="2D5B5832" w:rsidR="00C21445" w:rsidRDefault="00C21445" w:rsidP="00CA3939">
      <w:pPr>
        <w:spacing w:line="360" w:lineRule="auto"/>
        <w:ind w:firstLine="720"/>
        <w:jc w:val="both"/>
      </w:pPr>
      <w:r>
        <w:t>[</w:t>
      </w:r>
      <w:r w:rsidR="008D0458">
        <w:t>8</w:t>
      </w:r>
      <w:r>
        <w:t>]</w:t>
      </w:r>
      <w:r w:rsidR="008D0458">
        <w:t xml:space="preserve"> </w:t>
      </w:r>
      <w:r w:rsidR="0068551C">
        <w:t>Ja tiesas priekšsēdētājs atsaucas uz to, cik lietu izskatīšanā konkrētais tiesnesis ir piedalījies kā nereferējošais tiesnesis, tad viņam būtu jāņem vērā</w:t>
      </w:r>
      <w:r w:rsidR="00FE0E45">
        <w:t xml:space="preserve"> principi, kas izriet no tiesībām uz taisnīgu tiesu, konkrētāk – no tiesībām uz tiesu, kas ir noteikta ar likumu. Prasība, ka tiesai ir jābūt noteiktai ar likumu, attiecas ne tikai uz tiesas kā tādas pastāvēšanas tiesisko pamatu, bet arī uz tiesas sastāva noteikšanu katrā lietā (</w:t>
      </w:r>
      <w:r w:rsidR="00FE0E45" w:rsidRPr="0023233E">
        <w:rPr>
          <w:i/>
        </w:rPr>
        <w:t>Eiropas Cilvēktiesību tiesas 2003.gada 4.marta spriedums lietā “</w:t>
      </w:r>
      <w:proofErr w:type="spellStart"/>
      <w:r w:rsidR="00FE0E45" w:rsidRPr="0023233E">
        <w:rPr>
          <w:i/>
        </w:rPr>
        <w:t>Posokhov</w:t>
      </w:r>
      <w:proofErr w:type="spellEnd"/>
      <w:r w:rsidR="00FE0E45" w:rsidRPr="0023233E">
        <w:rPr>
          <w:i/>
        </w:rPr>
        <w:t xml:space="preserve"> v. </w:t>
      </w:r>
      <w:proofErr w:type="spellStart"/>
      <w:r w:rsidR="00FE0E45" w:rsidRPr="0023233E">
        <w:rPr>
          <w:i/>
        </w:rPr>
        <w:t>Russia</w:t>
      </w:r>
      <w:proofErr w:type="spellEnd"/>
      <w:r w:rsidR="00FE0E45" w:rsidRPr="0023233E">
        <w:rPr>
          <w:i/>
        </w:rPr>
        <w:t>”, iesnieguma Nr. 63486/00, 39.punkts</w:t>
      </w:r>
      <w:r w:rsidR="00316B2D">
        <w:rPr>
          <w:i/>
        </w:rPr>
        <w:t xml:space="preserve">; </w:t>
      </w:r>
      <w:r w:rsidR="00316B2D" w:rsidRPr="00316B2D">
        <w:rPr>
          <w:i/>
        </w:rPr>
        <w:t>20</w:t>
      </w:r>
      <w:r w:rsidR="00CA3939">
        <w:rPr>
          <w:i/>
        </w:rPr>
        <w:t>18</w:t>
      </w:r>
      <w:r w:rsidR="00316B2D" w:rsidRPr="00316B2D">
        <w:rPr>
          <w:i/>
        </w:rPr>
        <w:t xml:space="preserve">.gada </w:t>
      </w:r>
      <w:r w:rsidR="00316B2D">
        <w:rPr>
          <w:i/>
        </w:rPr>
        <w:t>1</w:t>
      </w:r>
      <w:r w:rsidR="00CA3939">
        <w:rPr>
          <w:i/>
        </w:rPr>
        <w:t>2</w:t>
      </w:r>
      <w:r w:rsidR="00316B2D" w:rsidRPr="00316B2D">
        <w:rPr>
          <w:i/>
        </w:rPr>
        <w:t>.</w:t>
      </w:r>
      <w:r w:rsidR="00316B2D">
        <w:rPr>
          <w:i/>
        </w:rPr>
        <w:t>aprīļa</w:t>
      </w:r>
      <w:r w:rsidR="00316B2D" w:rsidRPr="00316B2D">
        <w:rPr>
          <w:i/>
        </w:rPr>
        <w:t xml:space="preserve"> spriedums lietā “</w:t>
      </w:r>
      <w:proofErr w:type="spellStart"/>
      <w:r w:rsidR="00CA3939" w:rsidRPr="00CA3939">
        <w:rPr>
          <w:i/>
        </w:rPr>
        <w:t>C</w:t>
      </w:r>
      <w:r w:rsidR="00CA3939">
        <w:rPr>
          <w:i/>
        </w:rPr>
        <w:t>him</w:t>
      </w:r>
      <w:proofErr w:type="spellEnd"/>
      <w:r w:rsidR="00CA3939">
        <w:rPr>
          <w:i/>
        </w:rPr>
        <w:t xml:space="preserve"> </w:t>
      </w:r>
      <w:proofErr w:type="spellStart"/>
      <w:r w:rsidR="00CA3939">
        <w:rPr>
          <w:i/>
        </w:rPr>
        <w:t>and</w:t>
      </w:r>
      <w:proofErr w:type="spellEnd"/>
      <w:r w:rsidR="00CA3939" w:rsidRPr="00CA3939">
        <w:rPr>
          <w:i/>
        </w:rPr>
        <w:t xml:space="preserve"> </w:t>
      </w:r>
      <w:proofErr w:type="spellStart"/>
      <w:r w:rsidR="00CA3939" w:rsidRPr="00CA3939">
        <w:rPr>
          <w:i/>
        </w:rPr>
        <w:t>P</w:t>
      </w:r>
      <w:r w:rsidR="00F507C6">
        <w:rPr>
          <w:i/>
        </w:rPr>
        <w:t>rzywieczerski</w:t>
      </w:r>
      <w:proofErr w:type="spellEnd"/>
      <w:r w:rsidR="00CA3939" w:rsidRPr="00CA3939">
        <w:rPr>
          <w:i/>
        </w:rPr>
        <w:t xml:space="preserve"> v. </w:t>
      </w:r>
      <w:proofErr w:type="spellStart"/>
      <w:r w:rsidR="00CA3939" w:rsidRPr="00CA3939">
        <w:rPr>
          <w:i/>
        </w:rPr>
        <w:t>P</w:t>
      </w:r>
      <w:r w:rsidR="00F507C6">
        <w:rPr>
          <w:i/>
        </w:rPr>
        <w:t>oland</w:t>
      </w:r>
      <w:proofErr w:type="spellEnd"/>
      <w:r w:rsidR="00F507C6">
        <w:rPr>
          <w:i/>
        </w:rPr>
        <w:t>”</w:t>
      </w:r>
      <w:r w:rsidR="00316B2D" w:rsidRPr="00316B2D">
        <w:rPr>
          <w:i/>
        </w:rPr>
        <w:t>, iesniegum</w:t>
      </w:r>
      <w:r w:rsidR="00CA3939">
        <w:rPr>
          <w:i/>
        </w:rPr>
        <w:t>i</w:t>
      </w:r>
      <w:r w:rsidR="00316B2D" w:rsidRPr="00316B2D">
        <w:rPr>
          <w:i/>
        </w:rPr>
        <w:t xml:space="preserve"> Nr.</w:t>
      </w:r>
      <w:r w:rsidR="00316B2D">
        <w:rPr>
          <w:i/>
        </w:rPr>
        <w:t> </w:t>
      </w:r>
      <w:r w:rsidR="00CA3939" w:rsidRPr="00CA3939">
        <w:rPr>
          <w:i/>
        </w:rPr>
        <w:t xml:space="preserve">36661/07 </w:t>
      </w:r>
      <w:r w:rsidR="00CA3939">
        <w:rPr>
          <w:i/>
        </w:rPr>
        <w:t>un Nr. </w:t>
      </w:r>
      <w:r w:rsidR="00CA3939" w:rsidRPr="00CA3939">
        <w:rPr>
          <w:i/>
        </w:rPr>
        <w:t>38433/07</w:t>
      </w:r>
      <w:r w:rsidR="00316B2D" w:rsidRPr="00316B2D">
        <w:rPr>
          <w:i/>
        </w:rPr>
        <w:t xml:space="preserve">, </w:t>
      </w:r>
      <w:r w:rsidR="00CA3939">
        <w:rPr>
          <w:i/>
        </w:rPr>
        <w:t>137</w:t>
      </w:r>
      <w:r w:rsidR="00316B2D" w:rsidRPr="00316B2D">
        <w:rPr>
          <w:i/>
        </w:rPr>
        <w:t>.punkts</w:t>
      </w:r>
      <w:r w:rsidR="00FE0E45">
        <w:t>).</w:t>
      </w:r>
      <w:r w:rsidR="00FE0E45" w:rsidRPr="00FE0E45">
        <w:t xml:space="preserve"> </w:t>
      </w:r>
      <w:r w:rsidR="00FE0E45">
        <w:t>Tā kā likumā</w:t>
      </w:r>
      <w:r w:rsidR="00482EB7">
        <w:t xml:space="preserve"> „</w:t>
      </w:r>
      <w:r w:rsidR="00FE0E45" w:rsidRPr="00FE0E45">
        <w:t xml:space="preserve">Par tiesu varu” </w:t>
      </w:r>
      <w:r w:rsidR="00FE0E45">
        <w:t xml:space="preserve">ir noteikts, ka </w:t>
      </w:r>
      <w:r w:rsidR="00FE0E45" w:rsidRPr="00FE0E45">
        <w:t>tieši tiesas priekšsēdētājs atbild par lietu un citu pienākumu sadali starp tiesnešiem</w:t>
      </w:r>
      <w:r w:rsidR="00FE0E45">
        <w:t xml:space="preserve">, tad tieši tiesas priekšsēdētājam arī ir jāizveido skaidra sistēma, kā noteikt tiesas sastāvu konkrētas lietas izskatīšanai, tostarp, kā aizvietot tiesnesi, kuram būtu jābūt tiesas sastāvā, bet kurš objektīvu iemeslu dēļ nevar piedalīties konkrētas lietas izskatīšanā. </w:t>
      </w:r>
      <w:r>
        <w:t xml:space="preserve">Atbilstoši </w:t>
      </w:r>
      <w:r w:rsidRPr="00C21445">
        <w:t xml:space="preserve">likumā </w:t>
      </w:r>
      <w:r w:rsidR="009A476B">
        <w:t>„</w:t>
      </w:r>
      <w:r w:rsidRPr="00C21445">
        <w:t xml:space="preserve">Par tiesu varu” </w:t>
      </w:r>
      <w:r>
        <w:t xml:space="preserve">noteiktajam </w:t>
      </w:r>
      <w:r w:rsidR="00F507C6">
        <w:t xml:space="preserve">nereferējošā tiesneša </w:t>
      </w:r>
      <w:r w:rsidR="00FE0E45">
        <w:t>pienākumu sadale starp tiesnešiem nevar būt pašu tiesnešu atbildība.</w:t>
      </w:r>
    </w:p>
    <w:p w14:paraId="1BA5D004" w14:textId="3455F52E" w:rsidR="0068551C" w:rsidRDefault="00FE0E45" w:rsidP="00933377">
      <w:pPr>
        <w:spacing w:line="360" w:lineRule="auto"/>
        <w:ind w:firstLine="720"/>
        <w:jc w:val="both"/>
      </w:pPr>
      <w:r>
        <w:t>Turklāt t</w:t>
      </w:r>
      <w:r w:rsidR="0068551C">
        <w:t xml:space="preserve">iesas priekšsēdētājam būtu jārūpējas arī par to, lai </w:t>
      </w:r>
      <w:r w:rsidR="001F1F96">
        <w:t xml:space="preserve">viņa izveidotā sistēma nodrošinātu to, ka tiesnešu slodze </w:t>
      </w:r>
      <w:r w:rsidR="0068551C">
        <w:t xml:space="preserve">nereferējošā tiesneša </w:t>
      </w:r>
      <w:r w:rsidR="001F1F96">
        <w:t>pienākumu pildīšanā ir vienmērīga.</w:t>
      </w:r>
    </w:p>
    <w:p w14:paraId="50DBBECC" w14:textId="044F2040" w:rsidR="0068551C" w:rsidRDefault="0068551C" w:rsidP="00933377">
      <w:pPr>
        <w:spacing w:line="360" w:lineRule="auto"/>
        <w:ind w:firstLine="720"/>
        <w:jc w:val="both"/>
      </w:pPr>
      <w:bookmarkStart w:id="0" w:name="_GoBack"/>
      <w:bookmarkEnd w:id="0"/>
    </w:p>
    <w:p w14:paraId="7218C311" w14:textId="77777777" w:rsidR="00933377" w:rsidRDefault="00105AA2" w:rsidP="00933377">
      <w:pPr>
        <w:spacing w:line="360" w:lineRule="auto"/>
        <w:ind w:firstLine="720"/>
        <w:jc w:val="both"/>
      </w:pPr>
      <w:r w:rsidRPr="00105AA2">
        <w:t>Ievērojot visu iepriekš minēto, Tiesnešu ētikas komisija izskaidro:</w:t>
      </w:r>
    </w:p>
    <w:p w14:paraId="7E54CB17" w14:textId="77777777" w:rsidR="0062450E" w:rsidRDefault="0062450E" w:rsidP="00933377">
      <w:pPr>
        <w:spacing w:line="360" w:lineRule="auto"/>
        <w:ind w:firstLine="720"/>
        <w:jc w:val="both"/>
      </w:pPr>
    </w:p>
    <w:p w14:paraId="19980A7D" w14:textId="0EF594A9" w:rsidR="00CF55FC" w:rsidRDefault="0026670F" w:rsidP="00933377">
      <w:pPr>
        <w:spacing w:line="360" w:lineRule="auto"/>
        <w:ind w:firstLine="720"/>
        <w:jc w:val="both"/>
      </w:pPr>
      <w:r>
        <w:t>1)</w:t>
      </w:r>
      <w:r w:rsidR="009A476B">
        <w:t> </w:t>
      </w:r>
      <w:r w:rsidR="00933377">
        <w:t>t</w:t>
      </w:r>
      <w:r w:rsidR="00933377" w:rsidRPr="0071562E">
        <w:t>iesas priekšsēdētājam gan likumā noteiktie amata pienākumi</w:t>
      </w:r>
      <w:r w:rsidR="00105AA2">
        <w:t xml:space="preserve"> un tiesības,</w:t>
      </w:r>
      <w:r w:rsidR="00933377" w:rsidRPr="0071562E">
        <w:t xml:space="preserve"> gan arī ētikas normas atļauj prasī</w:t>
      </w:r>
      <w:r w:rsidR="0041066F">
        <w:t xml:space="preserve">t, lai tiesnesis </w:t>
      </w:r>
      <w:r w:rsidR="00CF55FC">
        <w:t>informē (nevis saskaņo)</w:t>
      </w:r>
      <w:r w:rsidR="00933377" w:rsidRPr="0071562E">
        <w:t xml:space="preserve"> </w:t>
      </w:r>
      <w:r w:rsidR="009741E2">
        <w:t xml:space="preserve">viņu </w:t>
      </w:r>
      <w:r w:rsidR="00105AA2">
        <w:t xml:space="preserve">par plānoto dalību </w:t>
      </w:r>
      <w:r w:rsidR="00CF55FC">
        <w:rPr>
          <w:rFonts w:eastAsia="Calibri"/>
          <w:lang w:eastAsia="en-US"/>
        </w:rPr>
        <w:lastRenderedPageBreak/>
        <w:t xml:space="preserve">tiesnešiem speciāli organizētajās </w:t>
      </w:r>
      <w:r w:rsidR="00933377">
        <w:t>mācībās</w:t>
      </w:r>
      <w:r w:rsidR="0041066F">
        <w:t xml:space="preserve">, </w:t>
      </w:r>
      <w:r w:rsidR="00CF55FC">
        <w:t xml:space="preserve">kā arī aizliegt tiesnesim piedalīties tajās, ja </w:t>
      </w:r>
      <w:r w:rsidR="00105AA2">
        <w:t>tiesneša plānot</w:t>
      </w:r>
      <w:r w:rsidR="00C47BEC">
        <w:t>ā dalība</w:t>
      </w:r>
      <w:r w:rsidR="00105AA2">
        <w:t xml:space="preserve"> māc</w:t>
      </w:r>
      <w:r w:rsidR="00C47BEC">
        <w:t>ībās</w:t>
      </w:r>
      <w:r w:rsidR="00105AA2" w:rsidRPr="00105AA2">
        <w:rPr>
          <w:rFonts w:eastAsia="Calibri"/>
          <w:lang w:eastAsia="en-US"/>
        </w:rPr>
        <w:t xml:space="preserve"> </w:t>
      </w:r>
      <w:r>
        <w:rPr>
          <w:rFonts w:eastAsia="Calibri"/>
          <w:lang w:eastAsia="en-US"/>
        </w:rPr>
        <w:t>traucē</w:t>
      </w:r>
      <w:r w:rsidR="00105AA2">
        <w:rPr>
          <w:rFonts w:eastAsia="Calibri"/>
          <w:lang w:eastAsia="en-US"/>
        </w:rPr>
        <w:t xml:space="preserve"> </w:t>
      </w:r>
      <w:r w:rsidR="007D291C">
        <w:t>tiesas iestādes efektīvai funkcionēšanai</w:t>
      </w:r>
      <w:r>
        <w:t>;</w:t>
      </w:r>
    </w:p>
    <w:p w14:paraId="6D568A25" w14:textId="35EDFE75" w:rsidR="00517C26" w:rsidRDefault="0026670F" w:rsidP="0023233E">
      <w:pPr>
        <w:spacing w:line="360" w:lineRule="auto"/>
        <w:ind w:firstLine="720"/>
        <w:jc w:val="both"/>
      </w:pPr>
      <w:r>
        <w:t>2)</w:t>
      </w:r>
      <w:r w:rsidR="009A476B">
        <w:t> </w:t>
      </w:r>
      <w:r>
        <w:t>t</w:t>
      </w:r>
      <w:r w:rsidR="00933377">
        <w:t>iesas priekšsēdētāja lēmumam</w:t>
      </w:r>
      <w:r w:rsidR="00933377" w:rsidRPr="0071562E">
        <w:t xml:space="preserve"> </w:t>
      </w:r>
      <w:r w:rsidR="00933377">
        <w:t>liegt tiesnesim piedalīties</w:t>
      </w:r>
      <w:r w:rsidR="009741E2">
        <w:t xml:space="preserve"> </w:t>
      </w:r>
      <w:r w:rsidR="00933377">
        <w:t xml:space="preserve">mācībās ir jābūt </w:t>
      </w:r>
      <w:r w:rsidR="007D291C">
        <w:t xml:space="preserve">savlaicīgam, </w:t>
      </w:r>
      <w:r w:rsidR="007D291C" w:rsidRPr="009F745E">
        <w:t>pamatotam un motivētam</w:t>
      </w:r>
      <w:r w:rsidR="00933377">
        <w:t>, tā</w:t>
      </w:r>
      <w:r w:rsidR="00933377" w:rsidRPr="009F745E">
        <w:t xml:space="preserve"> pamatā nevar būt </w:t>
      </w:r>
      <w:r w:rsidR="00DC4E0A">
        <w:t xml:space="preserve">vispārīgas frāzes, </w:t>
      </w:r>
      <w:r w:rsidR="00DC4E0A" w:rsidRPr="0023233E">
        <w:t>kā arī</w:t>
      </w:r>
      <w:r w:rsidR="00933377" w:rsidRPr="0023233E">
        <w:t xml:space="preserve"> personiskas vai profesionālas nesaskaņas ar tiesnesi</w:t>
      </w:r>
      <w:r w:rsidR="0023233E">
        <w:t>.</w:t>
      </w:r>
    </w:p>
    <w:p w14:paraId="32942E2F" w14:textId="77777777" w:rsidR="0023233E" w:rsidRDefault="0023233E" w:rsidP="0023233E">
      <w:pPr>
        <w:spacing w:line="360" w:lineRule="auto"/>
        <w:ind w:firstLine="720"/>
        <w:jc w:val="both"/>
      </w:pPr>
    </w:p>
    <w:p w14:paraId="2BFE9392" w14:textId="77777777" w:rsidR="007D291C" w:rsidRDefault="007D291C" w:rsidP="00933377">
      <w:pPr>
        <w:spacing w:line="360" w:lineRule="auto"/>
        <w:ind w:firstLine="720"/>
        <w:jc w:val="both"/>
      </w:pPr>
    </w:p>
    <w:p w14:paraId="607011B1" w14:textId="77777777" w:rsidR="00933377" w:rsidRPr="00627AEF" w:rsidRDefault="00933377" w:rsidP="00933377">
      <w:pPr>
        <w:tabs>
          <w:tab w:val="left" w:pos="6521"/>
        </w:tabs>
        <w:spacing w:line="480" w:lineRule="auto"/>
        <w:jc w:val="both"/>
      </w:pPr>
      <w:r w:rsidRPr="00627AEF">
        <w:t>Komisijas priekšsēdētāj</w:t>
      </w:r>
      <w:r>
        <w:t>a</w:t>
      </w:r>
      <w:r w:rsidRPr="00627AEF">
        <w:t xml:space="preserve"> </w:t>
      </w:r>
      <w:r w:rsidRPr="00627AEF">
        <w:tab/>
        <w:t>Anita Kovaļevska</w:t>
      </w:r>
    </w:p>
    <w:p w14:paraId="4663A258" w14:textId="77777777" w:rsidR="00933377" w:rsidRPr="00627AEF" w:rsidRDefault="00933377" w:rsidP="00933377">
      <w:pPr>
        <w:tabs>
          <w:tab w:val="left" w:pos="6521"/>
        </w:tabs>
        <w:spacing w:line="480" w:lineRule="auto"/>
      </w:pPr>
      <w:r w:rsidRPr="00627AEF">
        <w:t>Komisijas locekļi</w:t>
      </w:r>
      <w:r w:rsidRPr="00627AEF">
        <w:tab/>
        <w:t>Dzintra Amerika</w:t>
      </w:r>
    </w:p>
    <w:p w14:paraId="02E50134" w14:textId="20EE3071" w:rsidR="00933377" w:rsidRPr="00627AEF" w:rsidRDefault="00933377" w:rsidP="00933377">
      <w:pPr>
        <w:tabs>
          <w:tab w:val="left" w:pos="6521"/>
        </w:tabs>
        <w:spacing w:line="480" w:lineRule="auto"/>
      </w:pPr>
      <w:r w:rsidRPr="00627AEF">
        <w:tab/>
        <w:t>Ināra Jaunzeme</w:t>
      </w:r>
    </w:p>
    <w:p w14:paraId="266BC6B0" w14:textId="77777777" w:rsidR="00933377" w:rsidRPr="00627AEF" w:rsidRDefault="00933377" w:rsidP="00933377">
      <w:pPr>
        <w:tabs>
          <w:tab w:val="left" w:pos="6521"/>
        </w:tabs>
        <w:spacing w:line="480" w:lineRule="auto"/>
      </w:pPr>
      <w:r w:rsidRPr="00627AEF">
        <w:tab/>
        <w:t>Baiba Lielpētere</w:t>
      </w:r>
    </w:p>
    <w:p w14:paraId="0FB21A85" w14:textId="77777777" w:rsidR="00933377" w:rsidRPr="00627AEF" w:rsidRDefault="00933377" w:rsidP="00933377">
      <w:pPr>
        <w:tabs>
          <w:tab w:val="left" w:pos="6521"/>
        </w:tabs>
        <w:spacing w:line="480" w:lineRule="auto"/>
      </w:pPr>
      <w:r w:rsidRPr="00627AEF">
        <w:tab/>
        <w:t>Guntars Ploriņš</w:t>
      </w:r>
    </w:p>
    <w:p w14:paraId="3EB01CDC" w14:textId="77777777" w:rsidR="00933377" w:rsidRPr="00627AEF" w:rsidRDefault="00933377" w:rsidP="00933377">
      <w:pPr>
        <w:tabs>
          <w:tab w:val="left" w:pos="6521"/>
        </w:tabs>
        <w:spacing w:line="480" w:lineRule="auto"/>
      </w:pPr>
      <w:r w:rsidRPr="00627AEF">
        <w:tab/>
        <w:t>Normunds Salenieks</w:t>
      </w:r>
    </w:p>
    <w:p w14:paraId="054FF4C6" w14:textId="77777777" w:rsidR="00933377" w:rsidRPr="00627AEF" w:rsidRDefault="00933377" w:rsidP="00933377">
      <w:pPr>
        <w:tabs>
          <w:tab w:val="left" w:pos="6521"/>
        </w:tabs>
        <w:spacing w:line="480" w:lineRule="auto"/>
      </w:pPr>
      <w:r w:rsidRPr="00627AEF">
        <w:tab/>
        <w:t>Dace Skrauple</w:t>
      </w:r>
    </w:p>
    <w:p w14:paraId="02771F1B" w14:textId="5F701632" w:rsidR="006C2AA9" w:rsidRDefault="00933377" w:rsidP="0026670F">
      <w:pPr>
        <w:tabs>
          <w:tab w:val="left" w:pos="6521"/>
        </w:tabs>
        <w:spacing w:line="480" w:lineRule="auto"/>
      </w:pPr>
      <w:r w:rsidRPr="00627AEF">
        <w:tab/>
      </w:r>
      <w:r>
        <w:t>Alla Šilova</w:t>
      </w:r>
    </w:p>
    <w:sectPr w:rsidR="006C2AA9" w:rsidSect="0026670F">
      <w:footerReference w:type="default" r:id="rId7"/>
      <w:pgSz w:w="11906" w:h="16838"/>
      <w:pgMar w:top="993" w:right="1134" w:bottom="993" w:left="1701" w:header="1304" w:footer="1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C6A94" w14:textId="77777777" w:rsidR="00E778A9" w:rsidRDefault="00E778A9">
      <w:r>
        <w:separator/>
      </w:r>
    </w:p>
  </w:endnote>
  <w:endnote w:type="continuationSeparator" w:id="0">
    <w:p w14:paraId="7059EF2B" w14:textId="77777777" w:rsidR="00E778A9" w:rsidRDefault="00E7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867509"/>
      <w:docPartObj>
        <w:docPartGallery w:val="Page Numbers (Bottom of Page)"/>
        <w:docPartUnique/>
      </w:docPartObj>
    </w:sdtPr>
    <w:sdtEndPr>
      <w:rPr>
        <w:rFonts w:ascii="Times New Roman" w:hAnsi="Times New Roman"/>
      </w:rPr>
    </w:sdtEndPr>
    <w:sdtContent>
      <w:p w14:paraId="3E2DA6DA" w14:textId="77777777" w:rsidR="00F62747" w:rsidRPr="00F62747" w:rsidRDefault="009741E2">
        <w:pPr>
          <w:pStyle w:val="Kjene"/>
          <w:jc w:val="center"/>
          <w:rPr>
            <w:rFonts w:ascii="Times New Roman" w:hAnsi="Times New Roman"/>
          </w:rPr>
        </w:pPr>
        <w:r w:rsidRPr="00F62747">
          <w:rPr>
            <w:rFonts w:ascii="Times New Roman" w:hAnsi="Times New Roman"/>
          </w:rPr>
          <w:fldChar w:fldCharType="begin"/>
        </w:r>
        <w:r w:rsidRPr="00F62747">
          <w:rPr>
            <w:rFonts w:ascii="Times New Roman" w:hAnsi="Times New Roman"/>
          </w:rPr>
          <w:instrText>PAGE   \* MERGEFORMAT</w:instrText>
        </w:r>
        <w:r w:rsidRPr="00F62747">
          <w:rPr>
            <w:rFonts w:ascii="Times New Roman" w:hAnsi="Times New Roman"/>
          </w:rPr>
          <w:fldChar w:fldCharType="separate"/>
        </w:r>
        <w:r w:rsidR="00F507C6">
          <w:rPr>
            <w:rFonts w:ascii="Times New Roman" w:hAnsi="Times New Roman"/>
            <w:noProof/>
          </w:rPr>
          <w:t>4</w:t>
        </w:r>
        <w:r w:rsidRPr="00F62747">
          <w:rPr>
            <w:rFonts w:ascii="Times New Roman" w:hAnsi="Times New Roman"/>
          </w:rPr>
          <w:fldChar w:fldCharType="end"/>
        </w:r>
      </w:p>
    </w:sdtContent>
  </w:sdt>
  <w:p w14:paraId="7866CDF0" w14:textId="77777777" w:rsidR="00DC297E" w:rsidRDefault="00E778A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4EC73" w14:textId="77777777" w:rsidR="00E778A9" w:rsidRDefault="00E778A9">
      <w:r>
        <w:separator/>
      </w:r>
    </w:p>
  </w:footnote>
  <w:footnote w:type="continuationSeparator" w:id="0">
    <w:p w14:paraId="60BB27AC" w14:textId="77777777" w:rsidR="00E778A9" w:rsidRDefault="00E77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377"/>
    <w:rsid w:val="0009385D"/>
    <w:rsid w:val="0009408B"/>
    <w:rsid w:val="000E6DE5"/>
    <w:rsid w:val="00105AA2"/>
    <w:rsid w:val="001121DE"/>
    <w:rsid w:val="00142C63"/>
    <w:rsid w:val="001D2D32"/>
    <w:rsid w:val="001F1F96"/>
    <w:rsid w:val="0023233E"/>
    <w:rsid w:val="0026670F"/>
    <w:rsid w:val="00316B2D"/>
    <w:rsid w:val="0034101F"/>
    <w:rsid w:val="00354D66"/>
    <w:rsid w:val="00367B7E"/>
    <w:rsid w:val="003B575F"/>
    <w:rsid w:val="003C6E4E"/>
    <w:rsid w:val="00402BBB"/>
    <w:rsid w:val="0041066F"/>
    <w:rsid w:val="00465B72"/>
    <w:rsid w:val="00482EB7"/>
    <w:rsid w:val="00517C26"/>
    <w:rsid w:val="00520837"/>
    <w:rsid w:val="00560E12"/>
    <w:rsid w:val="005950AD"/>
    <w:rsid w:val="005C316E"/>
    <w:rsid w:val="005F596F"/>
    <w:rsid w:val="0062450E"/>
    <w:rsid w:val="00640B03"/>
    <w:rsid w:val="0068551C"/>
    <w:rsid w:val="007C180E"/>
    <w:rsid w:val="007D0693"/>
    <w:rsid w:val="007D291C"/>
    <w:rsid w:val="00803340"/>
    <w:rsid w:val="00832E0A"/>
    <w:rsid w:val="00887EF8"/>
    <w:rsid w:val="008D0458"/>
    <w:rsid w:val="008E1988"/>
    <w:rsid w:val="00933377"/>
    <w:rsid w:val="009741E2"/>
    <w:rsid w:val="009A476B"/>
    <w:rsid w:val="00A03F14"/>
    <w:rsid w:val="00A20909"/>
    <w:rsid w:val="00AD6E2E"/>
    <w:rsid w:val="00B032E3"/>
    <w:rsid w:val="00B07CEC"/>
    <w:rsid w:val="00B31795"/>
    <w:rsid w:val="00B77C02"/>
    <w:rsid w:val="00BB3E4F"/>
    <w:rsid w:val="00C21445"/>
    <w:rsid w:val="00C27DC5"/>
    <w:rsid w:val="00C45808"/>
    <w:rsid w:val="00C47BEC"/>
    <w:rsid w:val="00CA3939"/>
    <w:rsid w:val="00CD636E"/>
    <w:rsid w:val="00CF55FC"/>
    <w:rsid w:val="00D410AD"/>
    <w:rsid w:val="00DB3AFE"/>
    <w:rsid w:val="00DC4E0A"/>
    <w:rsid w:val="00E0377C"/>
    <w:rsid w:val="00E522B9"/>
    <w:rsid w:val="00E66827"/>
    <w:rsid w:val="00E73560"/>
    <w:rsid w:val="00E778A9"/>
    <w:rsid w:val="00F25BE0"/>
    <w:rsid w:val="00F507C6"/>
    <w:rsid w:val="00F66468"/>
    <w:rsid w:val="00F96787"/>
    <w:rsid w:val="00FE0E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2D6BD"/>
  <w15:chartTrackingRefBased/>
  <w15:docId w15:val="{AF253E0F-F7D1-458D-8E12-328774A7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3337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933377"/>
    <w:pPr>
      <w:tabs>
        <w:tab w:val="center" w:pos="4153"/>
        <w:tab w:val="right" w:pos="8306"/>
      </w:tabs>
    </w:pPr>
    <w:rPr>
      <w:rFonts w:ascii="Calibri" w:eastAsia="Calibri" w:hAnsi="Calibri"/>
      <w:sz w:val="22"/>
      <w:szCs w:val="22"/>
      <w:lang w:eastAsia="en-US"/>
    </w:rPr>
  </w:style>
  <w:style w:type="character" w:customStyle="1" w:styleId="KjeneRakstz">
    <w:name w:val="Kājene Rakstz."/>
    <w:basedOn w:val="Noklusjumarindkopasfonts"/>
    <w:link w:val="Kjene"/>
    <w:uiPriority w:val="99"/>
    <w:rsid w:val="00933377"/>
    <w:rPr>
      <w:rFonts w:ascii="Calibri" w:eastAsia="Calibri" w:hAnsi="Calibri" w:cs="Times New Roman"/>
    </w:rPr>
  </w:style>
  <w:style w:type="character" w:styleId="Hipersaite">
    <w:name w:val="Hyperlink"/>
    <w:basedOn w:val="Noklusjumarindkopasfonts"/>
    <w:uiPriority w:val="99"/>
    <w:unhideWhenUsed/>
    <w:rsid w:val="00933377"/>
    <w:rPr>
      <w:color w:val="0563C1" w:themeColor="hyperlink"/>
      <w:u w:val="single"/>
    </w:rPr>
  </w:style>
  <w:style w:type="paragraph" w:styleId="Balonteksts">
    <w:name w:val="Balloon Text"/>
    <w:basedOn w:val="Parasts"/>
    <w:link w:val="BalontekstsRakstz"/>
    <w:uiPriority w:val="99"/>
    <w:semiHidden/>
    <w:unhideWhenUsed/>
    <w:rsid w:val="00F9678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96787"/>
    <w:rPr>
      <w:rFonts w:ascii="Segoe UI" w:eastAsia="Times New Roman" w:hAnsi="Segoe UI" w:cs="Segoe UI"/>
      <w:sz w:val="18"/>
      <w:szCs w:val="18"/>
      <w:lang w:eastAsia="lv-LV"/>
    </w:rPr>
  </w:style>
  <w:style w:type="paragraph" w:styleId="Sarakstarindkopa">
    <w:name w:val="List Paragraph"/>
    <w:basedOn w:val="Parasts"/>
    <w:uiPriority w:val="34"/>
    <w:qFormat/>
    <w:rsid w:val="0026670F"/>
    <w:pPr>
      <w:ind w:left="720"/>
      <w:contextualSpacing/>
    </w:pPr>
  </w:style>
  <w:style w:type="paragraph" w:styleId="Galvene">
    <w:name w:val="header"/>
    <w:basedOn w:val="Parasts"/>
    <w:link w:val="GalveneRakstz"/>
    <w:uiPriority w:val="99"/>
    <w:unhideWhenUsed/>
    <w:rsid w:val="0026670F"/>
    <w:pPr>
      <w:tabs>
        <w:tab w:val="center" w:pos="4513"/>
        <w:tab w:val="right" w:pos="9026"/>
      </w:tabs>
    </w:pPr>
  </w:style>
  <w:style w:type="character" w:customStyle="1" w:styleId="GalveneRakstz">
    <w:name w:val="Galvene Rakstz."/>
    <w:basedOn w:val="Noklusjumarindkopasfonts"/>
    <w:link w:val="Galvene"/>
    <w:uiPriority w:val="99"/>
    <w:rsid w:val="0026670F"/>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142C63"/>
    <w:rPr>
      <w:sz w:val="16"/>
      <w:szCs w:val="16"/>
    </w:rPr>
  </w:style>
  <w:style w:type="paragraph" w:styleId="Komentrateksts">
    <w:name w:val="annotation text"/>
    <w:basedOn w:val="Parasts"/>
    <w:link w:val="KomentratekstsRakstz"/>
    <w:uiPriority w:val="99"/>
    <w:semiHidden/>
    <w:unhideWhenUsed/>
    <w:rsid w:val="00142C63"/>
    <w:rPr>
      <w:sz w:val="20"/>
      <w:szCs w:val="20"/>
    </w:rPr>
  </w:style>
  <w:style w:type="character" w:customStyle="1" w:styleId="KomentratekstsRakstz">
    <w:name w:val="Komentāra teksts Rakstz."/>
    <w:basedOn w:val="Noklusjumarindkopasfonts"/>
    <w:link w:val="Komentrateksts"/>
    <w:uiPriority w:val="99"/>
    <w:semiHidden/>
    <w:rsid w:val="00142C6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42C63"/>
    <w:rPr>
      <w:b/>
      <w:bCs/>
    </w:rPr>
  </w:style>
  <w:style w:type="character" w:customStyle="1" w:styleId="KomentratmaRakstz">
    <w:name w:val="Komentāra tēma Rakstz."/>
    <w:basedOn w:val="KomentratekstsRakstz"/>
    <w:link w:val="Komentratma"/>
    <w:uiPriority w:val="99"/>
    <w:semiHidden/>
    <w:rsid w:val="00142C63"/>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173811">
      <w:bodyDiv w:val="1"/>
      <w:marLeft w:val="0"/>
      <w:marRight w:val="0"/>
      <w:marTop w:val="0"/>
      <w:marBottom w:val="0"/>
      <w:divBdr>
        <w:top w:val="none" w:sz="0" w:space="0" w:color="auto"/>
        <w:left w:val="none" w:sz="0" w:space="0" w:color="auto"/>
        <w:bottom w:val="none" w:sz="0" w:space="0" w:color="auto"/>
        <w:right w:val="none" w:sz="0" w:space="0" w:color="auto"/>
      </w:divBdr>
      <w:divsChild>
        <w:div w:id="2014844259">
          <w:marLeft w:val="0"/>
          <w:marRight w:val="0"/>
          <w:marTop w:val="0"/>
          <w:marBottom w:val="0"/>
          <w:divBdr>
            <w:top w:val="none" w:sz="0" w:space="0" w:color="auto"/>
            <w:left w:val="none" w:sz="0" w:space="0" w:color="auto"/>
            <w:bottom w:val="none" w:sz="0" w:space="0" w:color="auto"/>
            <w:right w:val="none" w:sz="0" w:space="0" w:color="auto"/>
          </w:divBdr>
        </w:div>
        <w:div w:id="337928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e.int/t/dghl/cooperation/ccje/textes/Bangalore%20PriciplesComm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7570</Words>
  <Characters>4315</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Skrauple</dc:creator>
  <cp:keywords/>
  <dc:description/>
  <cp:lastModifiedBy>Indra Kārkliņa</cp:lastModifiedBy>
  <cp:revision>10</cp:revision>
  <cp:lastPrinted>2018-04-24T13:10:00Z</cp:lastPrinted>
  <dcterms:created xsi:type="dcterms:W3CDTF">2018-04-26T16:46:00Z</dcterms:created>
  <dcterms:modified xsi:type="dcterms:W3CDTF">2018-04-27T13:23:00Z</dcterms:modified>
</cp:coreProperties>
</file>