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0DE4209" w14:textId="77777777" w:rsidR="009C6A47" w:rsidRDefault="0094741C">
      <w:pPr>
        <w:spacing w:before="100" w:after="100" w:line="360" w:lineRule="auto"/>
        <w:jc w:val="center"/>
        <w:rPr>
          <w:rFonts w:ascii="Times New Roman" w:hAnsi="Times New Roman"/>
          <w:b/>
          <w:sz w:val="24"/>
          <w:szCs w:val="24"/>
        </w:rPr>
      </w:pPr>
      <w:r>
        <w:rPr>
          <w:rFonts w:ascii="Times New Roman" w:hAnsi="Times New Roman"/>
          <w:b/>
          <w:sz w:val="24"/>
          <w:szCs w:val="24"/>
        </w:rPr>
        <w:t>Tiesnešu ētikas komisija</w:t>
      </w:r>
    </w:p>
    <w:p w14:paraId="09981AE8" w14:textId="77777777" w:rsidR="009C6A47" w:rsidRDefault="0094741C">
      <w:pPr>
        <w:spacing w:before="100" w:after="100" w:line="360" w:lineRule="auto"/>
        <w:jc w:val="center"/>
        <w:rPr>
          <w:rFonts w:ascii="Times New Roman" w:hAnsi="Times New Roman"/>
          <w:b/>
          <w:sz w:val="28"/>
          <w:szCs w:val="28"/>
        </w:rPr>
      </w:pPr>
      <w:r>
        <w:rPr>
          <w:rFonts w:ascii="Times New Roman" w:hAnsi="Times New Roman"/>
          <w:b/>
          <w:sz w:val="28"/>
          <w:szCs w:val="28"/>
        </w:rPr>
        <w:t>ATZINUMS</w:t>
      </w:r>
    </w:p>
    <w:p w14:paraId="2B4CDC46" w14:textId="77777777" w:rsidR="009C6A47" w:rsidRDefault="0094741C">
      <w:pPr>
        <w:spacing w:before="100" w:after="100" w:line="360" w:lineRule="auto"/>
        <w:ind w:right="43"/>
        <w:jc w:val="both"/>
        <w:rPr>
          <w:rFonts w:ascii="Times New Roman" w:hAnsi="Times New Roman"/>
          <w:sz w:val="24"/>
          <w:szCs w:val="24"/>
        </w:rPr>
      </w:pPr>
      <w:r>
        <w:rPr>
          <w:rFonts w:ascii="Times New Roman" w:hAnsi="Times New Roman"/>
          <w:sz w:val="24"/>
          <w:szCs w:val="24"/>
        </w:rPr>
        <w:t>Rīgā</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2020.gada 7.augustā</w:t>
      </w:r>
    </w:p>
    <w:p w14:paraId="3EAB206D" w14:textId="77777777" w:rsidR="009C6A47" w:rsidRDefault="009C6A47">
      <w:pPr>
        <w:spacing w:before="100" w:after="100" w:line="360" w:lineRule="auto"/>
        <w:ind w:right="43"/>
        <w:jc w:val="both"/>
      </w:pPr>
    </w:p>
    <w:p w14:paraId="4607DBE0" w14:textId="3128E537" w:rsidR="009C6A47" w:rsidRDefault="0094741C">
      <w:pPr>
        <w:spacing w:after="0" w:line="360" w:lineRule="auto"/>
        <w:ind w:right="43"/>
        <w:jc w:val="both"/>
        <w:rPr>
          <w:rFonts w:ascii="Times New Roman" w:hAnsi="Times New Roman"/>
          <w:sz w:val="24"/>
          <w:szCs w:val="24"/>
        </w:rPr>
      </w:pPr>
      <w:r>
        <w:rPr>
          <w:rFonts w:ascii="Times New Roman" w:hAnsi="Times New Roman"/>
          <w:sz w:val="24"/>
          <w:szCs w:val="24"/>
        </w:rPr>
        <w:tab/>
        <w:t>Tiesnešu ētikas komisija ir saņēmusi Tieslietu ministrijas lūgumu izvērtēt tiesneša rīcību tiesas sēdē.</w:t>
      </w:r>
    </w:p>
    <w:p w14:paraId="368AF7E4" w14:textId="77777777" w:rsidR="009C6A47" w:rsidRDefault="009C6A47">
      <w:pPr>
        <w:spacing w:after="0" w:line="360" w:lineRule="auto"/>
        <w:ind w:right="45" w:firstLine="720"/>
        <w:jc w:val="both"/>
        <w:rPr>
          <w:rFonts w:ascii="Times New Roman" w:hAnsi="Times New Roman"/>
          <w:sz w:val="24"/>
          <w:szCs w:val="24"/>
        </w:rPr>
      </w:pPr>
    </w:p>
    <w:p w14:paraId="0C54C5AA" w14:textId="36F10308" w:rsidR="009C6A47" w:rsidRDefault="0094741C">
      <w:pPr>
        <w:spacing w:after="0" w:line="360" w:lineRule="auto"/>
        <w:ind w:right="45" w:firstLine="720"/>
        <w:jc w:val="both"/>
        <w:rPr>
          <w:rFonts w:ascii="Times New Roman" w:hAnsi="Times New Roman"/>
          <w:sz w:val="24"/>
          <w:szCs w:val="24"/>
        </w:rPr>
      </w:pPr>
      <w:r>
        <w:rPr>
          <w:rFonts w:ascii="Times New Roman" w:hAnsi="Times New Roman"/>
          <w:sz w:val="24"/>
          <w:szCs w:val="24"/>
        </w:rPr>
        <w:t>[1] Tieslietu ministrija norāda, ka tieslietu ministrs ir saņēmis B.M. sūdzību par tiesneša rīcību tiesas sēdē civillietā, kurā B.M. ir prasītāja.</w:t>
      </w:r>
    </w:p>
    <w:p w14:paraId="2B2FCA73" w14:textId="570E2A30" w:rsidR="009C6A47" w:rsidRDefault="0094741C">
      <w:pPr>
        <w:spacing w:after="0" w:line="360" w:lineRule="auto"/>
        <w:ind w:right="45" w:firstLine="720"/>
        <w:jc w:val="both"/>
        <w:rPr>
          <w:rFonts w:ascii="Times New Roman" w:hAnsi="Times New Roman"/>
          <w:sz w:val="24"/>
          <w:szCs w:val="24"/>
        </w:rPr>
      </w:pPr>
      <w:r>
        <w:rPr>
          <w:rFonts w:ascii="Times New Roman" w:hAnsi="Times New Roman"/>
          <w:sz w:val="24"/>
          <w:szCs w:val="24"/>
        </w:rPr>
        <w:t xml:space="preserve">[1.1] B.M. ministrijai norāda, ka tiesnesis sēdē ir pārkāpis tiesnešu ētikas normas. </w:t>
      </w:r>
    </w:p>
    <w:p w14:paraId="63766063" w14:textId="77777777" w:rsidR="009C6A47" w:rsidRDefault="0094741C">
      <w:pPr>
        <w:spacing w:after="0" w:line="360" w:lineRule="auto"/>
        <w:ind w:right="45" w:firstLine="720"/>
        <w:jc w:val="both"/>
        <w:rPr>
          <w:rFonts w:ascii="Times New Roman" w:hAnsi="Times New Roman"/>
          <w:sz w:val="24"/>
          <w:szCs w:val="24"/>
        </w:rPr>
      </w:pPr>
      <w:r>
        <w:rPr>
          <w:rFonts w:ascii="Times New Roman" w:hAnsi="Times New Roman"/>
          <w:sz w:val="24"/>
          <w:szCs w:val="24"/>
        </w:rPr>
        <w:t>Tiesas sēdē puses pieteica lūgumu atlikt lietas izskatīšanu, lai noslēgtu izlīgumu. Taču tad tiesnesis sāka uzdot prasītājai dažādus jautājumus, radot iespaidu, ka atbildētāja atrodas īpašā stāvoklī attiecībā pret prasītāju. Turklāt tiesnesis tiesas sēdē atbildētājas pārstāvei norādīja, kādi pierādījumi viņai ir jāiesniedz un kādas darbības ir jāveic. Tiesnesis norādīja atbildētājas pārstāvei arī uz divām citām lietām, kurās B.M. bija piedalījusies kā pārstāve, nosaucot šo lietu datumus un laikus. Tiesnesis šīs lietas bija paņēmis līdzi uz tiesas sēdi. Tiesas sēdē tiesnesis norādīja, ka viņam ir informācija par atbildētājas valdes locekli, kas B.M. radīja pārliecību, ka atbildētāja atrodas īpašā situācijā. Tiesnesis adresējis B.M. frāzi, ka viņa esot “unikāla”.</w:t>
      </w:r>
    </w:p>
    <w:p w14:paraId="4F5CA229" w14:textId="77777777" w:rsidR="009C6A47" w:rsidRDefault="0094741C">
      <w:pPr>
        <w:spacing w:after="0" w:line="360" w:lineRule="auto"/>
        <w:ind w:right="45" w:firstLine="720"/>
        <w:jc w:val="both"/>
        <w:rPr>
          <w:rFonts w:ascii="Times New Roman" w:hAnsi="Times New Roman"/>
          <w:sz w:val="24"/>
          <w:szCs w:val="24"/>
        </w:rPr>
      </w:pPr>
      <w:r>
        <w:rPr>
          <w:rFonts w:ascii="Times New Roman" w:hAnsi="Times New Roman"/>
          <w:sz w:val="24"/>
          <w:szCs w:val="24"/>
        </w:rPr>
        <w:t>B.M. ieskatā tiesneša attieksme un darbības viņai radījušas negatīvu priekšstatu par tiesu varu kopumā un tiesas objektivitāti konkrētajā lietā.</w:t>
      </w:r>
    </w:p>
    <w:p w14:paraId="2FC5E3D3" w14:textId="55755CF0" w:rsidR="009C6A47" w:rsidRDefault="0094741C">
      <w:pPr>
        <w:spacing w:after="0" w:line="360" w:lineRule="auto"/>
        <w:ind w:right="45" w:firstLine="720"/>
        <w:jc w:val="both"/>
        <w:rPr>
          <w:rFonts w:ascii="Times New Roman" w:hAnsi="Times New Roman"/>
          <w:sz w:val="24"/>
          <w:szCs w:val="24"/>
        </w:rPr>
      </w:pPr>
      <w:r>
        <w:rPr>
          <w:rFonts w:ascii="Times New Roman" w:hAnsi="Times New Roman"/>
          <w:sz w:val="24"/>
          <w:szCs w:val="24"/>
        </w:rPr>
        <w:t xml:space="preserve">[1.2] Tieslietu ministrija savā vēstulē Tiesnešu ētikas komisijai ir norādījusi, ka tiesas sēdē tiesneša rīcība un uzvedība ir vērtējama kā iespējams tiesneša ētikas normu pārkāpums, jo tiesneša uzdotie jautājumi un secinājumi var radīt iespaidu par to, ka tiesa ir ieņēmusi noteiktu pozīciju un atbildētāja konkrētajā lietā atrodas īpašā stāvoklī. </w:t>
      </w:r>
    </w:p>
    <w:p w14:paraId="55C1E2D4" w14:textId="77777777" w:rsidR="009C6A47" w:rsidRDefault="0094741C">
      <w:pPr>
        <w:spacing w:after="0" w:line="360" w:lineRule="auto"/>
        <w:ind w:right="45" w:firstLine="720"/>
        <w:jc w:val="both"/>
        <w:rPr>
          <w:rFonts w:ascii="Times New Roman" w:hAnsi="Times New Roman"/>
          <w:sz w:val="24"/>
          <w:szCs w:val="24"/>
        </w:rPr>
      </w:pPr>
      <w:r>
        <w:rPr>
          <w:rFonts w:ascii="Times New Roman" w:hAnsi="Times New Roman"/>
          <w:sz w:val="24"/>
          <w:szCs w:val="24"/>
        </w:rPr>
        <w:t xml:space="preserve">Ministrija norāda, ka tiesas sēdes ierakstā ir dzirdams, ka tiesnesis tiesas sēdē norādīja uz divām viņam zināmām civillietām, kurās kā pārstāve piedalījusies B.M. un tas noticis darba attiecību un darba laikā, lai gan dalība tiesas procesos nav bijusi saistīta ar darba pienākumu izpildi. Vienlaikus ar šo konstatējumu tiesnesis vērsās pie atbildētājas pārstāves, uzdodot jautājumu: “Un, neskatoties uz to visu, Jūs esat gatavi maksāt kompensāciju?”. Uzdodot jautājumus gan prasītājai, gan atbildētājas pārstāvei par kārtību, kādā bija jāziņo darba devējam par prombūtni, tiesnesis norāda: “Es arī nedzīvoju vakuumā un man ir tāda šāda informācija par [..] un es zinu, ka tur ir ļoti strikta vadītāja. Es neticu, man ļoti grūti noticēt, kā man raksturojuši </w:t>
      </w:r>
      <w:r>
        <w:rPr>
          <w:rFonts w:ascii="Times New Roman" w:hAnsi="Times New Roman"/>
          <w:sz w:val="24"/>
          <w:szCs w:val="24"/>
        </w:rPr>
        <w:lastRenderedPageBreak/>
        <w:t xml:space="preserve">[..] vadītāju, ka viņa </w:t>
      </w:r>
      <w:proofErr w:type="spellStart"/>
      <w:r>
        <w:rPr>
          <w:rFonts w:ascii="Times New Roman" w:hAnsi="Times New Roman"/>
          <w:sz w:val="24"/>
          <w:szCs w:val="24"/>
        </w:rPr>
        <w:t>tolerētu</w:t>
      </w:r>
      <w:proofErr w:type="spellEnd"/>
      <w:r>
        <w:rPr>
          <w:rFonts w:ascii="Times New Roman" w:hAnsi="Times New Roman"/>
          <w:sz w:val="24"/>
          <w:szCs w:val="24"/>
        </w:rPr>
        <w:t xml:space="preserve"> naudas pelnīšanu darba laikā citā vietā, citā pilsētā.” Tiesas sēdes laikā tiesnesis norāda atbildētājas pārstāvei uz nepieciešamību izsaukt liecinieci, uzdodot jautājumu atbildētājas pārstāvei: “Nevēlaties pieteikt valdes locekli kā liecinieci šajā lietā? Jo, ja prasītāja norāda to, ka atprasīšanās notika tieši no [..] kundzes, (..) tad to varēs tikai apstiprināt [..] kundze un neviens cits.” </w:t>
      </w:r>
    </w:p>
    <w:p w14:paraId="0A27BC4E" w14:textId="77777777" w:rsidR="009C6A47" w:rsidRDefault="0094741C">
      <w:pPr>
        <w:spacing w:after="0" w:line="360" w:lineRule="auto"/>
        <w:ind w:right="45" w:firstLine="720"/>
        <w:jc w:val="both"/>
        <w:rPr>
          <w:rFonts w:ascii="Times New Roman" w:hAnsi="Times New Roman"/>
          <w:sz w:val="24"/>
          <w:szCs w:val="24"/>
        </w:rPr>
      </w:pPr>
      <w:r>
        <w:rPr>
          <w:rFonts w:ascii="Times New Roman" w:hAnsi="Times New Roman"/>
          <w:sz w:val="24"/>
          <w:szCs w:val="24"/>
        </w:rPr>
        <w:t>Tiesneša rīcība tiesas sēdes laikā Tieslietu ministrijas ieskatā rada šaubas par tiesas objektivitāti un negatīvu priekšstatu par tiesu varu kopumā. Tieslietu ministrija lūdz izvērtēt B.M. iesniegumu par tiesneša iespējamo neētisko rīcību, kā arī nepieciešamības gadījumā lemt jautājumu par disciplinārlietas ierosināšanu.</w:t>
      </w:r>
    </w:p>
    <w:p w14:paraId="316FB548" w14:textId="77777777" w:rsidR="009C6A47" w:rsidRDefault="009C6A47">
      <w:pPr>
        <w:spacing w:after="0" w:line="360" w:lineRule="auto"/>
        <w:ind w:right="45" w:firstLine="720"/>
        <w:jc w:val="both"/>
        <w:rPr>
          <w:rFonts w:ascii="Times New Roman" w:hAnsi="Times New Roman"/>
          <w:sz w:val="24"/>
          <w:szCs w:val="24"/>
        </w:rPr>
      </w:pPr>
    </w:p>
    <w:p w14:paraId="258A66CC" w14:textId="77777777" w:rsidR="009C6A47" w:rsidRDefault="0094741C">
      <w:pPr>
        <w:spacing w:after="0" w:line="360" w:lineRule="auto"/>
        <w:ind w:right="45"/>
        <w:jc w:val="both"/>
        <w:rPr>
          <w:rFonts w:ascii="Times New Roman" w:hAnsi="Times New Roman"/>
          <w:sz w:val="24"/>
          <w:szCs w:val="24"/>
        </w:rPr>
      </w:pPr>
      <w:r>
        <w:rPr>
          <w:rFonts w:ascii="Times New Roman" w:hAnsi="Times New Roman"/>
          <w:sz w:val="24"/>
          <w:szCs w:val="24"/>
        </w:rPr>
        <w:tab/>
        <w:t>[2] Tiesnesis, piedaloties Tiesnešu ētikas komisijas sēdē, paskaidroja, ka konkrētā civillieta joprojām nav izskatīta un prasītājai, pastāvot viņas šaubām par tiesneša objektivitāti, bija tiesības pieteikt noraidījumu tiesnesim. Prasītāja to nav veikusi arī nākamajā tiesas sēdē, kas notika jūlijā, bet ar sūdzību vērsusies pie tieslietu ministra.</w:t>
      </w:r>
    </w:p>
    <w:p w14:paraId="49965934" w14:textId="127B3370" w:rsidR="009C6A47" w:rsidRDefault="0094741C">
      <w:pPr>
        <w:spacing w:after="0" w:line="360" w:lineRule="auto"/>
        <w:ind w:right="45" w:firstLine="720"/>
        <w:jc w:val="both"/>
        <w:rPr>
          <w:rFonts w:ascii="Times New Roman" w:hAnsi="Times New Roman"/>
          <w:sz w:val="24"/>
          <w:szCs w:val="24"/>
        </w:rPr>
      </w:pPr>
      <w:r>
        <w:rPr>
          <w:rFonts w:ascii="Times New Roman" w:hAnsi="Times New Roman"/>
          <w:sz w:val="24"/>
          <w:szCs w:val="24"/>
        </w:rPr>
        <w:t xml:space="preserve">Tiesnesis paskaidroja, ka tiesas sēdē centās nodrošināt efektīvu un objektīvu tiesas procesu, noskaidrojot patiesību un nenododot to. </w:t>
      </w:r>
    </w:p>
    <w:p w14:paraId="27E90977" w14:textId="77777777" w:rsidR="009C6A47" w:rsidRDefault="0094741C">
      <w:pPr>
        <w:spacing w:after="0" w:line="360" w:lineRule="auto"/>
        <w:ind w:right="45" w:firstLine="720"/>
        <w:jc w:val="both"/>
        <w:rPr>
          <w:rFonts w:ascii="Times New Roman" w:hAnsi="Times New Roman"/>
          <w:sz w:val="24"/>
          <w:szCs w:val="24"/>
        </w:rPr>
      </w:pPr>
      <w:r>
        <w:rPr>
          <w:rFonts w:ascii="Times New Roman" w:hAnsi="Times New Roman"/>
          <w:sz w:val="24"/>
          <w:szCs w:val="24"/>
        </w:rPr>
        <w:t>Tiesnesis norāda, ka konkrētajā civillietā ir strīds, kas izriet no darba tiesiskajām attiecībām, un likums ir noteicis šai lietu kategorijai īsu termiņu lietas izskatīšanas pēc būtības uzsākšanai. Līdz ar to lietā nav iespējams rīkot sagatavošanās tiesas sēdi, lai noskaidrotu būtiskus apstākļus – prasījuma pamatu, prasības robežas. Tāpēc tiesnesis šos jautājumus ir skaidrojis tiesas sēdē, kurā lietu uzsāka skatīt pēc būtības, izvaicājot un diskutējot ar lietas dalībniekiem par lietas apstākļiem. Tiesas sēdē atbilstoši likumam tiesnesis pusēm norādīja uz pierādījumu trūkumu lietā.</w:t>
      </w:r>
    </w:p>
    <w:p w14:paraId="321CF173" w14:textId="77777777" w:rsidR="009C6A47" w:rsidRDefault="0094741C">
      <w:pPr>
        <w:spacing w:after="0" w:line="360" w:lineRule="auto"/>
        <w:ind w:right="45"/>
        <w:jc w:val="both"/>
        <w:rPr>
          <w:rFonts w:ascii="Times New Roman" w:hAnsi="Times New Roman"/>
          <w:sz w:val="24"/>
          <w:szCs w:val="24"/>
        </w:rPr>
      </w:pPr>
      <w:r>
        <w:rPr>
          <w:rFonts w:ascii="Times New Roman" w:hAnsi="Times New Roman"/>
          <w:sz w:val="24"/>
          <w:szCs w:val="24"/>
        </w:rPr>
        <w:tab/>
        <w:t xml:space="preserve">Tiesnesis uzskata, ka prasītājai ir jāieskatās patiesībai acīs. Tiesnesis uzskata, ka tiesnesim nav jābūt “klusējošai halucinācijai” sēdes laikā. Konkrētajā tiesas sēdē tiesnesis pauda emocijas, nenostājoties neviena pusē, turklāt neizrādot noteiktu attieksmi kādam no lietas dalībniekiem. Tiesnesis paskaidroja, ka B.M. ir bijusi lietas dalībniece arī citās viņa lietās, un tiesnesis atzīst, ka tiesas sēdē “tas ir pārbaudījums tiesnesim”. Vienlaikus tiesnesis uzsvēra, ka viņam nav izveidojusies īpaša attieksme pret prasītāju B.M. </w:t>
      </w:r>
    </w:p>
    <w:p w14:paraId="1B678CBD" w14:textId="77777777" w:rsidR="009C6A47" w:rsidRDefault="0094741C">
      <w:pPr>
        <w:spacing w:after="0" w:line="360" w:lineRule="auto"/>
        <w:ind w:right="45"/>
        <w:jc w:val="both"/>
        <w:rPr>
          <w:rFonts w:ascii="Times New Roman" w:hAnsi="Times New Roman"/>
          <w:sz w:val="24"/>
          <w:szCs w:val="24"/>
        </w:rPr>
      </w:pPr>
      <w:r>
        <w:rPr>
          <w:rFonts w:ascii="Times New Roman" w:hAnsi="Times New Roman"/>
          <w:sz w:val="24"/>
          <w:szCs w:val="24"/>
        </w:rPr>
        <w:tab/>
        <w:t>Tiesnesis atzina, ka nosaucis prasītāju par unikālu, tomēr šis vārds netika lietots negatīvā nozīmē. Tiesnesis ar to vēlējies pateikt, ka prasītāja ir drosmīga.</w:t>
      </w:r>
    </w:p>
    <w:p w14:paraId="6E8EFED5" w14:textId="77777777" w:rsidR="009C6A47" w:rsidRDefault="0094741C">
      <w:pPr>
        <w:spacing w:after="0" w:line="360" w:lineRule="auto"/>
        <w:ind w:right="45"/>
        <w:jc w:val="both"/>
        <w:rPr>
          <w:rFonts w:ascii="Times New Roman" w:hAnsi="Times New Roman"/>
          <w:sz w:val="24"/>
          <w:szCs w:val="24"/>
        </w:rPr>
      </w:pPr>
      <w:r>
        <w:rPr>
          <w:rFonts w:ascii="Times New Roman" w:hAnsi="Times New Roman"/>
          <w:sz w:val="24"/>
          <w:szCs w:val="24"/>
        </w:rPr>
        <w:tab/>
        <w:t>Attiecībā uz tieneša tiesas sēdē atbildētājai sniegto informāciju par diviem citiem tiesas procesiem, kuros ir piedalījusies prasītāja un kas netika norādīti iepriekš pušu sniegtajos paskaidrojumos, tiesnesis paskaidroja, ka tiesai ir jānodibina patiesība, tāpēc, ja kādi apstākļi ir zināmi pašam tiesnesim, tie viņam jādara zināmi arī pusēm.</w:t>
      </w:r>
    </w:p>
    <w:p w14:paraId="7ED318DA" w14:textId="77777777" w:rsidR="009C6A47" w:rsidRDefault="0094741C">
      <w:pPr>
        <w:spacing w:after="0" w:line="360" w:lineRule="auto"/>
        <w:ind w:right="45"/>
        <w:jc w:val="both"/>
        <w:rPr>
          <w:rFonts w:ascii="Times New Roman" w:hAnsi="Times New Roman"/>
          <w:sz w:val="24"/>
          <w:szCs w:val="24"/>
        </w:rPr>
      </w:pPr>
      <w:r>
        <w:rPr>
          <w:rFonts w:ascii="Times New Roman" w:hAnsi="Times New Roman"/>
          <w:sz w:val="24"/>
          <w:szCs w:val="24"/>
        </w:rPr>
        <w:lastRenderedPageBreak/>
        <w:tab/>
        <w:t>Tiesnesis pauda pārliecību, ka tiesnesim lieta jāiztiesā audzinošā garā, ir tiesnesim procesa vadīšanā iestrādājusies kārtība, kas pastāvēja agrāk un bija nostiprināta likumā.</w:t>
      </w:r>
    </w:p>
    <w:p w14:paraId="036D5D8F" w14:textId="77777777" w:rsidR="009C6A47" w:rsidRDefault="009C6A47">
      <w:pPr>
        <w:spacing w:after="0" w:line="360" w:lineRule="auto"/>
        <w:ind w:right="45"/>
        <w:jc w:val="both"/>
        <w:rPr>
          <w:rFonts w:ascii="Times New Roman" w:hAnsi="Times New Roman"/>
          <w:sz w:val="24"/>
          <w:szCs w:val="24"/>
        </w:rPr>
      </w:pPr>
    </w:p>
    <w:p w14:paraId="15AADBE4" w14:textId="77777777" w:rsidR="009C6A47" w:rsidRDefault="0094741C">
      <w:pPr>
        <w:spacing w:after="0" w:line="360" w:lineRule="auto"/>
        <w:ind w:right="45"/>
        <w:jc w:val="both"/>
      </w:pPr>
      <w:r>
        <w:rPr>
          <w:rFonts w:ascii="Times New Roman" w:hAnsi="Times New Roman"/>
          <w:sz w:val="24"/>
          <w:szCs w:val="24"/>
        </w:rPr>
        <w:tab/>
        <w:t>[3] Saskaņā ar likuma “Par tiesu varu” 91.</w:t>
      </w:r>
      <w:r>
        <w:rPr>
          <w:rFonts w:ascii="Times New Roman" w:hAnsi="Times New Roman"/>
          <w:sz w:val="24"/>
          <w:szCs w:val="24"/>
          <w:vertAlign w:val="superscript"/>
        </w:rPr>
        <w:t>2</w:t>
      </w:r>
      <w:r>
        <w:rPr>
          <w:rFonts w:ascii="Times New Roman" w:hAnsi="Times New Roman"/>
          <w:sz w:val="24"/>
          <w:szCs w:val="24"/>
        </w:rPr>
        <w:t>panta 1.punktu Tiesnešu ētikas komisija pēc tās personas pieprasījuma, kurai ir tiesības ierosināt disciplinārlietu, sniedz atzinumu par ētikas normu interpretāciju un pārkāpumiem.</w:t>
      </w:r>
    </w:p>
    <w:p w14:paraId="56C2825C" w14:textId="77777777" w:rsidR="009C6A47" w:rsidRDefault="0094741C">
      <w:pPr>
        <w:spacing w:after="0" w:line="360" w:lineRule="auto"/>
        <w:ind w:right="45"/>
        <w:jc w:val="both"/>
        <w:rPr>
          <w:rFonts w:ascii="Times New Roman" w:hAnsi="Times New Roman"/>
          <w:sz w:val="24"/>
          <w:szCs w:val="24"/>
        </w:rPr>
      </w:pPr>
      <w:r>
        <w:rPr>
          <w:rFonts w:ascii="Times New Roman" w:hAnsi="Times New Roman"/>
          <w:sz w:val="24"/>
          <w:szCs w:val="24"/>
        </w:rPr>
        <w:tab/>
        <w:t>Līdz ar to komisija izvērtē, vai tiesneša rīcībā ir konstatējams ētikas normu pārkāpums.</w:t>
      </w:r>
    </w:p>
    <w:p w14:paraId="7F0FD6AA" w14:textId="77777777" w:rsidR="009C6A47" w:rsidRDefault="009C6A47">
      <w:pPr>
        <w:spacing w:after="0" w:line="360" w:lineRule="auto"/>
        <w:ind w:right="45"/>
        <w:jc w:val="both"/>
        <w:rPr>
          <w:rFonts w:ascii="Times New Roman" w:hAnsi="Times New Roman"/>
          <w:sz w:val="24"/>
          <w:szCs w:val="24"/>
        </w:rPr>
      </w:pPr>
    </w:p>
    <w:p w14:paraId="1DAB3065" w14:textId="77777777" w:rsidR="009C6A47" w:rsidRDefault="0094741C">
      <w:pPr>
        <w:spacing w:after="0" w:line="360" w:lineRule="auto"/>
        <w:ind w:right="45"/>
        <w:jc w:val="both"/>
        <w:rPr>
          <w:rFonts w:ascii="Times New Roman" w:hAnsi="Times New Roman"/>
          <w:sz w:val="24"/>
          <w:szCs w:val="24"/>
        </w:rPr>
      </w:pPr>
      <w:r>
        <w:rPr>
          <w:rFonts w:ascii="Times New Roman" w:hAnsi="Times New Roman"/>
          <w:sz w:val="24"/>
          <w:szCs w:val="24"/>
        </w:rPr>
        <w:tab/>
        <w:t>[4] Tiesneša uzvedības tiesas zālē un attieksmes pret procesa dalībniekiem standarti izriet no vairākām Latvijas tiesnešu ētikas kodeksa (turpmāk – kodekss) normām.</w:t>
      </w:r>
    </w:p>
    <w:p w14:paraId="4B6C5740" w14:textId="77777777" w:rsidR="009C6A47" w:rsidRDefault="0094741C">
      <w:pPr>
        <w:spacing w:after="0" w:line="360" w:lineRule="auto"/>
        <w:ind w:right="45"/>
        <w:jc w:val="both"/>
        <w:rPr>
          <w:rFonts w:ascii="Times New Roman" w:hAnsi="Times New Roman"/>
          <w:sz w:val="24"/>
          <w:szCs w:val="24"/>
        </w:rPr>
      </w:pPr>
      <w:r>
        <w:rPr>
          <w:rFonts w:ascii="Times New Roman" w:hAnsi="Times New Roman"/>
          <w:sz w:val="24"/>
          <w:szCs w:val="24"/>
        </w:rPr>
        <w:tab/>
        <w:t>Saskaņā ar kodeksa 1.kanona 2.punktu tiesneša rīcībai ir jāsaskan ar Satversmi un Likumu un jābūt godprātīgai.</w:t>
      </w:r>
    </w:p>
    <w:p w14:paraId="165C13CF" w14:textId="77777777" w:rsidR="009C6A47" w:rsidRDefault="0094741C">
      <w:pPr>
        <w:spacing w:after="0" w:line="360" w:lineRule="auto"/>
        <w:ind w:right="45"/>
        <w:jc w:val="both"/>
        <w:rPr>
          <w:rFonts w:ascii="Times New Roman" w:hAnsi="Times New Roman"/>
          <w:sz w:val="24"/>
          <w:szCs w:val="24"/>
        </w:rPr>
      </w:pPr>
      <w:r>
        <w:rPr>
          <w:rFonts w:ascii="Times New Roman" w:hAnsi="Times New Roman"/>
          <w:sz w:val="24"/>
          <w:szCs w:val="24"/>
        </w:rPr>
        <w:tab/>
        <w:t>Kodeksa 2.kanona 3.punkts noteic, ka tiesnesis darbojas tā, lai veicinātu sabiedrības uzticību tiesas godīgumam un objektivitātei.</w:t>
      </w:r>
    </w:p>
    <w:p w14:paraId="6570B2B4" w14:textId="77777777" w:rsidR="009C6A47" w:rsidRDefault="0094741C">
      <w:pPr>
        <w:spacing w:after="0" w:line="360" w:lineRule="auto"/>
        <w:ind w:right="45"/>
        <w:jc w:val="both"/>
        <w:rPr>
          <w:rFonts w:ascii="Times New Roman" w:hAnsi="Times New Roman"/>
          <w:sz w:val="24"/>
          <w:szCs w:val="24"/>
        </w:rPr>
      </w:pPr>
      <w:r>
        <w:rPr>
          <w:rFonts w:ascii="Times New Roman" w:hAnsi="Times New Roman"/>
          <w:sz w:val="24"/>
          <w:szCs w:val="24"/>
        </w:rPr>
        <w:tab/>
        <w:t>Atbilstoši kodeksa 3.kanona 8.punktam tiesnesis izvairās no vārdiem un runas, žestiem vai citas darbības, ko varētu uzņemt kā neobjektivitāti vai aizspriedumu izpausmi, un 16.punktam – tiesnesis izvairās no prioritāšu izrādīšanas tiesas procesā.</w:t>
      </w:r>
    </w:p>
    <w:p w14:paraId="2F84A0AC" w14:textId="77777777" w:rsidR="009C6A47" w:rsidRDefault="0094741C">
      <w:pPr>
        <w:spacing w:after="0" w:line="360" w:lineRule="auto"/>
        <w:ind w:right="45"/>
        <w:jc w:val="both"/>
        <w:rPr>
          <w:rFonts w:ascii="Times New Roman" w:hAnsi="Times New Roman"/>
          <w:sz w:val="24"/>
          <w:szCs w:val="24"/>
        </w:rPr>
      </w:pPr>
      <w:r>
        <w:rPr>
          <w:rFonts w:ascii="Times New Roman" w:hAnsi="Times New Roman"/>
          <w:sz w:val="24"/>
          <w:szCs w:val="24"/>
        </w:rPr>
        <w:tab/>
        <w:t xml:space="preserve">Apkopojot norādīto, secināms, ka tiesneša ētikas standarts prasa no tiesneša tādu rīcību tiesas zālē, kas lietas dalībniekam rada paļāvību tiesas godīgumam, objektivitātei un neitralitātei attiecībā pret lietas dalībniekiem. </w:t>
      </w:r>
    </w:p>
    <w:p w14:paraId="0E14B4F0" w14:textId="77777777" w:rsidR="009C6A47" w:rsidRDefault="009C6A47">
      <w:pPr>
        <w:spacing w:after="0" w:line="360" w:lineRule="auto"/>
        <w:ind w:right="45"/>
        <w:jc w:val="both"/>
        <w:rPr>
          <w:rFonts w:ascii="Times New Roman" w:hAnsi="Times New Roman"/>
          <w:sz w:val="24"/>
          <w:szCs w:val="24"/>
        </w:rPr>
      </w:pPr>
    </w:p>
    <w:p w14:paraId="4B6E157B" w14:textId="1B7117C5" w:rsidR="009C6A47" w:rsidRDefault="0094741C">
      <w:pPr>
        <w:spacing w:after="0" w:line="360" w:lineRule="auto"/>
        <w:ind w:right="45"/>
        <w:jc w:val="both"/>
        <w:rPr>
          <w:rFonts w:ascii="Times New Roman" w:hAnsi="Times New Roman"/>
          <w:sz w:val="24"/>
          <w:szCs w:val="24"/>
        </w:rPr>
      </w:pPr>
      <w:r>
        <w:rPr>
          <w:rFonts w:ascii="Times New Roman" w:hAnsi="Times New Roman"/>
          <w:sz w:val="24"/>
          <w:szCs w:val="24"/>
        </w:rPr>
        <w:tab/>
        <w:t>[5] Tiesnešu ētikas komisija, noklausoties tiesas sēdes audio ierakstu un izvērtējot to kopsakarā ar B.M. sūdzībā norādīto, secina, ka tiesneša uzvedība un izturēšanās pret procesa dalībniekiem tiesas sēdē neatbilda iepriekš citētajām kodeksa normām.</w:t>
      </w:r>
    </w:p>
    <w:p w14:paraId="593AF5A9" w14:textId="77777777" w:rsidR="009C6A47" w:rsidRDefault="0094741C">
      <w:pPr>
        <w:spacing w:after="0" w:line="360" w:lineRule="auto"/>
        <w:ind w:right="45"/>
        <w:jc w:val="both"/>
        <w:rPr>
          <w:rFonts w:ascii="Times New Roman" w:hAnsi="Times New Roman"/>
          <w:sz w:val="24"/>
          <w:szCs w:val="24"/>
        </w:rPr>
      </w:pPr>
      <w:r>
        <w:rPr>
          <w:rFonts w:ascii="Times New Roman" w:hAnsi="Times New Roman"/>
          <w:sz w:val="24"/>
          <w:szCs w:val="24"/>
        </w:rPr>
        <w:tab/>
        <w:t xml:space="preserve">Kā tas dzirdams tiesas sēdes ierakstā, tiesnesis, izjautājot lietas dalībniekus, pauž arī savu viedokli par strīdus apstākļiem, piemēram, komentējot atbildētājas valdes locekles vadības stilu, kā arī izsaka savu vērtējumu un pieņēmumus. Turklāt tiesnesis, iztaujājot prasītāju par lietas apstākļiem, izteic personīgu vērtējumu prasītājas rīcībai, nosaucot viņu par “unikālu”. Tiesnesis tiesas sēdes laikā izsaka komentārus, pieņēmumus un izdara secinājumus par lietas apstākļiem. Tiesnesis tiesas sēdē autoritatīvā balss tonī norāda prasītājai, ka viņai kā darbiniecei ir ne vien tiesības, bet arī pienākumi, detalizēti uzskaitot tos. </w:t>
      </w:r>
    </w:p>
    <w:p w14:paraId="45EF3667" w14:textId="77777777" w:rsidR="009C6A47" w:rsidRDefault="0094741C">
      <w:pPr>
        <w:spacing w:after="0" w:line="360" w:lineRule="auto"/>
        <w:ind w:right="45"/>
        <w:jc w:val="both"/>
        <w:rPr>
          <w:rFonts w:ascii="Times New Roman" w:hAnsi="Times New Roman"/>
          <w:sz w:val="24"/>
          <w:szCs w:val="24"/>
        </w:rPr>
      </w:pPr>
      <w:r>
        <w:rPr>
          <w:rFonts w:ascii="Times New Roman" w:hAnsi="Times New Roman"/>
          <w:sz w:val="24"/>
          <w:szCs w:val="24"/>
        </w:rPr>
        <w:tab/>
        <w:t>Ierakstā dzirdams arī tas, ka tiesnesis informē lietas dalībniekus, ka viņam ir zināmas arī citas lietas, kurās prasītāja ir piedalījusies kā pārstāve, nosaucot sēžu laikus. Tiesnesis ētikas komisijas sēdē noliedza B.M. sūdzībā norādīto, ka šīs lietas bija paņēmis līdzi uz tiesas sēdi.</w:t>
      </w:r>
    </w:p>
    <w:p w14:paraId="0506D760" w14:textId="77777777" w:rsidR="009C6A47" w:rsidRDefault="0094741C">
      <w:pPr>
        <w:spacing w:after="0" w:line="360" w:lineRule="auto"/>
        <w:ind w:right="45"/>
        <w:jc w:val="both"/>
        <w:rPr>
          <w:rFonts w:ascii="Times New Roman" w:hAnsi="Times New Roman"/>
          <w:sz w:val="24"/>
          <w:szCs w:val="24"/>
        </w:rPr>
      </w:pPr>
      <w:r>
        <w:rPr>
          <w:rFonts w:ascii="Times New Roman" w:hAnsi="Times New Roman"/>
          <w:sz w:val="24"/>
          <w:szCs w:val="24"/>
        </w:rPr>
        <w:lastRenderedPageBreak/>
        <w:tab/>
        <w:t>Attiecībā uz Tieslietu ministrijas vēstulē norādīto, ka tiesnesis sēdē atbildētājas pārstāvei norāda uz valdes locekles kā liecinieces izsaukšanas nepieciešamību, Tiesnešu ētikas komisija ierakstā nesaklausa Tieslietu ministrijas vēstulē norādīto, jo no ieraksta dzirdams, ka ierosinājums izsaukt uz tiesas sēdi liecināt valdes locekli sākotnēji izteica atbildētājas pārstāve, nevis tiesnesis.</w:t>
      </w:r>
    </w:p>
    <w:p w14:paraId="72813C10" w14:textId="77777777" w:rsidR="009C6A47" w:rsidRDefault="009C6A47">
      <w:pPr>
        <w:spacing w:after="0" w:line="360" w:lineRule="auto"/>
        <w:ind w:right="45"/>
        <w:jc w:val="both"/>
        <w:rPr>
          <w:rFonts w:ascii="Times New Roman" w:hAnsi="Times New Roman"/>
          <w:sz w:val="24"/>
          <w:szCs w:val="24"/>
        </w:rPr>
      </w:pPr>
    </w:p>
    <w:p w14:paraId="62EA28DF" w14:textId="77777777" w:rsidR="009C6A47" w:rsidRDefault="0094741C">
      <w:pPr>
        <w:spacing w:after="0" w:line="360" w:lineRule="auto"/>
        <w:ind w:right="45"/>
        <w:jc w:val="both"/>
      </w:pPr>
      <w:r>
        <w:rPr>
          <w:rFonts w:ascii="Times New Roman" w:hAnsi="Times New Roman"/>
          <w:sz w:val="24"/>
          <w:szCs w:val="24"/>
        </w:rPr>
        <w:tab/>
        <w:t>[6] Tiesneša uzvedībai attiecībā pret visiem procesa dalībniekiem jābūt tādai, lai saprātīga, bez aizspriedumiem un informēta sabiedrības locekļa vērtējumā tā nevarētu likt apšaubīt tiesneša godprātību un objektivitāti (</w:t>
      </w:r>
      <w:r>
        <w:rPr>
          <w:rFonts w:ascii="Times New Roman" w:hAnsi="Times New Roman"/>
          <w:i/>
          <w:sz w:val="24"/>
          <w:szCs w:val="24"/>
        </w:rPr>
        <w:t>skat. Tiesnešu ētikas komisijas 2019.gada 13.decembra atzinuma 6.3.punktu</w:t>
      </w:r>
      <w:r>
        <w:rPr>
          <w:rFonts w:ascii="Times New Roman" w:hAnsi="Times New Roman"/>
          <w:sz w:val="24"/>
          <w:szCs w:val="24"/>
        </w:rPr>
        <w:t xml:space="preserve">). </w:t>
      </w:r>
    </w:p>
    <w:p w14:paraId="4C2EE4FA" w14:textId="77777777" w:rsidR="009C6A47" w:rsidRDefault="0094741C">
      <w:pPr>
        <w:spacing w:after="0" w:line="360" w:lineRule="auto"/>
        <w:ind w:right="45"/>
        <w:jc w:val="both"/>
      </w:pPr>
      <w:r>
        <w:rPr>
          <w:rFonts w:ascii="Times New Roman" w:hAnsi="Times New Roman"/>
          <w:sz w:val="24"/>
          <w:szCs w:val="24"/>
        </w:rPr>
        <w:tab/>
        <w:t>Jau iepriekš Tiesnešu ētikas komisija ir norādījusi, ka tiesneša saruna tiesas sēdes laikā ar procesa dalībniekiem var būt atvērta un tāda, kas vērsta uz lietā būtisko apstākļu noskaidrošanu (</w:t>
      </w:r>
      <w:r>
        <w:rPr>
          <w:rFonts w:ascii="Times New Roman" w:hAnsi="Times New Roman"/>
          <w:i/>
          <w:sz w:val="24"/>
          <w:szCs w:val="24"/>
        </w:rPr>
        <w:t>skat. Tiesnešu ētikas komisijas 2018.gada 13.jūlija atzinuma 9.punktu</w:t>
      </w:r>
      <w:r>
        <w:rPr>
          <w:rFonts w:ascii="Times New Roman" w:hAnsi="Times New Roman"/>
          <w:sz w:val="24"/>
          <w:szCs w:val="24"/>
        </w:rPr>
        <w:t xml:space="preserve">). Vienlaikus tiesnesim ir nepieciešams saglabāt neitralitāti, lai tiesneša izteikumi tiesas sēdē kādai no pusēm nevarētu radīt iespaidu par tiesneša neobjektivitāti, nostājoties kādā no strīdus pusēm. </w:t>
      </w:r>
    </w:p>
    <w:p w14:paraId="3E132F3A" w14:textId="77777777" w:rsidR="009C6A47" w:rsidRDefault="0094741C">
      <w:pPr>
        <w:spacing w:after="0" w:line="360" w:lineRule="auto"/>
        <w:ind w:right="45" w:firstLine="720"/>
        <w:jc w:val="both"/>
        <w:rPr>
          <w:rFonts w:ascii="Times New Roman" w:hAnsi="Times New Roman"/>
          <w:sz w:val="24"/>
          <w:szCs w:val="24"/>
        </w:rPr>
      </w:pPr>
      <w:r>
        <w:rPr>
          <w:rFonts w:ascii="Times New Roman" w:hAnsi="Times New Roman"/>
          <w:sz w:val="24"/>
          <w:szCs w:val="24"/>
        </w:rPr>
        <w:t>Tiesnešu ētikas komisija atzīst, ka tiesas sēdes vadīšanas stils un komunikācija ar pusēm katram tiesnesim var būt atšķirīga. Tomēr tiesneša izteikumiem, uzdotajiem jautājumiem un sarunai tiesas sēdes laikā ar pusēm ir jābūt virzītai uz būtisko lietas apstākļu noskaidrošanu, kas tiesnesim ir nepieciešams nolēmuma taisīšanai. Arī vedinot puses samierināties, tiesnesim vajadzētu atturēties no tādas kritikas izteikšanas kādai no strīdus pusēm, kura tai var radīt šaubas par tiesneša neitralitāti. Tiesnešu ētikas normas nepieļauj situāciju, ka tiesnesis tiesas sēdē izsaka personisku viedokli par lietas dalībnieka rīcību.</w:t>
      </w:r>
    </w:p>
    <w:p w14:paraId="010786D6" w14:textId="77777777" w:rsidR="009C6A47" w:rsidRDefault="0094741C">
      <w:pPr>
        <w:spacing w:after="0" w:line="360" w:lineRule="auto"/>
        <w:ind w:right="45" w:firstLine="720"/>
        <w:jc w:val="both"/>
      </w:pPr>
      <w:r>
        <w:rPr>
          <w:rFonts w:ascii="Times New Roman" w:hAnsi="Times New Roman"/>
          <w:sz w:val="24"/>
          <w:szCs w:val="24"/>
        </w:rPr>
        <w:t xml:space="preserve">Tiesnešu ētikas komisija iepriekš ir skaidrojusi, ka taisnīgs tiesas process nozīmē </w:t>
      </w:r>
      <w:proofErr w:type="spellStart"/>
      <w:r>
        <w:rPr>
          <w:rFonts w:ascii="Times New Roman" w:hAnsi="Times New Roman"/>
          <w:sz w:val="24"/>
          <w:szCs w:val="24"/>
        </w:rPr>
        <w:t>cieņpilnu</w:t>
      </w:r>
      <w:proofErr w:type="spellEnd"/>
      <w:r>
        <w:rPr>
          <w:rFonts w:ascii="Times New Roman" w:hAnsi="Times New Roman"/>
          <w:sz w:val="24"/>
          <w:szCs w:val="24"/>
        </w:rPr>
        <w:t xml:space="preserve"> attieksmi pret personu, kura atrodas tiesas zālē. Profesionāls tienesis ne tikai pārzina piemērojamās tiesību normas, bet arī nodrošina, ka cilvēks tiesā nejūtas pazemots. Ja cilvēkam tomēr šādas sajūtas rodas, tas neizbēgami viņā rada secinājumu par neobjektīvu un netaisnīgu tiesu, kā arī tiesu, kura ļaunprātīgi izmanto tai piemītošo varu (</w:t>
      </w:r>
      <w:r>
        <w:rPr>
          <w:rFonts w:ascii="Times New Roman" w:hAnsi="Times New Roman"/>
          <w:i/>
          <w:sz w:val="24"/>
          <w:szCs w:val="24"/>
        </w:rPr>
        <w:t>skat. Tiesnešu ētikas komisijas 2016.gada 26.februāra skaidrojuma 3.punktu</w:t>
      </w:r>
      <w:r>
        <w:rPr>
          <w:rFonts w:ascii="Times New Roman" w:hAnsi="Times New Roman"/>
          <w:sz w:val="24"/>
          <w:szCs w:val="24"/>
        </w:rPr>
        <w:t>).</w:t>
      </w:r>
    </w:p>
    <w:p w14:paraId="18CC6D27" w14:textId="77777777" w:rsidR="009C6A47" w:rsidRDefault="0094741C">
      <w:pPr>
        <w:spacing w:after="0" w:line="360" w:lineRule="auto"/>
        <w:ind w:right="45" w:firstLine="720"/>
        <w:jc w:val="both"/>
        <w:rPr>
          <w:rFonts w:ascii="Times New Roman" w:hAnsi="Times New Roman"/>
          <w:sz w:val="24"/>
          <w:szCs w:val="24"/>
        </w:rPr>
      </w:pPr>
      <w:r>
        <w:rPr>
          <w:rFonts w:ascii="Times New Roman" w:hAnsi="Times New Roman"/>
          <w:sz w:val="24"/>
          <w:szCs w:val="24"/>
        </w:rPr>
        <w:t>Noklausoties tiesas sēdes ierakstu, secināms, ka tiesnesis, vadot tiesas sēdi, attiecībā pret prasītāju nav rīkojies atbilstoši tiesnešu ētikas normas prasībām un tās ir pārkāpis. Veids, kādā tiesnesis lietā sarunājās ar lietas dalībniekiem, tiesneša lietotie izteicieni un salīdzinājumi rada iespaidu par tiesneša aizspriedumainu attieksmi pret vienu no strīda pusēm. Šāda aizspriedumaina attieksme var radīt aizdomas par tiesneša neobjektivitāti, veicot tiesu varas uzliktos pienākumus.</w:t>
      </w:r>
    </w:p>
    <w:p w14:paraId="7584277D" w14:textId="77777777" w:rsidR="009C6A47" w:rsidRDefault="0094741C">
      <w:pPr>
        <w:spacing w:after="0" w:line="360" w:lineRule="auto"/>
        <w:ind w:right="45"/>
        <w:jc w:val="both"/>
      </w:pPr>
      <w:r>
        <w:rPr>
          <w:rFonts w:ascii="Times New Roman" w:hAnsi="Times New Roman"/>
          <w:sz w:val="24"/>
          <w:szCs w:val="24"/>
        </w:rPr>
        <w:tab/>
        <w:t>Turklāt ir būtiski atcerēties, ka tiesnesim ar likumu noteiktā kompetence, īstenojot tiesu varu, nekādā veidā nepieļauj raudzīties uz lietas dalībniekiem no varas pozīcijām (</w:t>
      </w:r>
      <w:r>
        <w:rPr>
          <w:rFonts w:ascii="Times New Roman" w:hAnsi="Times New Roman"/>
          <w:i/>
          <w:sz w:val="24"/>
          <w:szCs w:val="24"/>
        </w:rPr>
        <w:t>salīdz. skat.</w:t>
      </w:r>
      <w:r>
        <w:rPr>
          <w:rFonts w:ascii="Times New Roman" w:hAnsi="Times New Roman"/>
          <w:sz w:val="24"/>
          <w:szCs w:val="24"/>
        </w:rPr>
        <w:t xml:space="preserve"> </w:t>
      </w:r>
      <w:r>
        <w:rPr>
          <w:rFonts w:ascii="Times New Roman" w:hAnsi="Times New Roman"/>
          <w:i/>
          <w:sz w:val="24"/>
          <w:szCs w:val="24"/>
        </w:rPr>
        <w:lastRenderedPageBreak/>
        <w:t>Tiesnešu ētikas komisijas 2016.gada 26.februāra skaidrojuma 2.punktu</w:t>
      </w:r>
      <w:r>
        <w:rPr>
          <w:rFonts w:ascii="Times New Roman" w:hAnsi="Times New Roman"/>
          <w:sz w:val="24"/>
          <w:szCs w:val="24"/>
        </w:rPr>
        <w:t xml:space="preserve">), ar to saprotot arī to, ka nav atbalstāma tiesneša veikta lietas dalībnieka “audzināšana” .  </w:t>
      </w:r>
    </w:p>
    <w:p w14:paraId="69EBE633" w14:textId="77777777" w:rsidR="009C6A47" w:rsidRDefault="0094741C">
      <w:pPr>
        <w:spacing w:after="0" w:line="360" w:lineRule="auto"/>
        <w:ind w:right="45" w:firstLine="720"/>
        <w:jc w:val="both"/>
      </w:pPr>
      <w:r>
        <w:rPr>
          <w:rFonts w:ascii="Times New Roman" w:hAnsi="Times New Roman"/>
          <w:sz w:val="24"/>
          <w:szCs w:val="24"/>
        </w:rPr>
        <w:t>Tiesnešu ētikas komisija vairākkārt ir atzinusi, ka prasības pieteikuma juridiskais vērtējums tiesnesim ir jāsniedz nolēmumā, izvērtējot pušu paskaidrojumus, iesniegtos pierādījumus un pieteikuma pamatotību (</w:t>
      </w:r>
      <w:r>
        <w:rPr>
          <w:rFonts w:ascii="Times New Roman" w:hAnsi="Times New Roman"/>
          <w:i/>
          <w:sz w:val="24"/>
          <w:szCs w:val="24"/>
        </w:rPr>
        <w:t>piemēram</w:t>
      </w:r>
      <w:r>
        <w:rPr>
          <w:rFonts w:ascii="Times New Roman" w:hAnsi="Times New Roman"/>
          <w:sz w:val="24"/>
          <w:szCs w:val="24"/>
        </w:rPr>
        <w:t xml:space="preserve">, </w:t>
      </w:r>
      <w:r>
        <w:rPr>
          <w:rFonts w:ascii="Times New Roman" w:hAnsi="Times New Roman"/>
          <w:i/>
          <w:sz w:val="24"/>
          <w:szCs w:val="24"/>
        </w:rPr>
        <w:t>skat</w:t>
      </w:r>
      <w:r>
        <w:rPr>
          <w:rFonts w:ascii="Times New Roman" w:hAnsi="Times New Roman"/>
          <w:sz w:val="24"/>
          <w:szCs w:val="24"/>
        </w:rPr>
        <w:t>.</w:t>
      </w:r>
      <w:r>
        <w:rPr>
          <w:rFonts w:ascii="Times New Roman" w:hAnsi="Times New Roman"/>
          <w:i/>
          <w:sz w:val="24"/>
          <w:szCs w:val="24"/>
        </w:rPr>
        <w:t xml:space="preserve"> Tiesnešu ētikas komisijas 2018.gada 13.jūlija atzinuma 9.punktu</w:t>
      </w:r>
      <w:r>
        <w:rPr>
          <w:rFonts w:ascii="Times New Roman" w:hAnsi="Times New Roman"/>
          <w:sz w:val="24"/>
          <w:szCs w:val="24"/>
        </w:rPr>
        <w:t xml:space="preserve">). </w:t>
      </w:r>
    </w:p>
    <w:p w14:paraId="19EB1775" w14:textId="77777777" w:rsidR="009C6A47" w:rsidRDefault="0094741C">
      <w:pPr>
        <w:spacing w:after="0" w:line="360" w:lineRule="auto"/>
        <w:ind w:right="45"/>
        <w:jc w:val="both"/>
      </w:pPr>
      <w:r>
        <w:rPr>
          <w:rFonts w:ascii="Times New Roman" w:hAnsi="Times New Roman"/>
          <w:sz w:val="24"/>
          <w:szCs w:val="24"/>
        </w:rPr>
        <w:tab/>
        <w:t>Citiem vārdiem sakot, tiesneša dialogs ar pusēm, sniedzot atbildes uz pušu argumentiem, tiesneša redzējums par lietas apstākļiem, secinājumi par tiem un juridiskais novērtējums tiek atspoguļots tiesas nolēmumā. Ārpus tiesas nolēmuma tas var radīt šaubas par tieneša neitralitāti.</w:t>
      </w:r>
    </w:p>
    <w:p w14:paraId="6AEFB0AE" w14:textId="77777777" w:rsidR="009C6A47" w:rsidRDefault="0094741C">
      <w:pPr>
        <w:spacing w:after="0" w:line="360" w:lineRule="auto"/>
        <w:ind w:right="45"/>
        <w:jc w:val="both"/>
      </w:pPr>
      <w:r>
        <w:rPr>
          <w:rFonts w:ascii="Times New Roman" w:hAnsi="Times New Roman"/>
          <w:sz w:val="24"/>
          <w:szCs w:val="24"/>
        </w:rPr>
        <w:tab/>
        <w:t>Nevar nepiekrist tiesneša apgalvojumam par tiesneša aktīvo lomu patiesības noskaidrošanā lietā. Tiesnesim nav aizliegts izteikt viedokli arī par lietā piemērojamām tiesību normām un faktiem (</w:t>
      </w:r>
      <w:r>
        <w:rPr>
          <w:rFonts w:ascii="Times New Roman" w:hAnsi="Times New Roman"/>
          <w:i/>
          <w:sz w:val="24"/>
          <w:szCs w:val="24"/>
        </w:rPr>
        <w:t>skat. Tiesnešu ētikas komisijas 2017.gada 28.februāra atzinuma 8.punktu</w:t>
      </w:r>
      <w:r>
        <w:rPr>
          <w:rFonts w:ascii="Times New Roman" w:hAnsi="Times New Roman"/>
          <w:sz w:val="24"/>
          <w:szCs w:val="24"/>
        </w:rPr>
        <w:t xml:space="preserve">). Vienlaikus tiesneša teiktajam ir jābūt tik neitrālam, lai lietas dalībniekiem nerastos šaubas, ka kāda no strīdus pusēm atrodas prioritārākā situācijā vai arī tiesa ir izdarījusi secinājumus par lietas apstākļiem, nemaz neuzklausot puses. </w:t>
      </w:r>
    </w:p>
    <w:p w14:paraId="0859E080" w14:textId="77777777" w:rsidR="009C6A47" w:rsidRDefault="0094741C">
      <w:pPr>
        <w:spacing w:after="0" w:line="360" w:lineRule="auto"/>
        <w:ind w:right="45"/>
        <w:jc w:val="both"/>
        <w:rPr>
          <w:rFonts w:ascii="Times New Roman" w:hAnsi="Times New Roman"/>
          <w:sz w:val="24"/>
          <w:szCs w:val="24"/>
        </w:rPr>
      </w:pPr>
      <w:r>
        <w:rPr>
          <w:rFonts w:ascii="Times New Roman" w:hAnsi="Times New Roman"/>
          <w:sz w:val="24"/>
          <w:szCs w:val="24"/>
        </w:rPr>
        <w:tab/>
        <w:t xml:space="preserve">Par tiesneša neitrālu attieksmi pret lietas dalībniekiem neliecina viņa iesaistīšanās pierādījumu vākšanā, norādot kādai no pusēm uz tādiem apstākļiem, kas tiesnesim tapuši zināmi ārpus skatāmās lietas. </w:t>
      </w:r>
    </w:p>
    <w:p w14:paraId="7B064784" w14:textId="77777777" w:rsidR="009C6A47" w:rsidRDefault="0094741C">
      <w:pPr>
        <w:spacing w:after="0" w:line="360" w:lineRule="auto"/>
        <w:ind w:right="45"/>
        <w:jc w:val="both"/>
        <w:rPr>
          <w:rFonts w:ascii="Times New Roman" w:hAnsi="Times New Roman"/>
          <w:sz w:val="24"/>
          <w:szCs w:val="24"/>
        </w:rPr>
      </w:pPr>
      <w:r>
        <w:rPr>
          <w:rFonts w:ascii="Times New Roman" w:hAnsi="Times New Roman"/>
          <w:sz w:val="24"/>
          <w:szCs w:val="24"/>
        </w:rPr>
        <w:tab/>
        <w:t>Nenoliedzami likuma “Par tiesu varu” 17.panta pirmajā daļā ir nostiprināts tiesas pienākums, izskatot jebkuru lietu, noskaidrot objektīvo patiesību. Tomēr šis virsuzdevums nav veicams, apejot citus lietas izskatīšanas pamatprincipus kā, piemēram, sacīkstes principu, kas darbojas civilprocesā. Līdz ar to konkrētajos apstākļos secināms, ka tiesnesis ir pārkāpis tiesneša ētikas normu, kas liedz tiesnesim veikt tādas darbības, kas varētu liecināt, ka kāda no strīda pusēm atrodas prioritārākā stāvoklī.</w:t>
      </w:r>
    </w:p>
    <w:p w14:paraId="3AF29BEC" w14:textId="77777777" w:rsidR="009C6A47" w:rsidRDefault="009C6A47">
      <w:pPr>
        <w:spacing w:after="0" w:line="360" w:lineRule="auto"/>
        <w:ind w:right="45"/>
        <w:jc w:val="both"/>
        <w:rPr>
          <w:rFonts w:ascii="Times New Roman" w:hAnsi="Times New Roman"/>
          <w:sz w:val="24"/>
          <w:szCs w:val="24"/>
        </w:rPr>
      </w:pPr>
    </w:p>
    <w:p w14:paraId="08548813" w14:textId="77777777" w:rsidR="009C6A47" w:rsidRDefault="0094741C">
      <w:pPr>
        <w:spacing w:after="0" w:line="360" w:lineRule="auto"/>
        <w:ind w:right="45"/>
        <w:jc w:val="both"/>
      </w:pPr>
      <w:r>
        <w:rPr>
          <w:rFonts w:ascii="Times New Roman" w:hAnsi="Times New Roman"/>
          <w:sz w:val="24"/>
          <w:szCs w:val="24"/>
        </w:rPr>
        <w:tab/>
        <w:t>[7] Tiesnešu ētikas komisija atzīst, ka tiesnesis tiesas sēdē nav ievērojis kodeksa 1.kanona 2.punktu, 2.kanona 3.punktu, 3.kanona 8. un 16.punktu, kā arī nav ņēmis vērā Tiesnešu ētikas komisijas iepriekšējos atzinumos un skaidrojumos norādīto, tai skaitā to, ka pēc jebkuras tiesneša rīcības sabiedrība vērtē arī viņa spējas izskatīt lietu taisnīgi, neatkarīgi un objektīvi (</w:t>
      </w:r>
      <w:r>
        <w:rPr>
          <w:rFonts w:ascii="Times New Roman" w:hAnsi="Times New Roman"/>
          <w:i/>
          <w:sz w:val="24"/>
          <w:szCs w:val="24"/>
        </w:rPr>
        <w:t>skat. Tiesnešu ētikas komisijas 2015.gada 16.oktobra skaidrojuma 3.punktu</w:t>
      </w:r>
      <w:r>
        <w:rPr>
          <w:rFonts w:ascii="Times New Roman" w:hAnsi="Times New Roman"/>
          <w:sz w:val="24"/>
          <w:szCs w:val="24"/>
        </w:rPr>
        <w:t xml:space="preserve">). </w:t>
      </w:r>
    </w:p>
    <w:p w14:paraId="2DF5047D" w14:textId="77777777" w:rsidR="009C6A47" w:rsidRDefault="0094741C">
      <w:pPr>
        <w:spacing w:after="0" w:line="360" w:lineRule="auto"/>
        <w:ind w:right="43"/>
        <w:jc w:val="both"/>
        <w:rPr>
          <w:rFonts w:ascii="Times New Roman" w:hAnsi="Times New Roman"/>
          <w:sz w:val="24"/>
          <w:szCs w:val="24"/>
        </w:rPr>
      </w:pPr>
      <w:r>
        <w:rPr>
          <w:rFonts w:ascii="Times New Roman" w:hAnsi="Times New Roman"/>
          <w:sz w:val="24"/>
          <w:szCs w:val="24"/>
        </w:rPr>
        <w:tab/>
        <w:t>Tiesnešu ētikas komisija uzskata, ka konkrētās lietas apstākļu kontekstā tiesneša ētikas normu pārkāpums nav atzīstams par rupju, līdz ar to disciplinārlietas ierosināšanai nav pamata.</w:t>
      </w:r>
    </w:p>
    <w:p w14:paraId="2BBA031B" w14:textId="77777777" w:rsidR="009C6A47" w:rsidRDefault="009C6A47">
      <w:pPr>
        <w:spacing w:after="0" w:line="360" w:lineRule="auto"/>
        <w:ind w:right="43"/>
        <w:jc w:val="both"/>
        <w:rPr>
          <w:rFonts w:ascii="Times New Roman" w:hAnsi="Times New Roman"/>
          <w:sz w:val="24"/>
          <w:szCs w:val="24"/>
        </w:rPr>
      </w:pPr>
    </w:p>
    <w:p w14:paraId="1A15F887" w14:textId="77777777" w:rsidR="009C6A47" w:rsidRDefault="0094741C">
      <w:pPr>
        <w:spacing w:after="0" w:line="360" w:lineRule="auto"/>
        <w:ind w:right="43"/>
        <w:jc w:val="both"/>
        <w:rPr>
          <w:rFonts w:ascii="Times New Roman" w:hAnsi="Times New Roman"/>
          <w:sz w:val="24"/>
          <w:szCs w:val="24"/>
        </w:rPr>
      </w:pPr>
      <w:r>
        <w:rPr>
          <w:rFonts w:ascii="Times New Roman" w:hAnsi="Times New Roman"/>
          <w:sz w:val="24"/>
          <w:szCs w:val="24"/>
        </w:rPr>
        <w:tab/>
        <w:t xml:space="preserve">Ņemot vērā minēto, Tiesnešu ētikas komisija </w:t>
      </w:r>
    </w:p>
    <w:p w14:paraId="57EC2517" w14:textId="77777777" w:rsidR="009C6A47" w:rsidRDefault="0094741C">
      <w:pPr>
        <w:spacing w:after="0" w:line="360" w:lineRule="auto"/>
        <w:ind w:right="43"/>
        <w:jc w:val="center"/>
      </w:pPr>
      <w:r>
        <w:rPr>
          <w:rFonts w:ascii="Times New Roman" w:hAnsi="Times New Roman"/>
          <w:b/>
          <w:sz w:val="24"/>
          <w:szCs w:val="24"/>
        </w:rPr>
        <w:lastRenderedPageBreak/>
        <w:t>atzīst:</w:t>
      </w:r>
    </w:p>
    <w:p w14:paraId="1957B93A" w14:textId="77777777" w:rsidR="009C6A47" w:rsidRDefault="009C6A47">
      <w:pPr>
        <w:spacing w:after="0" w:line="360" w:lineRule="auto"/>
        <w:ind w:right="43"/>
        <w:jc w:val="center"/>
        <w:rPr>
          <w:rFonts w:ascii="Times New Roman" w:hAnsi="Times New Roman"/>
          <w:b/>
          <w:sz w:val="24"/>
          <w:szCs w:val="24"/>
        </w:rPr>
      </w:pPr>
    </w:p>
    <w:p w14:paraId="55699FB0" w14:textId="77777777" w:rsidR="009C6A47" w:rsidRDefault="0094741C">
      <w:pPr>
        <w:spacing w:after="0" w:line="360" w:lineRule="auto"/>
        <w:ind w:right="43" w:firstLine="720"/>
        <w:jc w:val="both"/>
      </w:pPr>
      <w:r>
        <w:rPr>
          <w:rFonts w:ascii="Times New Roman" w:hAnsi="Times New Roman"/>
          <w:sz w:val="24"/>
          <w:szCs w:val="24"/>
        </w:rPr>
        <w:t>Tiesneša rīcībā ir konstatējams Latvijas tiesnešu ētikas kodeksa 1.kanona 2.punkta, 2.kanona 3.punkta, 3.kanona 8. un 16.punkta pārkāpums.</w:t>
      </w:r>
    </w:p>
    <w:p w14:paraId="502016ED" w14:textId="77777777" w:rsidR="009C6A47" w:rsidRDefault="009C6A47">
      <w:pPr>
        <w:spacing w:after="0" w:line="360" w:lineRule="auto"/>
        <w:ind w:right="43"/>
        <w:jc w:val="both"/>
        <w:rPr>
          <w:rFonts w:ascii="Times New Roman" w:hAnsi="Times New Roman"/>
          <w:sz w:val="24"/>
          <w:szCs w:val="24"/>
        </w:rPr>
      </w:pPr>
    </w:p>
    <w:tbl>
      <w:tblPr>
        <w:tblW w:w="9345" w:type="dxa"/>
        <w:tblCellMar>
          <w:left w:w="10" w:type="dxa"/>
          <w:right w:w="10" w:type="dxa"/>
        </w:tblCellMar>
        <w:tblLook w:val="0000" w:firstRow="0" w:lastRow="0" w:firstColumn="0" w:lastColumn="0" w:noHBand="0" w:noVBand="0"/>
      </w:tblPr>
      <w:tblGrid>
        <w:gridCol w:w="6941"/>
        <w:gridCol w:w="2404"/>
      </w:tblGrid>
      <w:tr w:rsidR="009C6A47" w14:paraId="0F56FA68" w14:textId="77777777">
        <w:tc>
          <w:tcPr>
            <w:tcW w:w="6941" w:type="dxa"/>
            <w:shd w:val="clear" w:color="auto" w:fill="auto"/>
            <w:tcMar>
              <w:top w:w="0" w:type="dxa"/>
              <w:left w:w="108" w:type="dxa"/>
              <w:bottom w:w="0" w:type="dxa"/>
              <w:right w:w="108" w:type="dxa"/>
            </w:tcMar>
          </w:tcPr>
          <w:p w14:paraId="7A1C62D4" w14:textId="77777777" w:rsidR="009C6A47" w:rsidRDefault="0094741C">
            <w:pPr>
              <w:spacing w:after="0" w:line="360" w:lineRule="auto"/>
              <w:ind w:right="43"/>
              <w:jc w:val="both"/>
              <w:rPr>
                <w:rFonts w:ascii="Times New Roman" w:hAnsi="Times New Roman"/>
                <w:sz w:val="24"/>
                <w:szCs w:val="24"/>
              </w:rPr>
            </w:pPr>
            <w:r>
              <w:rPr>
                <w:rFonts w:ascii="Times New Roman" w:hAnsi="Times New Roman"/>
                <w:sz w:val="24"/>
                <w:szCs w:val="24"/>
              </w:rPr>
              <w:t>Komisijas priekšsēdētāja</w:t>
            </w:r>
          </w:p>
        </w:tc>
        <w:tc>
          <w:tcPr>
            <w:tcW w:w="2404" w:type="dxa"/>
            <w:shd w:val="clear" w:color="auto" w:fill="auto"/>
            <w:tcMar>
              <w:top w:w="0" w:type="dxa"/>
              <w:left w:w="108" w:type="dxa"/>
              <w:bottom w:w="0" w:type="dxa"/>
              <w:right w:w="108" w:type="dxa"/>
            </w:tcMar>
          </w:tcPr>
          <w:p w14:paraId="2E084BF6" w14:textId="77777777" w:rsidR="009C6A47" w:rsidRDefault="0094741C">
            <w:pPr>
              <w:spacing w:after="0" w:line="360" w:lineRule="auto"/>
              <w:ind w:right="43"/>
              <w:jc w:val="both"/>
              <w:rPr>
                <w:rFonts w:ascii="Times New Roman" w:hAnsi="Times New Roman"/>
                <w:sz w:val="24"/>
                <w:szCs w:val="24"/>
              </w:rPr>
            </w:pPr>
            <w:r>
              <w:rPr>
                <w:rFonts w:ascii="Times New Roman" w:hAnsi="Times New Roman"/>
                <w:sz w:val="24"/>
                <w:szCs w:val="24"/>
              </w:rPr>
              <w:t>Dace Skrauple</w:t>
            </w:r>
          </w:p>
        </w:tc>
      </w:tr>
      <w:tr w:rsidR="009C6A47" w14:paraId="3599FDFE" w14:textId="77777777">
        <w:tc>
          <w:tcPr>
            <w:tcW w:w="6941" w:type="dxa"/>
            <w:shd w:val="clear" w:color="auto" w:fill="auto"/>
            <w:tcMar>
              <w:top w:w="0" w:type="dxa"/>
              <w:left w:w="108" w:type="dxa"/>
              <w:bottom w:w="0" w:type="dxa"/>
              <w:right w:w="108" w:type="dxa"/>
            </w:tcMar>
          </w:tcPr>
          <w:p w14:paraId="16D119B0" w14:textId="77777777" w:rsidR="009C6A47" w:rsidRDefault="009C6A47">
            <w:pPr>
              <w:spacing w:after="0" w:line="360" w:lineRule="auto"/>
              <w:ind w:right="43"/>
              <w:jc w:val="both"/>
              <w:rPr>
                <w:rFonts w:ascii="Times New Roman" w:hAnsi="Times New Roman"/>
                <w:sz w:val="24"/>
                <w:szCs w:val="24"/>
              </w:rPr>
            </w:pPr>
          </w:p>
        </w:tc>
        <w:tc>
          <w:tcPr>
            <w:tcW w:w="2404" w:type="dxa"/>
            <w:shd w:val="clear" w:color="auto" w:fill="auto"/>
            <w:tcMar>
              <w:top w:w="0" w:type="dxa"/>
              <w:left w:w="108" w:type="dxa"/>
              <w:bottom w:w="0" w:type="dxa"/>
              <w:right w:w="108" w:type="dxa"/>
            </w:tcMar>
          </w:tcPr>
          <w:p w14:paraId="6ED3275D" w14:textId="77777777" w:rsidR="009C6A47" w:rsidRDefault="009C6A47">
            <w:pPr>
              <w:spacing w:after="0" w:line="360" w:lineRule="auto"/>
              <w:ind w:right="43"/>
              <w:jc w:val="both"/>
              <w:rPr>
                <w:rFonts w:ascii="Times New Roman" w:hAnsi="Times New Roman"/>
                <w:sz w:val="24"/>
                <w:szCs w:val="24"/>
              </w:rPr>
            </w:pPr>
          </w:p>
        </w:tc>
      </w:tr>
      <w:tr w:rsidR="009C6A47" w14:paraId="5BCF2771" w14:textId="77777777">
        <w:tc>
          <w:tcPr>
            <w:tcW w:w="6941" w:type="dxa"/>
            <w:vMerge w:val="restart"/>
            <w:shd w:val="clear" w:color="auto" w:fill="auto"/>
            <w:tcMar>
              <w:top w:w="0" w:type="dxa"/>
              <w:left w:w="108" w:type="dxa"/>
              <w:bottom w:w="0" w:type="dxa"/>
              <w:right w:w="108" w:type="dxa"/>
            </w:tcMar>
          </w:tcPr>
          <w:p w14:paraId="6FB1BFA1" w14:textId="77777777" w:rsidR="009C6A47" w:rsidRDefault="0094741C">
            <w:pPr>
              <w:spacing w:after="0" w:line="360" w:lineRule="auto"/>
              <w:ind w:right="43"/>
              <w:jc w:val="both"/>
              <w:rPr>
                <w:rFonts w:ascii="Times New Roman" w:hAnsi="Times New Roman"/>
                <w:sz w:val="24"/>
                <w:szCs w:val="24"/>
              </w:rPr>
            </w:pPr>
            <w:r>
              <w:rPr>
                <w:rFonts w:ascii="Times New Roman" w:hAnsi="Times New Roman"/>
                <w:sz w:val="24"/>
                <w:szCs w:val="24"/>
              </w:rPr>
              <w:t>Komisijas locekļi</w:t>
            </w:r>
          </w:p>
        </w:tc>
        <w:tc>
          <w:tcPr>
            <w:tcW w:w="2404" w:type="dxa"/>
            <w:shd w:val="clear" w:color="auto" w:fill="auto"/>
            <w:tcMar>
              <w:top w:w="0" w:type="dxa"/>
              <w:left w:w="108" w:type="dxa"/>
              <w:bottom w:w="0" w:type="dxa"/>
              <w:right w:w="108" w:type="dxa"/>
            </w:tcMar>
          </w:tcPr>
          <w:p w14:paraId="111172D6" w14:textId="77777777" w:rsidR="009C6A47" w:rsidRDefault="0094741C">
            <w:pPr>
              <w:spacing w:after="0" w:line="360" w:lineRule="auto"/>
              <w:ind w:right="43"/>
              <w:jc w:val="both"/>
              <w:rPr>
                <w:rFonts w:ascii="Times New Roman" w:hAnsi="Times New Roman"/>
                <w:sz w:val="24"/>
                <w:szCs w:val="24"/>
              </w:rPr>
            </w:pPr>
            <w:r>
              <w:rPr>
                <w:rFonts w:ascii="Times New Roman" w:hAnsi="Times New Roman"/>
                <w:sz w:val="24"/>
                <w:szCs w:val="24"/>
              </w:rPr>
              <w:t>Madara Ābele</w:t>
            </w:r>
          </w:p>
          <w:p w14:paraId="656F2C38" w14:textId="77777777" w:rsidR="009C6A47" w:rsidRDefault="009C6A47">
            <w:pPr>
              <w:spacing w:after="0" w:line="360" w:lineRule="auto"/>
              <w:ind w:right="43"/>
              <w:jc w:val="both"/>
              <w:rPr>
                <w:rFonts w:ascii="Times New Roman" w:hAnsi="Times New Roman"/>
                <w:sz w:val="24"/>
                <w:szCs w:val="24"/>
              </w:rPr>
            </w:pPr>
          </w:p>
          <w:p w14:paraId="75004E30" w14:textId="77777777" w:rsidR="009C6A47" w:rsidRDefault="0094741C">
            <w:pPr>
              <w:spacing w:after="0" w:line="360" w:lineRule="auto"/>
              <w:ind w:right="43"/>
              <w:jc w:val="both"/>
              <w:rPr>
                <w:rFonts w:ascii="Times New Roman" w:hAnsi="Times New Roman"/>
                <w:sz w:val="24"/>
                <w:szCs w:val="24"/>
              </w:rPr>
            </w:pPr>
            <w:r>
              <w:rPr>
                <w:rFonts w:ascii="Times New Roman" w:hAnsi="Times New Roman"/>
                <w:sz w:val="24"/>
                <w:szCs w:val="24"/>
              </w:rPr>
              <w:t>Aija Jermacāne</w:t>
            </w:r>
          </w:p>
          <w:p w14:paraId="27C46C38" w14:textId="77777777" w:rsidR="009C6A47" w:rsidRDefault="009C6A47">
            <w:pPr>
              <w:spacing w:after="0" w:line="360" w:lineRule="auto"/>
              <w:ind w:right="43"/>
              <w:jc w:val="both"/>
              <w:rPr>
                <w:rFonts w:ascii="Times New Roman" w:hAnsi="Times New Roman"/>
                <w:sz w:val="24"/>
                <w:szCs w:val="24"/>
              </w:rPr>
            </w:pPr>
          </w:p>
          <w:p w14:paraId="35785FA9" w14:textId="77777777" w:rsidR="009C6A47" w:rsidRDefault="0094741C">
            <w:pPr>
              <w:spacing w:after="0" w:line="360" w:lineRule="auto"/>
              <w:ind w:right="43"/>
              <w:jc w:val="both"/>
              <w:rPr>
                <w:rFonts w:ascii="Times New Roman" w:hAnsi="Times New Roman"/>
                <w:sz w:val="24"/>
                <w:szCs w:val="24"/>
              </w:rPr>
            </w:pPr>
            <w:r>
              <w:rPr>
                <w:rFonts w:ascii="Times New Roman" w:hAnsi="Times New Roman"/>
                <w:sz w:val="24"/>
                <w:szCs w:val="24"/>
              </w:rPr>
              <w:t>Adrija Kasakovska</w:t>
            </w:r>
          </w:p>
          <w:p w14:paraId="65FA9C87" w14:textId="77777777" w:rsidR="009C6A47" w:rsidRDefault="009C6A47">
            <w:pPr>
              <w:spacing w:after="0" w:line="360" w:lineRule="auto"/>
              <w:ind w:right="43"/>
              <w:jc w:val="both"/>
              <w:rPr>
                <w:rFonts w:ascii="Times New Roman" w:hAnsi="Times New Roman"/>
                <w:sz w:val="24"/>
                <w:szCs w:val="24"/>
              </w:rPr>
            </w:pPr>
          </w:p>
          <w:p w14:paraId="5A53C17B" w14:textId="77777777" w:rsidR="009C6A47" w:rsidRDefault="0094741C">
            <w:pPr>
              <w:spacing w:after="0" w:line="360" w:lineRule="auto"/>
              <w:ind w:right="43"/>
              <w:jc w:val="both"/>
              <w:rPr>
                <w:rFonts w:ascii="Times New Roman" w:hAnsi="Times New Roman"/>
                <w:sz w:val="24"/>
                <w:szCs w:val="24"/>
              </w:rPr>
            </w:pPr>
            <w:r>
              <w:rPr>
                <w:rFonts w:ascii="Times New Roman" w:hAnsi="Times New Roman"/>
                <w:sz w:val="24"/>
                <w:szCs w:val="24"/>
              </w:rPr>
              <w:t>Anda Kraukle</w:t>
            </w:r>
          </w:p>
          <w:p w14:paraId="5A326EBD" w14:textId="77777777" w:rsidR="009C6A47" w:rsidRDefault="009C6A47">
            <w:pPr>
              <w:spacing w:after="0" w:line="360" w:lineRule="auto"/>
              <w:ind w:right="43"/>
              <w:jc w:val="both"/>
              <w:rPr>
                <w:rFonts w:ascii="Times New Roman" w:hAnsi="Times New Roman"/>
                <w:sz w:val="24"/>
                <w:szCs w:val="24"/>
              </w:rPr>
            </w:pPr>
          </w:p>
        </w:tc>
      </w:tr>
      <w:tr w:rsidR="009C6A47" w14:paraId="3D59957C" w14:textId="77777777">
        <w:tc>
          <w:tcPr>
            <w:tcW w:w="6941" w:type="dxa"/>
            <w:vMerge/>
            <w:shd w:val="clear" w:color="auto" w:fill="auto"/>
            <w:tcMar>
              <w:top w:w="0" w:type="dxa"/>
              <w:left w:w="108" w:type="dxa"/>
              <w:bottom w:w="0" w:type="dxa"/>
              <w:right w:w="108" w:type="dxa"/>
            </w:tcMar>
          </w:tcPr>
          <w:p w14:paraId="352911A3" w14:textId="77777777" w:rsidR="009C6A47" w:rsidRDefault="009C6A47">
            <w:pPr>
              <w:spacing w:after="0" w:line="360" w:lineRule="auto"/>
              <w:ind w:right="43"/>
              <w:jc w:val="both"/>
              <w:rPr>
                <w:rFonts w:ascii="Times New Roman" w:hAnsi="Times New Roman"/>
                <w:sz w:val="24"/>
                <w:szCs w:val="24"/>
              </w:rPr>
            </w:pPr>
          </w:p>
        </w:tc>
        <w:tc>
          <w:tcPr>
            <w:tcW w:w="2404" w:type="dxa"/>
            <w:shd w:val="clear" w:color="auto" w:fill="auto"/>
            <w:tcMar>
              <w:top w:w="0" w:type="dxa"/>
              <w:left w:w="108" w:type="dxa"/>
              <w:bottom w:w="0" w:type="dxa"/>
              <w:right w:w="108" w:type="dxa"/>
            </w:tcMar>
          </w:tcPr>
          <w:p w14:paraId="03967029" w14:textId="77777777" w:rsidR="009C6A47" w:rsidRDefault="0094741C">
            <w:pPr>
              <w:spacing w:after="0" w:line="360" w:lineRule="auto"/>
              <w:ind w:right="43"/>
              <w:jc w:val="both"/>
              <w:rPr>
                <w:rFonts w:ascii="Times New Roman" w:hAnsi="Times New Roman"/>
                <w:sz w:val="24"/>
                <w:szCs w:val="24"/>
              </w:rPr>
            </w:pPr>
            <w:r>
              <w:rPr>
                <w:rFonts w:ascii="Times New Roman" w:hAnsi="Times New Roman"/>
                <w:sz w:val="24"/>
                <w:szCs w:val="24"/>
              </w:rPr>
              <w:t>Baiba Lielpētere</w:t>
            </w:r>
          </w:p>
        </w:tc>
      </w:tr>
      <w:tr w:rsidR="009C6A47" w14:paraId="16EEF0F1" w14:textId="77777777">
        <w:tc>
          <w:tcPr>
            <w:tcW w:w="6941" w:type="dxa"/>
            <w:vMerge/>
            <w:shd w:val="clear" w:color="auto" w:fill="auto"/>
            <w:tcMar>
              <w:top w:w="0" w:type="dxa"/>
              <w:left w:w="108" w:type="dxa"/>
              <w:bottom w:w="0" w:type="dxa"/>
              <w:right w:w="108" w:type="dxa"/>
            </w:tcMar>
          </w:tcPr>
          <w:p w14:paraId="30C87F8E" w14:textId="77777777" w:rsidR="009C6A47" w:rsidRDefault="009C6A47">
            <w:pPr>
              <w:spacing w:after="0" w:line="360" w:lineRule="auto"/>
              <w:ind w:right="43"/>
              <w:jc w:val="both"/>
              <w:rPr>
                <w:rFonts w:ascii="Times New Roman" w:hAnsi="Times New Roman"/>
                <w:sz w:val="24"/>
                <w:szCs w:val="24"/>
              </w:rPr>
            </w:pPr>
          </w:p>
        </w:tc>
        <w:tc>
          <w:tcPr>
            <w:tcW w:w="2404" w:type="dxa"/>
            <w:shd w:val="clear" w:color="auto" w:fill="auto"/>
            <w:tcMar>
              <w:top w:w="0" w:type="dxa"/>
              <w:left w:w="108" w:type="dxa"/>
              <w:bottom w:w="0" w:type="dxa"/>
              <w:right w:w="108" w:type="dxa"/>
            </w:tcMar>
          </w:tcPr>
          <w:p w14:paraId="16D22555" w14:textId="77777777" w:rsidR="009C6A47" w:rsidRDefault="009C6A47">
            <w:pPr>
              <w:spacing w:after="0" w:line="360" w:lineRule="auto"/>
              <w:ind w:right="43"/>
              <w:jc w:val="both"/>
              <w:rPr>
                <w:rFonts w:ascii="Times New Roman" w:hAnsi="Times New Roman"/>
                <w:sz w:val="24"/>
                <w:szCs w:val="24"/>
              </w:rPr>
            </w:pPr>
          </w:p>
        </w:tc>
      </w:tr>
      <w:tr w:rsidR="009C6A47" w14:paraId="3994E3BE" w14:textId="77777777">
        <w:tc>
          <w:tcPr>
            <w:tcW w:w="6941" w:type="dxa"/>
            <w:vMerge/>
            <w:shd w:val="clear" w:color="auto" w:fill="auto"/>
            <w:tcMar>
              <w:top w:w="0" w:type="dxa"/>
              <w:left w:w="108" w:type="dxa"/>
              <w:bottom w:w="0" w:type="dxa"/>
              <w:right w:w="108" w:type="dxa"/>
            </w:tcMar>
          </w:tcPr>
          <w:p w14:paraId="679E16D4" w14:textId="77777777" w:rsidR="009C6A47" w:rsidRDefault="009C6A47">
            <w:pPr>
              <w:spacing w:after="0" w:line="360" w:lineRule="auto"/>
              <w:ind w:right="43"/>
              <w:jc w:val="both"/>
              <w:rPr>
                <w:rFonts w:ascii="Times New Roman" w:hAnsi="Times New Roman"/>
                <w:sz w:val="24"/>
                <w:szCs w:val="24"/>
              </w:rPr>
            </w:pPr>
          </w:p>
        </w:tc>
        <w:tc>
          <w:tcPr>
            <w:tcW w:w="2404" w:type="dxa"/>
            <w:shd w:val="clear" w:color="auto" w:fill="auto"/>
            <w:tcMar>
              <w:top w:w="0" w:type="dxa"/>
              <w:left w:w="108" w:type="dxa"/>
              <w:bottom w:w="0" w:type="dxa"/>
              <w:right w:w="108" w:type="dxa"/>
            </w:tcMar>
          </w:tcPr>
          <w:p w14:paraId="36DEB595" w14:textId="77777777" w:rsidR="009C6A47" w:rsidRDefault="0094741C">
            <w:pPr>
              <w:spacing w:after="0" w:line="360" w:lineRule="auto"/>
              <w:ind w:right="43"/>
              <w:jc w:val="both"/>
              <w:rPr>
                <w:rFonts w:ascii="Times New Roman" w:hAnsi="Times New Roman"/>
                <w:sz w:val="24"/>
                <w:szCs w:val="24"/>
              </w:rPr>
            </w:pPr>
            <w:r>
              <w:rPr>
                <w:rFonts w:ascii="Times New Roman" w:hAnsi="Times New Roman"/>
                <w:sz w:val="24"/>
                <w:szCs w:val="24"/>
              </w:rPr>
              <w:t>Lauma Paegļkalna</w:t>
            </w:r>
          </w:p>
          <w:p w14:paraId="18E8E48E" w14:textId="77777777" w:rsidR="009C6A47" w:rsidRDefault="009C6A47">
            <w:pPr>
              <w:spacing w:after="0" w:line="360" w:lineRule="auto"/>
              <w:ind w:right="43"/>
              <w:jc w:val="both"/>
              <w:rPr>
                <w:rFonts w:ascii="Times New Roman" w:hAnsi="Times New Roman"/>
                <w:sz w:val="24"/>
                <w:szCs w:val="24"/>
              </w:rPr>
            </w:pPr>
          </w:p>
        </w:tc>
      </w:tr>
      <w:tr w:rsidR="009C6A47" w14:paraId="30503EE1" w14:textId="77777777">
        <w:tc>
          <w:tcPr>
            <w:tcW w:w="6941" w:type="dxa"/>
            <w:vMerge/>
            <w:shd w:val="clear" w:color="auto" w:fill="auto"/>
            <w:tcMar>
              <w:top w:w="0" w:type="dxa"/>
              <w:left w:w="108" w:type="dxa"/>
              <w:bottom w:w="0" w:type="dxa"/>
              <w:right w:w="108" w:type="dxa"/>
            </w:tcMar>
          </w:tcPr>
          <w:p w14:paraId="1FF1C6CB" w14:textId="77777777" w:rsidR="009C6A47" w:rsidRDefault="009C6A47">
            <w:pPr>
              <w:spacing w:after="0" w:line="360" w:lineRule="auto"/>
              <w:ind w:right="43"/>
              <w:jc w:val="both"/>
              <w:rPr>
                <w:rFonts w:ascii="Times New Roman" w:hAnsi="Times New Roman"/>
                <w:sz w:val="24"/>
                <w:szCs w:val="24"/>
              </w:rPr>
            </w:pPr>
          </w:p>
        </w:tc>
        <w:tc>
          <w:tcPr>
            <w:tcW w:w="2404" w:type="dxa"/>
            <w:shd w:val="clear" w:color="auto" w:fill="auto"/>
            <w:tcMar>
              <w:top w:w="0" w:type="dxa"/>
              <w:left w:w="108" w:type="dxa"/>
              <w:bottom w:w="0" w:type="dxa"/>
              <w:right w:w="108" w:type="dxa"/>
            </w:tcMar>
          </w:tcPr>
          <w:p w14:paraId="19641A43" w14:textId="77777777" w:rsidR="009C6A47" w:rsidRDefault="0094741C">
            <w:pPr>
              <w:spacing w:after="0" w:line="360" w:lineRule="auto"/>
              <w:ind w:right="43"/>
              <w:jc w:val="both"/>
              <w:rPr>
                <w:rFonts w:ascii="Times New Roman" w:hAnsi="Times New Roman"/>
                <w:sz w:val="24"/>
                <w:szCs w:val="24"/>
              </w:rPr>
            </w:pPr>
            <w:r>
              <w:rPr>
                <w:rFonts w:ascii="Times New Roman" w:hAnsi="Times New Roman"/>
                <w:sz w:val="24"/>
                <w:szCs w:val="24"/>
              </w:rPr>
              <w:t>Inese Laura Zemīte</w:t>
            </w:r>
          </w:p>
        </w:tc>
      </w:tr>
      <w:tr w:rsidR="009C6A47" w14:paraId="39476B70" w14:textId="77777777">
        <w:tc>
          <w:tcPr>
            <w:tcW w:w="6941" w:type="dxa"/>
            <w:vMerge/>
            <w:shd w:val="clear" w:color="auto" w:fill="auto"/>
            <w:tcMar>
              <w:top w:w="0" w:type="dxa"/>
              <w:left w:w="108" w:type="dxa"/>
              <w:bottom w:w="0" w:type="dxa"/>
              <w:right w:w="108" w:type="dxa"/>
            </w:tcMar>
          </w:tcPr>
          <w:p w14:paraId="1188FC9B" w14:textId="77777777" w:rsidR="009C6A47" w:rsidRDefault="009C6A47">
            <w:pPr>
              <w:spacing w:after="0" w:line="360" w:lineRule="auto"/>
              <w:ind w:right="43"/>
              <w:jc w:val="both"/>
              <w:rPr>
                <w:rFonts w:ascii="Times New Roman" w:hAnsi="Times New Roman"/>
                <w:sz w:val="24"/>
                <w:szCs w:val="24"/>
              </w:rPr>
            </w:pPr>
          </w:p>
        </w:tc>
        <w:tc>
          <w:tcPr>
            <w:tcW w:w="2404" w:type="dxa"/>
            <w:shd w:val="clear" w:color="auto" w:fill="auto"/>
            <w:tcMar>
              <w:top w:w="0" w:type="dxa"/>
              <w:left w:w="108" w:type="dxa"/>
              <w:bottom w:w="0" w:type="dxa"/>
              <w:right w:w="108" w:type="dxa"/>
            </w:tcMar>
          </w:tcPr>
          <w:p w14:paraId="4F4F88FF" w14:textId="77777777" w:rsidR="009C6A47" w:rsidRDefault="009C6A47">
            <w:pPr>
              <w:spacing w:after="0" w:line="360" w:lineRule="auto"/>
              <w:ind w:right="43"/>
              <w:jc w:val="both"/>
              <w:rPr>
                <w:rFonts w:ascii="Times New Roman" w:hAnsi="Times New Roman"/>
                <w:sz w:val="24"/>
                <w:szCs w:val="24"/>
              </w:rPr>
            </w:pPr>
          </w:p>
        </w:tc>
      </w:tr>
      <w:tr w:rsidR="009C6A47" w14:paraId="116162B4" w14:textId="77777777">
        <w:tc>
          <w:tcPr>
            <w:tcW w:w="6941" w:type="dxa"/>
            <w:vMerge/>
            <w:shd w:val="clear" w:color="auto" w:fill="auto"/>
            <w:tcMar>
              <w:top w:w="0" w:type="dxa"/>
              <w:left w:w="108" w:type="dxa"/>
              <w:bottom w:w="0" w:type="dxa"/>
              <w:right w:w="108" w:type="dxa"/>
            </w:tcMar>
          </w:tcPr>
          <w:p w14:paraId="03F18880" w14:textId="77777777" w:rsidR="009C6A47" w:rsidRDefault="009C6A47">
            <w:pPr>
              <w:spacing w:after="0" w:line="360" w:lineRule="auto"/>
              <w:ind w:right="43"/>
              <w:jc w:val="both"/>
              <w:rPr>
                <w:rFonts w:ascii="Times New Roman" w:hAnsi="Times New Roman"/>
                <w:sz w:val="24"/>
                <w:szCs w:val="24"/>
              </w:rPr>
            </w:pPr>
          </w:p>
        </w:tc>
        <w:tc>
          <w:tcPr>
            <w:tcW w:w="2404" w:type="dxa"/>
            <w:shd w:val="clear" w:color="auto" w:fill="auto"/>
            <w:tcMar>
              <w:top w:w="0" w:type="dxa"/>
              <w:left w:w="108" w:type="dxa"/>
              <w:bottom w:w="0" w:type="dxa"/>
              <w:right w:w="108" w:type="dxa"/>
            </w:tcMar>
          </w:tcPr>
          <w:p w14:paraId="640E3DB0" w14:textId="77777777" w:rsidR="009C6A47" w:rsidRDefault="009C6A47">
            <w:pPr>
              <w:spacing w:after="0" w:line="360" w:lineRule="auto"/>
              <w:ind w:right="43"/>
              <w:jc w:val="both"/>
              <w:rPr>
                <w:rFonts w:ascii="Times New Roman" w:hAnsi="Times New Roman"/>
                <w:sz w:val="24"/>
                <w:szCs w:val="24"/>
              </w:rPr>
            </w:pPr>
          </w:p>
        </w:tc>
      </w:tr>
    </w:tbl>
    <w:p w14:paraId="60145E18" w14:textId="77777777" w:rsidR="009C6A47" w:rsidRDefault="009C6A47">
      <w:pPr>
        <w:spacing w:before="100" w:after="100" w:line="360" w:lineRule="auto"/>
        <w:ind w:right="43"/>
        <w:rPr>
          <w:rFonts w:ascii="Times New Roman" w:hAnsi="Times New Roman"/>
          <w:sz w:val="24"/>
          <w:szCs w:val="24"/>
        </w:rPr>
      </w:pPr>
    </w:p>
    <w:sectPr w:rsidR="009C6A47">
      <w:footerReference w:type="default" r:id="rId6"/>
      <w:pgSz w:w="11906" w:h="16838"/>
      <w:pgMar w:top="1440" w:right="991" w:bottom="1440" w:left="156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469D75B" w14:textId="77777777" w:rsidR="00B66ED0" w:rsidRDefault="00B66ED0">
      <w:pPr>
        <w:spacing w:after="0"/>
      </w:pPr>
      <w:r>
        <w:separator/>
      </w:r>
    </w:p>
  </w:endnote>
  <w:endnote w:type="continuationSeparator" w:id="0">
    <w:p w14:paraId="1439792E" w14:textId="77777777" w:rsidR="00B66ED0" w:rsidRDefault="00B66ED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18E044" w14:textId="77777777" w:rsidR="00DB227F" w:rsidRDefault="0094741C">
    <w:pPr>
      <w:pStyle w:val="Kjene"/>
      <w:jc w:val="center"/>
    </w:pPr>
    <w:r>
      <w:rPr>
        <w:rFonts w:ascii="Times New Roman" w:hAnsi="Times New Roman"/>
        <w:sz w:val="24"/>
        <w:szCs w:val="24"/>
      </w:rPr>
      <w:fldChar w:fldCharType="begin"/>
    </w:r>
    <w:r>
      <w:rPr>
        <w:rFonts w:ascii="Times New Roman" w:hAnsi="Times New Roman"/>
        <w:sz w:val="24"/>
        <w:szCs w:val="24"/>
      </w:rPr>
      <w:instrText xml:space="preserve"> PAGE </w:instrText>
    </w:r>
    <w:r>
      <w:rPr>
        <w:rFonts w:ascii="Times New Roman" w:hAnsi="Times New Roman"/>
        <w:sz w:val="24"/>
        <w:szCs w:val="24"/>
      </w:rPr>
      <w:fldChar w:fldCharType="separate"/>
    </w:r>
    <w:r>
      <w:rPr>
        <w:rFonts w:ascii="Times New Roman" w:hAnsi="Times New Roman"/>
        <w:sz w:val="24"/>
        <w:szCs w:val="24"/>
      </w:rPr>
      <w:t>5</w:t>
    </w:r>
    <w:r>
      <w:rPr>
        <w:rFonts w:ascii="Times New Roman" w:hAnsi="Times New Roman"/>
        <w:sz w:val="24"/>
        <w:szCs w:val="24"/>
      </w:rPr>
      <w:fldChar w:fldCharType="end"/>
    </w:r>
  </w:p>
  <w:p w14:paraId="38605E1B" w14:textId="77777777" w:rsidR="00DB227F" w:rsidRDefault="00B66ED0">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E5277E8" w14:textId="77777777" w:rsidR="00B66ED0" w:rsidRDefault="00B66ED0">
      <w:pPr>
        <w:spacing w:after="0"/>
      </w:pPr>
      <w:r>
        <w:rPr>
          <w:color w:val="000000"/>
        </w:rPr>
        <w:separator/>
      </w:r>
    </w:p>
  </w:footnote>
  <w:footnote w:type="continuationSeparator" w:id="0">
    <w:p w14:paraId="57FEB9E7" w14:textId="77777777" w:rsidR="00B66ED0" w:rsidRDefault="00B66ED0">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6A47"/>
    <w:rsid w:val="000763AA"/>
    <w:rsid w:val="00134B90"/>
    <w:rsid w:val="005E642E"/>
    <w:rsid w:val="0094741C"/>
    <w:rsid w:val="009C6A47"/>
    <w:rsid w:val="00B66ED0"/>
    <w:rsid w:val="00EE23B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7D9013"/>
  <w15:docId w15:val="{62DAB085-48A6-4223-B84C-BFAA8D3FC0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sz w:val="22"/>
        <w:szCs w:val="22"/>
        <w:lang w:val="lv-LV" w:eastAsia="en-US" w:bidi="ar-SA"/>
      </w:rPr>
    </w:rPrDefault>
    <w:pPrDefault>
      <w:pPr>
        <w:autoSpaceDN w:val="0"/>
        <w:spacing w:after="16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pPr>
      <w:suppressAutoHyphens/>
    </w:p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pPr>
      <w:tabs>
        <w:tab w:val="center" w:pos="4153"/>
        <w:tab w:val="right" w:pos="8306"/>
      </w:tabs>
      <w:spacing w:after="0"/>
    </w:pPr>
  </w:style>
  <w:style w:type="character" w:customStyle="1" w:styleId="HeaderChar">
    <w:name w:val="Header Char"/>
    <w:basedOn w:val="Noklusjumarindkopasfonts"/>
  </w:style>
  <w:style w:type="paragraph" w:styleId="Kjene">
    <w:name w:val="footer"/>
    <w:basedOn w:val="Parasts"/>
    <w:pPr>
      <w:tabs>
        <w:tab w:val="center" w:pos="4153"/>
        <w:tab w:val="right" w:pos="8306"/>
      </w:tabs>
      <w:spacing w:after="0"/>
    </w:pPr>
  </w:style>
  <w:style w:type="character" w:customStyle="1" w:styleId="FooterChar">
    <w:name w:val="Footer Char"/>
    <w:basedOn w:val="Noklusjumarindkopasfonts"/>
  </w:style>
  <w:style w:type="paragraph" w:styleId="Balonteksts">
    <w:name w:val="Balloon Text"/>
    <w:basedOn w:val="Parasts"/>
    <w:pPr>
      <w:spacing w:after="0"/>
    </w:pPr>
    <w:rPr>
      <w:rFonts w:ascii="Tahoma" w:hAnsi="Tahoma" w:cs="Tahoma"/>
      <w:sz w:val="16"/>
      <w:szCs w:val="16"/>
    </w:rPr>
  </w:style>
  <w:style w:type="character" w:customStyle="1" w:styleId="BalloonTextChar">
    <w:name w:val="Balloon Text Char"/>
    <w:basedOn w:val="Noklusjumarindkopasfonts"/>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8800</Words>
  <Characters>5017</Characters>
  <Application>Microsoft Office Word</Application>
  <DocSecurity>0</DocSecurity>
  <Lines>41</Lines>
  <Paragraphs>27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13790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Liene Jākobsone</cp:lastModifiedBy>
  <cp:revision>4</cp:revision>
  <dcterms:created xsi:type="dcterms:W3CDTF">2020-08-26T07:06:00Z</dcterms:created>
  <dcterms:modified xsi:type="dcterms:W3CDTF">2020-08-26T11:53:00Z</dcterms:modified>
</cp:coreProperties>
</file>