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6A71" w14:textId="77777777" w:rsidR="000373E0" w:rsidRPr="00AF1E53" w:rsidRDefault="000373E0" w:rsidP="000373E0">
      <w:pPr>
        <w:widowControl/>
        <w:suppressAutoHyphens w:val="0"/>
        <w:spacing w:line="360" w:lineRule="auto"/>
        <w:jc w:val="right"/>
        <w:rPr>
          <w:rFonts w:eastAsia="Calibri" w:cs="Times New Roman"/>
          <w:b/>
          <w:kern w:val="0"/>
          <w:lang w:eastAsia="en-US" w:bidi="ar-SA"/>
        </w:rPr>
      </w:pPr>
    </w:p>
    <w:p w14:paraId="66B72499" w14:textId="77777777" w:rsidR="00187979" w:rsidRPr="00AF1E53" w:rsidRDefault="00187979" w:rsidP="00187979">
      <w:pPr>
        <w:widowControl/>
        <w:suppressAutoHyphens w:val="0"/>
        <w:spacing w:line="360" w:lineRule="auto"/>
        <w:jc w:val="center"/>
        <w:rPr>
          <w:rFonts w:eastAsia="Calibri" w:cs="Times New Roman"/>
          <w:b/>
          <w:kern w:val="0"/>
          <w:lang w:eastAsia="en-US" w:bidi="ar-SA"/>
        </w:rPr>
      </w:pPr>
      <w:r w:rsidRPr="00AF1E53">
        <w:rPr>
          <w:rFonts w:eastAsia="Calibri" w:cs="Times New Roman"/>
          <w:b/>
          <w:kern w:val="0"/>
          <w:lang w:eastAsia="en-US" w:bidi="ar-SA"/>
        </w:rPr>
        <w:t>Tiesnešu ētikas komisija</w:t>
      </w:r>
    </w:p>
    <w:p w14:paraId="1B040097" w14:textId="77777777" w:rsidR="00187979" w:rsidRPr="00AF1E53" w:rsidRDefault="00187979" w:rsidP="00187979">
      <w:pPr>
        <w:widowControl/>
        <w:suppressAutoHyphens w:val="0"/>
        <w:spacing w:line="360" w:lineRule="auto"/>
        <w:jc w:val="center"/>
        <w:rPr>
          <w:rFonts w:eastAsia="Calibri" w:cs="Times New Roman"/>
          <w:b/>
          <w:spacing w:val="20"/>
          <w:kern w:val="0"/>
          <w:sz w:val="32"/>
          <w:szCs w:val="32"/>
          <w:lang w:eastAsia="en-US" w:bidi="ar-SA"/>
        </w:rPr>
      </w:pPr>
      <w:r w:rsidRPr="00AF1E53">
        <w:rPr>
          <w:rFonts w:eastAsia="Calibri" w:cs="Times New Roman"/>
          <w:b/>
          <w:spacing w:val="20"/>
          <w:kern w:val="0"/>
          <w:sz w:val="32"/>
          <w:szCs w:val="32"/>
          <w:lang w:eastAsia="en-US" w:bidi="ar-SA"/>
        </w:rPr>
        <w:t>ATZINUMS</w:t>
      </w:r>
    </w:p>
    <w:p w14:paraId="03974FC4" w14:textId="1056A537" w:rsidR="00187979" w:rsidRPr="00AF1E53" w:rsidRDefault="00187979" w:rsidP="00187979">
      <w:pPr>
        <w:tabs>
          <w:tab w:val="right" w:pos="9071"/>
        </w:tabs>
        <w:spacing w:line="360" w:lineRule="auto"/>
        <w:rPr>
          <w:rFonts w:cs="Times New Roman"/>
        </w:rPr>
      </w:pPr>
      <w:r w:rsidRPr="00AF1E53">
        <w:rPr>
          <w:rFonts w:cs="Times New Roman"/>
        </w:rPr>
        <w:tab/>
        <w:t>202</w:t>
      </w:r>
      <w:r w:rsidR="009B0FAA" w:rsidRPr="00AF1E53">
        <w:rPr>
          <w:rFonts w:cs="Times New Roman"/>
        </w:rPr>
        <w:t>1</w:t>
      </w:r>
      <w:r w:rsidRPr="00AF1E53">
        <w:rPr>
          <w:rFonts w:cs="Times New Roman"/>
        </w:rPr>
        <w:t>.</w:t>
      </w:r>
      <w:r w:rsidRPr="00C70058">
        <w:rPr>
          <w:rFonts w:cs="Times New Roman"/>
        </w:rPr>
        <w:t xml:space="preserve">gada </w:t>
      </w:r>
      <w:r w:rsidR="006A2E46" w:rsidRPr="00C70058">
        <w:rPr>
          <w:rFonts w:cs="Times New Roman"/>
        </w:rPr>
        <w:t>26</w:t>
      </w:r>
      <w:r w:rsidRPr="00C70058">
        <w:rPr>
          <w:rFonts w:cs="Times New Roman"/>
        </w:rPr>
        <w:t>.</w:t>
      </w:r>
      <w:r w:rsidR="006A2E46" w:rsidRPr="00C70058">
        <w:rPr>
          <w:rFonts w:cs="Times New Roman"/>
        </w:rPr>
        <w:t>novembrī</w:t>
      </w:r>
    </w:p>
    <w:p w14:paraId="5EDBBA70" w14:textId="77777777" w:rsidR="00187979" w:rsidRPr="00AF1E53" w:rsidRDefault="00187979" w:rsidP="00187979">
      <w:pPr>
        <w:autoSpaceDE w:val="0"/>
        <w:spacing w:line="360" w:lineRule="auto"/>
        <w:jc w:val="both"/>
        <w:rPr>
          <w:rFonts w:cs="Times New Roman"/>
        </w:rPr>
      </w:pPr>
    </w:p>
    <w:p w14:paraId="73DB1D67" w14:textId="28EB3D28" w:rsidR="00D56AA4" w:rsidRPr="00AF1E53" w:rsidRDefault="00187979" w:rsidP="00F95DB4">
      <w:pPr>
        <w:autoSpaceDE w:val="0"/>
        <w:spacing w:line="360" w:lineRule="auto"/>
        <w:ind w:firstLine="567"/>
        <w:jc w:val="both"/>
        <w:rPr>
          <w:rFonts w:eastAsia="Times New Roman" w:cs="Times New Roman"/>
          <w:color w:val="000000"/>
        </w:rPr>
      </w:pPr>
      <w:r w:rsidRPr="00AF1E53">
        <w:rPr>
          <w:rFonts w:cs="Times New Roman"/>
        </w:rPr>
        <w:t>[1] </w:t>
      </w:r>
      <w:r w:rsidRPr="00AF1E53">
        <w:rPr>
          <w:rFonts w:eastAsia="Times New Roman" w:cs="Times New Roman"/>
          <w:color w:val="000000"/>
        </w:rPr>
        <w:t xml:space="preserve">Tiesnešu ētikas komisija saņēmusi tiesas priekšsēdētājas iesniegumu </w:t>
      </w:r>
      <w:r w:rsidR="004414A1" w:rsidRPr="00AF1E53">
        <w:rPr>
          <w:rFonts w:eastAsia="Times New Roman" w:cs="Times New Roman"/>
          <w:color w:val="000000"/>
        </w:rPr>
        <w:t>sakar</w:t>
      </w:r>
      <w:r w:rsidRPr="00AF1E53">
        <w:rPr>
          <w:rFonts w:eastAsia="Times New Roman" w:cs="Times New Roman"/>
          <w:color w:val="000000"/>
        </w:rPr>
        <w:t xml:space="preserve">ā ar sūdzību par tiesnesi, kurā lūgts izvērtēt tiesneses iespējamo neētisko rīcību </w:t>
      </w:r>
      <w:r w:rsidR="00905273" w:rsidRPr="00AF1E53">
        <w:rPr>
          <w:rFonts w:eastAsia="Times New Roman" w:cs="Times New Roman"/>
          <w:color w:val="000000"/>
        </w:rPr>
        <w:t>lietas izskatīšanā</w:t>
      </w:r>
      <w:r w:rsidRPr="00AF1E53">
        <w:rPr>
          <w:rFonts w:eastAsia="Times New Roman" w:cs="Times New Roman"/>
          <w:color w:val="000000"/>
        </w:rPr>
        <w:t>.</w:t>
      </w:r>
      <w:r w:rsidR="00D56AA4" w:rsidRPr="00AF1E53">
        <w:rPr>
          <w:rFonts w:eastAsia="Times New Roman" w:cs="Times New Roman"/>
          <w:color w:val="000000"/>
        </w:rPr>
        <w:t xml:space="preserve"> </w:t>
      </w:r>
    </w:p>
    <w:p w14:paraId="2C829F87" w14:textId="77777777" w:rsidR="00F95DB4" w:rsidRPr="00AF1E53" w:rsidRDefault="00F95DB4" w:rsidP="00F95DB4">
      <w:pPr>
        <w:autoSpaceDE w:val="0"/>
        <w:spacing w:line="360" w:lineRule="auto"/>
        <w:ind w:firstLine="567"/>
        <w:jc w:val="both"/>
        <w:rPr>
          <w:rFonts w:cs="Times New Roman"/>
        </w:rPr>
      </w:pPr>
    </w:p>
    <w:p w14:paraId="611D4861" w14:textId="2D739F8F" w:rsidR="00B3198C" w:rsidRDefault="00D56AA4" w:rsidP="001F4F0A">
      <w:pPr>
        <w:autoSpaceDE w:val="0"/>
        <w:spacing w:line="360" w:lineRule="auto"/>
        <w:ind w:firstLine="567"/>
        <w:jc w:val="both"/>
        <w:rPr>
          <w:rFonts w:cs="Times New Roman"/>
        </w:rPr>
      </w:pPr>
      <w:r w:rsidRPr="00AF1E53">
        <w:rPr>
          <w:rFonts w:cs="Times New Roman"/>
        </w:rPr>
        <w:t>[2]</w:t>
      </w:r>
      <w:r w:rsidR="00E31E32" w:rsidRPr="00AF1E53">
        <w:rPr>
          <w:rFonts w:cs="Times New Roman"/>
        </w:rPr>
        <w:t> </w:t>
      </w:r>
      <w:r w:rsidR="00D81B78" w:rsidRPr="00AF1E53">
        <w:rPr>
          <w:rFonts w:cs="Times New Roman"/>
        </w:rPr>
        <w:t>Tiesas priekšsēdētājas iesniegumā norādīts, ka</w:t>
      </w:r>
      <w:r w:rsidR="00F95DB4" w:rsidRPr="00AF1E53">
        <w:rPr>
          <w:rFonts w:cs="Times New Roman"/>
        </w:rPr>
        <w:t xml:space="preserve"> tiesnese ignorējusi</w:t>
      </w:r>
      <w:r w:rsidR="001F4F0A" w:rsidRPr="00AF1E53">
        <w:rPr>
          <w:rFonts w:cs="Times New Roman"/>
        </w:rPr>
        <w:t xml:space="preserve"> </w:t>
      </w:r>
      <w:r w:rsidR="001D1674" w:rsidRPr="00AF1E53">
        <w:rPr>
          <w:rFonts w:cs="Times New Roman"/>
        </w:rPr>
        <w:t xml:space="preserve">vairākkārtējus </w:t>
      </w:r>
      <w:r w:rsidR="00080866" w:rsidRPr="00AF1E53">
        <w:rPr>
          <w:rFonts w:cs="Times New Roman"/>
        </w:rPr>
        <w:t xml:space="preserve">pieteicēja, zvērinātas advokātes un liecinieču </w:t>
      </w:r>
      <w:r w:rsidR="00F95DB4" w:rsidRPr="00AF1E53">
        <w:rPr>
          <w:rFonts w:cs="Times New Roman"/>
        </w:rPr>
        <w:t>lūgumu</w:t>
      </w:r>
      <w:r w:rsidR="001D1674" w:rsidRPr="00AF1E53">
        <w:rPr>
          <w:rFonts w:cs="Times New Roman"/>
        </w:rPr>
        <w:t>s</w:t>
      </w:r>
      <w:r w:rsidR="00F95DB4" w:rsidRPr="00AF1E53">
        <w:rPr>
          <w:rFonts w:cs="Times New Roman"/>
        </w:rPr>
        <w:t xml:space="preserve"> lietas izskatīšanu organizēt videokonferences režīmā ar citas tiesas starpniecību. Lūgum</w:t>
      </w:r>
      <w:r w:rsidR="001D1674" w:rsidRPr="00AF1E53">
        <w:rPr>
          <w:rFonts w:cs="Times New Roman"/>
        </w:rPr>
        <w:t>i</w:t>
      </w:r>
      <w:r w:rsidR="00F95DB4" w:rsidRPr="00AF1E53">
        <w:rPr>
          <w:rFonts w:cs="Times New Roman"/>
        </w:rPr>
        <w:t xml:space="preserve"> pamatot</w:t>
      </w:r>
      <w:r w:rsidR="001D1674" w:rsidRPr="00AF1E53">
        <w:rPr>
          <w:rFonts w:cs="Times New Roman"/>
        </w:rPr>
        <w:t>i</w:t>
      </w:r>
      <w:r w:rsidR="00F95DB4" w:rsidRPr="00AF1E53">
        <w:rPr>
          <w:rFonts w:cs="Times New Roman"/>
        </w:rPr>
        <w:t xml:space="preserve"> ar </w:t>
      </w:r>
      <w:r w:rsidR="00F95DB4" w:rsidRPr="00D76DFD">
        <w:rPr>
          <w:rFonts w:cs="Times New Roman"/>
          <w:i/>
          <w:iCs/>
        </w:rPr>
        <w:t>Covid</w:t>
      </w:r>
      <w:r w:rsidR="0038132C" w:rsidRPr="00D76DFD">
        <w:rPr>
          <w:rFonts w:cs="Times New Roman"/>
          <w:i/>
          <w:iCs/>
        </w:rPr>
        <w:t>-</w:t>
      </w:r>
      <w:r w:rsidR="00F95DB4" w:rsidRPr="00D76DFD">
        <w:rPr>
          <w:rFonts w:cs="Times New Roman"/>
          <w:i/>
          <w:iCs/>
        </w:rPr>
        <w:t>19</w:t>
      </w:r>
      <w:r w:rsidR="00F95DB4" w:rsidRPr="00AF1E53">
        <w:rPr>
          <w:rFonts w:cs="Times New Roman"/>
        </w:rPr>
        <w:t xml:space="preserve"> apstākļ</w:t>
      </w:r>
      <w:r w:rsidR="00A07616" w:rsidRPr="00AF1E53">
        <w:rPr>
          <w:rFonts w:cs="Times New Roman"/>
        </w:rPr>
        <w:t>iem</w:t>
      </w:r>
      <w:r w:rsidR="00F95DB4" w:rsidRPr="00AF1E53">
        <w:rPr>
          <w:rFonts w:cs="Times New Roman"/>
        </w:rPr>
        <w:t xml:space="preserve"> un</w:t>
      </w:r>
      <w:r w:rsidR="00D76DFD">
        <w:rPr>
          <w:rFonts w:cs="Times New Roman"/>
        </w:rPr>
        <w:t xml:space="preserve"> liecinieču</w:t>
      </w:r>
      <w:r w:rsidR="00F95DB4" w:rsidRPr="00AF1E53">
        <w:rPr>
          <w:rFonts w:cs="Times New Roman"/>
        </w:rPr>
        <w:t xml:space="preserve"> ievērojam</w:t>
      </w:r>
      <w:r w:rsidR="00A07616" w:rsidRPr="00AF1E53">
        <w:rPr>
          <w:rFonts w:cs="Times New Roman"/>
        </w:rPr>
        <w:t>o</w:t>
      </w:r>
      <w:r w:rsidR="00F95DB4" w:rsidRPr="00AF1E53">
        <w:rPr>
          <w:rFonts w:cs="Times New Roman"/>
        </w:rPr>
        <w:t xml:space="preserve"> vecum</w:t>
      </w:r>
      <w:r w:rsidR="00A07616" w:rsidRPr="00AF1E53">
        <w:rPr>
          <w:rFonts w:cs="Times New Roman"/>
        </w:rPr>
        <w:t>u</w:t>
      </w:r>
      <w:r w:rsidR="00AD2212" w:rsidRPr="00AF1E53">
        <w:rPr>
          <w:rFonts w:cs="Times New Roman"/>
        </w:rPr>
        <w:t xml:space="preserve">, </w:t>
      </w:r>
      <w:r w:rsidR="006F3108" w:rsidRPr="00AF1E53">
        <w:rPr>
          <w:rFonts w:cs="Times New Roman"/>
        </w:rPr>
        <w:t xml:space="preserve">kālab lielā attāluma un veselības stāvokļa dēļ </w:t>
      </w:r>
      <w:r w:rsidR="00AD2212" w:rsidRPr="00AF1E53">
        <w:rPr>
          <w:rFonts w:cs="Times New Roman"/>
        </w:rPr>
        <w:t xml:space="preserve">ir apgrūtināti no </w:t>
      </w:r>
      <w:r w:rsidR="0001688E">
        <w:rPr>
          <w:rFonts w:cs="Times New Roman"/>
        </w:rPr>
        <w:t>/pilsēta A/</w:t>
      </w:r>
      <w:r w:rsidR="00AD2212" w:rsidRPr="00AF1E53">
        <w:rPr>
          <w:rFonts w:cs="Times New Roman"/>
        </w:rPr>
        <w:t xml:space="preserve"> ierasties tiesu namā</w:t>
      </w:r>
      <w:r w:rsidR="001D1674" w:rsidRPr="00AF1E53">
        <w:rPr>
          <w:rFonts w:cs="Times New Roman"/>
        </w:rPr>
        <w:t>,</w:t>
      </w:r>
      <w:r w:rsidR="00AD2212" w:rsidRPr="00AF1E53">
        <w:rPr>
          <w:rFonts w:cs="Times New Roman"/>
        </w:rPr>
        <w:t xml:space="preserve"> un </w:t>
      </w:r>
      <w:r w:rsidR="0038132C" w:rsidRPr="00AF1E53">
        <w:rPr>
          <w:rFonts w:cs="Times New Roman"/>
        </w:rPr>
        <w:t>lūgts lietu izskatīt, pieteicējam, zvērināta</w:t>
      </w:r>
      <w:r w:rsidR="00080866" w:rsidRPr="00AF1E53">
        <w:rPr>
          <w:rFonts w:cs="Times New Roman"/>
        </w:rPr>
        <w:t>i</w:t>
      </w:r>
      <w:r w:rsidR="0038132C" w:rsidRPr="00AF1E53">
        <w:rPr>
          <w:rFonts w:cs="Times New Roman"/>
        </w:rPr>
        <w:t xml:space="preserve"> advokāt</w:t>
      </w:r>
      <w:r w:rsidR="00080866" w:rsidRPr="00AF1E53">
        <w:rPr>
          <w:rFonts w:cs="Times New Roman"/>
        </w:rPr>
        <w:t>ei</w:t>
      </w:r>
      <w:r w:rsidR="0038132C" w:rsidRPr="00AF1E53">
        <w:rPr>
          <w:rFonts w:cs="Times New Roman"/>
        </w:rPr>
        <w:t xml:space="preserve"> un liecinie</w:t>
      </w:r>
      <w:r w:rsidR="00080866" w:rsidRPr="00AF1E53">
        <w:rPr>
          <w:rFonts w:cs="Times New Roman"/>
        </w:rPr>
        <w:t>cēm</w:t>
      </w:r>
      <w:r w:rsidR="0038132C" w:rsidRPr="00AF1E53">
        <w:rPr>
          <w:rFonts w:cs="Times New Roman"/>
        </w:rPr>
        <w:t xml:space="preserve"> piedaloties tiesas sēdē no </w:t>
      </w:r>
      <w:r w:rsidR="0001688E">
        <w:rPr>
          <w:rFonts w:cs="Times New Roman"/>
        </w:rPr>
        <w:t>/tiesu nams/</w:t>
      </w:r>
      <w:r w:rsidR="00A07616" w:rsidRPr="00AF1E53">
        <w:rPr>
          <w:rFonts w:cs="Times New Roman"/>
        </w:rPr>
        <w:t>.</w:t>
      </w:r>
      <w:r w:rsidR="001F4F0A" w:rsidRPr="00AF1E53">
        <w:rPr>
          <w:rFonts w:cs="Times New Roman"/>
        </w:rPr>
        <w:t xml:space="preserve"> Tiesas priekšsēdētājas ieskatā</w:t>
      </w:r>
      <w:r w:rsidR="0038132C" w:rsidRPr="00AF1E53">
        <w:rPr>
          <w:rFonts w:cs="Times New Roman"/>
        </w:rPr>
        <w:t xml:space="preserve">, lai arī </w:t>
      </w:r>
      <w:r w:rsidR="001D1674" w:rsidRPr="00AF1E53">
        <w:rPr>
          <w:rFonts w:cs="Times New Roman"/>
        </w:rPr>
        <w:t xml:space="preserve">tiesnese </w:t>
      </w:r>
      <w:r w:rsidR="0038132C" w:rsidRPr="00AF1E53">
        <w:rPr>
          <w:rFonts w:cs="Times New Roman"/>
        </w:rPr>
        <w:t xml:space="preserve">paskaidrojumā argumentējusi, kādēļ vecums un </w:t>
      </w:r>
      <w:r w:rsidR="0038132C" w:rsidRPr="00D76DFD">
        <w:rPr>
          <w:rFonts w:cs="Times New Roman"/>
          <w:i/>
          <w:iCs/>
        </w:rPr>
        <w:t>Covid-19</w:t>
      </w:r>
      <w:r w:rsidR="0038132C" w:rsidRPr="00AF1E53">
        <w:rPr>
          <w:rFonts w:cs="Times New Roman"/>
        </w:rPr>
        <w:t xml:space="preserve"> nav atzīti par objektīviem iemesliem, no lietas materiāliem neizriet, ka pieteicējs par šiem argumentiem būtu informēts. Tā kā pieteicējs un liecinieces uz tiesas sēdi nav ieraduš</w:t>
      </w:r>
      <w:r w:rsidR="00080866" w:rsidRPr="00AF1E53">
        <w:rPr>
          <w:rFonts w:cs="Times New Roman"/>
        </w:rPr>
        <w:t>ie</w:t>
      </w:r>
      <w:r w:rsidR="0038132C" w:rsidRPr="00AF1E53">
        <w:rPr>
          <w:rFonts w:cs="Times New Roman"/>
        </w:rPr>
        <w:t>s, viņiem uzlikta piespiedu nauda.</w:t>
      </w:r>
      <w:r w:rsidR="001D1674" w:rsidRPr="00AF1E53">
        <w:rPr>
          <w:rFonts w:cs="Times New Roman"/>
        </w:rPr>
        <w:t xml:space="preserve"> </w:t>
      </w:r>
      <w:r w:rsidR="00080866" w:rsidRPr="00AF1E53">
        <w:rPr>
          <w:rFonts w:cs="Times New Roman"/>
        </w:rPr>
        <w:t xml:space="preserve">Piespiedu nauda </w:t>
      </w:r>
      <w:r w:rsidR="00D76DFD">
        <w:rPr>
          <w:rFonts w:cs="Times New Roman"/>
        </w:rPr>
        <w:t>uzlikta</w:t>
      </w:r>
      <w:r w:rsidR="00D76DFD" w:rsidRPr="00AF1E53">
        <w:rPr>
          <w:rFonts w:cs="Times New Roman"/>
        </w:rPr>
        <w:t xml:space="preserve"> </w:t>
      </w:r>
      <w:r w:rsidR="00080866" w:rsidRPr="00AF1E53">
        <w:rPr>
          <w:rFonts w:cs="Times New Roman"/>
        </w:rPr>
        <w:t xml:space="preserve">arī zvērinātai advokātei. </w:t>
      </w:r>
      <w:r w:rsidR="001D1674" w:rsidRPr="00AF1E53">
        <w:rPr>
          <w:rFonts w:cs="Times New Roman"/>
        </w:rPr>
        <w:t>Tiesas priekšsēdētāja vērš uzmanību, ka</w:t>
      </w:r>
      <w:r w:rsidR="0038132C" w:rsidRPr="00AF1E53">
        <w:rPr>
          <w:rFonts w:cs="Times New Roman"/>
        </w:rPr>
        <w:t xml:space="preserve"> </w:t>
      </w:r>
      <w:r w:rsidR="00B87B8A" w:rsidRPr="00AF1E53">
        <w:rPr>
          <w:rFonts w:cs="Times New Roman"/>
        </w:rPr>
        <w:t>jau pieteikumā bij</w:t>
      </w:r>
      <w:r w:rsidR="00120911">
        <w:rPr>
          <w:rFonts w:cs="Times New Roman"/>
        </w:rPr>
        <w:t>usi</w:t>
      </w:r>
      <w:r w:rsidR="00B87B8A" w:rsidRPr="00AF1E53">
        <w:rPr>
          <w:rFonts w:cs="Times New Roman"/>
        </w:rPr>
        <w:t xml:space="preserve"> vispārīga informācija par to, ka liecinieces uz tiesas sēdi </w:t>
      </w:r>
      <w:r w:rsidR="0001688E">
        <w:rPr>
          <w:rFonts w:cs="Times New Roman"/>
        </w:rPr>
        <w:t>/pilsēta B/</w:t>
      </w:r>
      <w:r w:rsidR="00B87B8A" w:rsidRPr="00AF1E53">
        <w:rPr>
          <w:rFonts w:cs="Times New Roman"/>
        </w:rPr>
        <w:t xml:space="preserve"> ierasties nevarēs, tomēr pirmā norāde, ka lūgumi tiesas sēdē izmantot videokonferenci ir noraidīti pierādījumu trūkuma dēļ, izriet tikai no tiesas lēmumiem, kas pieņemti pēc tiesas sēdēm, kurās videokonference lūgta</w:t>
      </w:r>
      <w:r w:rsidR="00767BB4">
        <w:rPr>
          <w:rFonts w:cs="Times New Roman"/>
        </w:rPr>
        <w:t>,</w:t>
      </w:r>
      <w:r w:rsidR="00B87B8A" w:rsidRPr="00AF1E53">
        <w:rPr>
          <w:rFonts w:cs="Times New Roman"/>
        </w:rPr>
        <w:t xml:space="preserve"> lēmumiem, ar kuriem nolemts neatbrīvot liecinieces no piespiedu naudas samaksas</w:t>
      </w:r>
      <w:r w:rsidR="00767BB4">
        <w:rPr>
          <w:rFonts w:cs="Times New Roman"/>
        </w:rPr>
        <w:t>,</w:t>
      </w:r>
      <w:r w:rsidR="00B87B8A" w:rsidRPr="00AF1E53">
        <w:rPr>
          <w:rFonts w:cs="Times New Roman"/>
        </w:rPr>
        <w:t xml:space="preserve"> brīdī, kad pieteicējs tiesnesei jau bija pieteicis noraidījumu un ar sūdzību par tiesneses rīcību vērsies pie tiesas priekšsēdētājas.</w:t>
      </w:r>
      <w:r w:rsidR="002A0332" w:rsidRPr="00AF1E53">
        <w:rPr>
          <w:rFonts w:cs="Times New Roman"/>
        </w:rPr>
        <w:t xml:space="preserve"> </w:t>
      </w:r>
    </w:p>
    <w:p w14:paraId="3176C045" w14:textId="3B6EA261" w:rsidR="001F4F0A" w:rsidRPr="00AF1E53" w:rsidRDefault="002A0332" w:rsidP="001F4F0A">
      <w:pPr>
        <w:autoSpaceDE w:val="0"/>
        <w:spacing w:line="360" w:lineRule="auto"/>
        <w:ind w:firstLine="567"/>
        <w:jc w:val="both"/>
        <w:rPr>
          <w:rFonts w:cs="Times New Roman"/>
        </w:rPr>
      </w:pPr>
      <w:r w:rsidRPr="00AF1E53">
        <w:rPr>
          <w:rFonts w:cs="Times New Roman"/>
        </w:rPr>
        <w:t>Ņemot vērā minēto, tiesas priekšsēdētāja lūdz sniegt atzinumu, vai tiesneses rīcība norādītajos apstākļos, izlemjot pieteicēja, zvērinātas advokātes un liecinieču lūgumus, no komunikācijas aspekta ir atbildusi tiesnešu ētikas normām.</w:t>
      </w:r>
    </w:p>
    <w:p w14:paraId="2D12094D" w14:textId="7E73F63A" w:rsidR="002A0332" w:rsidRPr="00AF1E53" w:rsidRDefault="002A0332" w:rsidP="002A0332">
      <w:pPr>
        <w:autoSpaceDE w:val="0"/>
        <w:spacing w:line="360" w:lineRule="auto"/>
        <w:ind w:firstLine="567"/>
        <w:jc w:val="both"/>
        <w:rPr>
          <w:rFonts w:eastAsia="Times New Roman" w:cs="Times New Roman"/>
          <w:color w:val="000000"/>
        </w:rPr>
      </w:pPr>
      <w:r w:rsidRPr="00AF1E53">
        <w:rPr>
          <w:rFonts w:eastAsia="Times New Roman" w:cs="Times New Roman"/>
          <w:color w:val="000000"/>
        </w:rPr>
        <w:t xml:space="preserve">Tiesas priekšsēdētāja arī lūdz </w:t>
      </w:r>
      <w:r w:rsidR="00F10A72">
        <w:rPr>
          <w:rFonts w:eastAsia="Times New Roman" w:cs="Times New Roman"/>
          <w:color w:val="000000"/>
        </w:rPr>
        <w:t>skaidrot</w:t>
      </w:r>
      <w:r w:rsidRPr="00AF1E53">
        <w:rPr>
          <w:rFonts w:eastAsia="Times New Roman" w:cs="Times New Roman"/>
          <w:color w:val="000000"/>
        </w:rPr>
        <w:t xml:space="preserve">, vai ir ētiska tiesneses rīcība, aicinot zvērinātu advokāti izvērtēt, vai viņa sava vecuma un veselības stāvokļa dēļ ir fiziski spējīga piedalīties tiesas sēdē, un vai tad, ja lietā ir lūgta videokonference, ir ētiski norādīt, ka uzņemšanās sniegt juridisko palīdzību, ja advokātam sava vecuma vai veselības stāvokļa dēļ nav fizisko spēju piedalīties tiesas sēdē bez videokonferences, ir advokāta ētikas pārkāpums. Tiesas priekšsēdētāja atsaucas uz </w:t>
      </w:r>
      <w:r w:rsidR="00767BB4">
        <w:rPr>
          <w:rFonts w:eastAsia="Times New Roman" w:cs="Times New Roman"/>
          <w:color w:val="000000"/>
        </w:rPr>
        <w:t xml:space="preserve">tiesneses </w:t>
      </w:r>
      <w:r w:rsidRPr="00AF1E53">
        <w:rPr>
          <w:rFonts w:eastAsia="Times New Roman" w:cs="Times New Roman"/>
          <w:color w:val="000000"/>
        </w:rPr>
        <w:t>lēmumā, ar kuru zvērinātai advokātei uzlikta piespiedu nauda, norādīto, ka zvērinātam advokātam, uzņemoties sniegt personai juridisku palīdzību un pārstāvēt tās intereses, ir jā</w:t>
      </w:r>
      <w:r w:rsidR="00E04CDD">
        <w:rPr>
          <w:rFonts w:eastAsia="Times New Roman" w:cs="Times New Roman"/>
          <w:color w:val="000000"/>
        </w:rPr>
        <w:t>apsver</w:t>
      </w:r>
      <w:r w:rsidRPr="00AF1E53">
        <w:rPr>
          <w:rFonts w:eastAsia="Times New Roman" w:cs="Times New Roman"/>
          <w:color w:val="000000"/>
        </w:rPr>
        <w:t xml:space="preserve"> savas spējas pienācīgi veikt profesionālo pienākumu, un ka </w:t>
      </w:r>
      <w:r w:rsidRPr="00AF1E53">
        <w:rPr>
          <w:rFonts w:eastAsia="Times New Roman" w:cs="Times New Roman"/>
          <w:color w:val="000000"/>
        </w:rPr>
        <w:lastRenderedPageBreak/>
        <w:t>šis nosacījums attiecināms arī uz zvērināta advokāta fizisko spēju sava vecuma un veselības dēļ piedalīties tiesas sēdē. Ja zvērinātam advokātam šādu spēju nav, tad uzņemšanās sniegt juridisko palīdzību ir advokātu ētikas pārkāpums.</w:t>
      </w:r>
    </w:p>
    <w:p w14:paraId="2AA56249" w14:textId="77777777" w:rsidR="00187979" w:rsidRPr="00AF1E53" w:rsidRDefault="00187979" w:rsidP="00187979">
      <w:pPr>
        <w:autoSpaceDE w:val="0"/>
        <w:spacing w:line="360" w:lineRule="auto"/>
        <w:ind w:firstLine="695"/>
        <w:jc w:val="both"/>
        <w:rPr>
          <w:rFonts w:cs="Times New Roman"/>
        </w:rPr>
      </w:pPr>
    </w:p>
    <w:p w14:paraId="2CDBCB0C" w14:textId="33D68F48" w:rsidR="005947A7" w:rsidRPr="00AF1E53" w:rsidRDefault="00187979" w:rsidP="005947A7">
      <w:pPr>
        <w:autoSpaceDE w:val="0"/>
        <w:spacing w:line="360" w:lineRule="auto"/>
        <w:ind w:firstLine="567"/>
        <w:jc w:val="both"/>
        <w:rPr>
          <w:rFonts w:eastAsia="Times New Roman" w:cs="Times New Roman"/>
          <w:color w:val="000000"/>
        </w:rPr>
      </w:pPr>
      <w:r w:rsidRPr="00AF1E53">
        <w:rPr>
          <w:rFonts w:cs="Times New Roman"/>
        </w:rPr>
        <w:t>[</w:t>
      </w:r>
      <w:r w:rsidR="005947A7" w:rsidRPr="00AF1E53">
        <w:rPr>
          <w:rFonts w:cs="Times New Roman"/>
        </w:rPr>
        <w:t>3</w:t>
      </w:r>
      <w:r w:rsidRPr="00AF1E53">
        <w:rPr>
          <w:rFonts w:cs="Times New Roman"/>
        </w:rPr>
        <w:t>] </w:t>
      </w:r>
      <w:r w:rsidR="005947A7" w:rsidRPr="00AF1E53">
        <w:rPr>
          <w:rFonts w:cs="Times New Roman"/>
        </w:rPr>
        <w:t xml:space="preserve">Pieteicējs </w:t>
      </w:r>
      <w:r w:rsidR="005947A7" w:rsidRPr="00AF1E53">
        <w:rPr>
          <w:rFonts w:eastAsia="Times New Roman" w:cs="Times New Roman"/>
          <w:color w:val="000000"/>
        </w:rPr>
        <w:t xml:space="preserve">sūdzībā </w:t>
      </w:r>
      <w:r w:rsidR="00AD44AB" w:rsidRPr="00AF1E53">
        <w:rPr>
          <w:rFonts w:eastAsia="Times New Roman" w:cs="Times New Roman"/>
          <w:color w:val="000000"/>
        </w:rPr>
        <w:t>norāda</w:t>
      </w:r>
      <w:r w:rsidR="005947A7" w:rsidRPr="00AF1E53">
        <w:rPr>
          <w:rFonts w:eastAsia="Times New Roman" w:cs="Times New Roman"/>
          <w:color w:val="000000"/>
        </w:rPr>
        <w:t>, ka</w:t>
      </w:r>
      <w:r w:rsidR="008C6582" w:rsidRPr="00AF1E53">
        <w:rPr>
          <w:rFonts w:eastAsia="Times New Roman" w:cs="Times New Roman"/>
          <w:color w:val="000000"/>
        </w:rPr>
        <w:t xml:space="preserve"> viņš un liecinieces</w:t>
      </w:r>
      <w:r w:rsidR="005947A7" w:rsidRPr="00AF1E53">
        <w:rPr>
          <w:rFonts w:eastAsia="Times New Roman" w:cs="Times New Roman"/>
          <w:color w:val="000000"/>
        </w:rPr>
        <w:t xml:space="preserve"> jūtas diskriminēti, jo </w:t>
      </w:r>
      <w:r w:rsidR="00B3198C">
        <w:rPr>
          <w:rFonts w:eastAsia="Times New Roman" w:cs="Times New Roman"/>
          <w:color w:val="000000"/>
        </w:rPr>
        <w:t xml:space="preserve">tiem </w:t>
      </w:r>
      <w:r w:rsidR="005947A7" w:rsidRPr="00AF1E53">
        <w:rPr>
          <w:rFonts w:eastAsia="Times New Roman" w:cs="Times New Roman"/>
          <w:color w:val="000000"/>
        </w:rPr>
        <w:t xml:space="preserve">uzlikta piespiedu nauda tādēļ, ka viņi vecuma un veselības stāvokļa dēļ nevar ierasties uz tiesas sēdēm </w:t>
      </w:r>
      <w:r w:rsidR="000F6B62">
        <w:rPr>
          <w:rFonts w:eastAsia="Times New Roman" w:cs="Times New Roman"/>
          <w:color w:val="000000"/>
        </w:rPr>
        <w:t xml:space="preserve">/pilsēta B/ </w:t>
      </w:r>
      <w:r w:rsidR="005947A7" w:rsidRPr="00AF1E53">
        <w:rPr>
          <w:rFonts w:eastAsia="Times New Roman" w:cs="Times New Roman"/>
          <w:color w:val="000000"/>
        </w:rPr>
        <w:t>tiesu namā</w:t>
      </w:r>
      <w:r w:rsidR="008C6582" w:rsidRPr="00AF1E53">
        <w:rPr>
          <w:rFonts w:eastAsia="Times New Roman" w:cs="Times New Roman"/>
          <w:color w:val="000000"/>
        </w:rPr>
        <w:t xml:space="preserve">. Pieteicējs arī skaidro, ka jau pieteikumā bija </w:t>
      </w:r>
      <w:r w:rsidR="00B3198C">
        <w:rPr>
          <w:rFonts w:eastAsia="Times New Roman" w:cs="Times New Roman"/>
          <w:color w:val="000000"/>
        </w:rPr>
        <w:t>lūdzis</w:t>
      </w:r>
      <w:r w:rsidR="008C6582" w:rsidRPr="00AF1E53">
        <w:rPr>
          <w:rFonts w:eastAsia="Times New Roman" w:cs="Times New Roman"/>
          <w:color w:val="000000"/>
        </w:rPr>
        <w:t xml:space="preserve"> lietu izskatīt ar videokonferences starpniecību </w:t>
      </w:r>
      <w:r w:rsidR="0001688E">
        <w:rPr>
          <w:rFonts w:cs="Times New Roman"/>
        </w:rPr>
        <w:t>/</w:t>
      </w:r>
      <w:r w:rsidR="008C6582" w:rsidRPr="00AF1E53">
        <w:rPr>
          <w:rFonts w:cs="Times New Roman"/>
        </w:rPr>
        <w:t>tiesu namā</w:t>
      </w:r>
      <w:r w:rsidR="0001688E">
        <w:rPr>
          <w:rFonts w:cs="Times New Roman"/>
        </w:rPr>
        <w:t>/</w:t>
      </w:r>
      <w:r w:rsidR="008C6582" w:rsidRPr="00AF1E53">
        <w:rPr>
          <w:rFonts w:cs="Times New Roman"/>
        </w:rPr>
        <w:t xml:space="preserve">. </w:t>
      </w:r>
    </w:p>
    <w:p w14:paraId="29FB1C9E" w14:textId="28E04217" w:rsidR="003654D2" w:rsidRPr="00AF1E53" w:rsidRDefault="008C6582" w:rsidP="005947A7">
      <w:pPr>
        <w:autoSpaceDE w:val="0"/>
        <w:spacing w:line="360" w:lineRule="auto"/>
        <w:ind w:firstLine="567"/>
        <w:jc w:val="both"/>
        <w:rPr>
          <w:rFonts w:eastAsia="Times New Roman" w:cs="Times New Roman"/>
          <w:color w:val="000000"/>
        </w:rPr>
      </w:pPr>
      <w:r w:rsidRPr="00AF1E53">
        <w:rPr>
          <w:rFonts w:cs="Times New Roman"/>
        </w:rPr>
        <w:t>Z</w:t>
      </w:r>
      <w:r w:rsidR="00187979" w:rsidRPr="00AF1E53">
        <w:rPr>
          <w:rFonts w:cs="Times New Roman"/>
        </w:rPr>
        <w:t xml:space="preserve">vērināta advokāte </w:t>
      </w:r>
      <w:r w:rsidR="00D07E5F" w:rsidRPr="00AF1E53">
        <w:rPr>
          <w:rFonts w:eastAsia="Times New Roman" w:cs="Times New Roman"/>
          <w:color w:val="000000"/>
        </w:rPr>
        <w:t>sūdzībā</w:t>
      </w:r>
      <w:r w:rsidR="005947A7" w:rsidRPr="00AF1E53">
        <w:rPr>
          <w:rFonts w:eastAsia="Times New Roman" w:cs="Times New Roman"/>
          <w:color w:val="000000"/>
        </w:rPr>
        <w:t>s</w:t>
      </w:r>
      <w:r w:rsidR="00D07E5F" w:rsidRPr="00AF1E53">
        <w:rPr>
          <w:rFonts w:eastAsia="Times New Roman" w:cs="Times New Roman"/>
          <w:color w:val="000000"/>
        </w:rPr>
        <w:t xml:space="preserve"> norād</w:t>
      </w:r>
      <w:r w:rsidR="00AD44AB" w:rsidRPr="00AF1E53">
        <w:rPr>
          <w:rFonts w:eastAsia="Times New Roman" w:cs="Times New Roman"/>
          <w:color w:val="000000"/>
        </w:rPr>
        <w:t>a</w:t>
      </w:r>
      <w:r w:rsidR="00187979" w:rsidRPr="00AF1E53">
        <w:rPr>
          <w:rFonts w:eastAsia="Times New Roman" w:cs="Times New Roman"/>
          <w:color w:val="000000"/>
        </w:rPr>
        <w:t xml:space="preserve">, ka </w:t>
      </w:r>
      <w:r w:rsidRPr="00AF1E53">
        <w:rPr>
          <w:rFonts w:eastAsia="Times New Roman" w:cs="Times New Roman"/>
          <w:color w:val="000000"/>
        </w:rPr>
        <w:t>tiesneses attieksme pret pieteicēju un lieciniecēm, spītīgi atsakoties noteikt tiesas sēdi videokonferences režīmā</w:t>
      </w:r>
      <w:r w:rsidR="00D76DFD">
        <w:rPr>
          <w:rFonts w:eastAsia="Times New Roman" w:cs="Times New Roman"/>
          <w:color w:val="000000"/>
        </w:rPr>
        <w:t>,</w:t>
      </w:r>
      <w:r w:rsidR="00D76DFD" w:rsidRPr="00D76DFD">
        <w:rPr>
          <w:rFonts w:eastAsia="Times New Roman" w:cs="Times New Roman"/>
          <w:color w:val="000000"/>
        </w:rPr>
        <w:t xml:space="preserve"> </w:t>
      </w:r>
      <w:r w:rsidR="00D76DFD" w:rsidRPr="00AF1E53">
        <w:rPr>
          <w:rFonts w:eastAsia="Times New Roman" w:cs="Times New Roman"/>
          <w:color w:val="000000"/>
        </w:rPr>
        <w:t>nav cilvēciska</w:t>
      </w:r>
      <w:r w:rsidRPr="00AF1E53">
        <w:rPr>
          <w:rFonts w:eastAsia="Times New Roman" w:cs="Times New Roman"/>
          <w:color w:val="000000"/>
        </w:rPr>
        <w:t>.</w:t>
      </w:r>
      <w:r w:rsidR="00D87B1A" w:rsidRPr="00AF1E53">
        <w:rPr>
          <w:rFonts w:eastAsia="Times New Roman" w:cs="Times New Roman"/>
          <w:color w:val="000000"/>
        </w:rPr>
        <w:t xml:space="preserve"> Tā kā lietā iesaistītās personas ir riska grupā, viņ</w:t>
      </w:r>
      <w:r w:rsidR="00D76DFD">
        <w:rPr>
          <w:rFonts w:eastAsia="Times New Roman" w:cs="Times New Roman"/>
          <w:color w:val="000000"/>
        </w:rPr>
        <w:t>ā</w:t>
      </w:r>
      <w:r w:rsidR="00D87B1A" w:rsidRPr="00AF1E53">
        <w:rPr>
          <w:rFonts w:eastAsia="Times New Roman" w:cs="Times New Roman"/>
          <w:color w:val="000000"/>
        </w:rPr>
        <w:t>m nav vēlama braukšana sabiedriskā transportā un publisku vietu apmeklēšana</w:t>
      </w:r>
      <w:r w:rsidR="00B3198C">
        <w:rPr>
          <w:rFonts w:eastAsia="Times New Roman" w:cs="Times New Roman"/>
          <w:color w:val="000000"/>
        </w:rPr>
        <w:t>.</w:t>
      </w:r>
      <w:r w:rsidR="00D87B1A" w:rsidRPr="00AF1E53">
        <w:rPr>
          <w:rFonts w:eastAsia="Times New Roman" w:cs="Times New Roman"/>
          <w:color w:val="000000"/>
        </w:rPr>
        <w:t xml:space="preserve"> </w:t>
      </w:r>
      <w:r w:rsidR="00B3198C">
        <w:rPr>
          <w:rFonts w:eastAsia="Times New Roman" w:cs="Times New Roman"/>
          <w:color w:val="000000"/>
        </w:rPr>
        <w:t>Z</w:t>
      </w:r>
      <w:r w:rsidR="00D87B1A" w:rsidRPr="00AF1E53">
        <w:rPr>
          <w:rFonts w:eastAsia="Times New Roman" w:cs="Times New Roman"/>
          <w:color w:val="000000"/>
        </w:rPr>
        <w:t>vērinātai advokātei arī nav saprotams, kādi pierādījumi lūguma pamatošanai tiesnesei būtu jāiesniedz, ja liecinieču vecums (</w:t>
      </w:r>
      <w:r w:rsidR="00AD44AB" w:rsidRPr="00AF1E53">
        <w:rPr>
          <w:rFonts w:eastAsia="Times New Roman" w:cs="Times New Roman"/>
          <w:color w:val="000000"/>
        </w:rPr>
        <w:t>teju 80</w:t>
      </w:r>
      <w:r w:rsidR="00D87B1A" w:rsidRPr="00AF1E53">
        <w:rPr>
          <w:rFonts w:eastAsia="Times New Roman" w:cs="Times New Roman"/>
          <w:color w:val="000000"/>
        </w:rPr>
        <w:t xml:space="preserve"> gadi) ir objektīvi redzams un pamato iemeslu nespējai no </w:t>
      </w:r>
      <w:r w:rsidR="0001688E">
        <w:rPr>
          <w:rFonts w:eastAsia="Times New Roman" w:cs="Times New Roman"/>
          <w:color w:val="000000"/>
        </w:rPr>
        <w:t>/pilsēta A/</w:t>
      </w:r>
      <w:r w:rsidR="00D87B1A" w:rsidRPr="00AF1E53">
        <w:rPr>
          <w:rFonts w:eastAsia="Times New Roman" w:cs="Times New Roman"/>
          <w:color w:val="000000"/>
        </w:rPr>
        <w:t xml:space="preserve"> ierasties tiesā </w:t>
      </w:r>
      <w:r w:rsidR="00EC692F">
        <w:rPr>
          <w:rFonts w:eastAsia="Times New Roman" w:cs="Times New Roman"/>
          <w:color w:val="000000"/>
        </w:rPr>
        <w:t>/pilsēta B/</w:t>
      </w:r>
      <w:r w:rsidR="00D87B1A" w:rsidRPr="00AF1E53">
        <w:rPr>
          <w:rFonts w:eastAsia="Times New Roman" w:cs="Times New Roman"/>
          <w:color w:val="000000"/>
        </w:rPr>
        <w:t>. Zvērināta advokāte arī vērš uzmanību, ka tiesnese</w:t>
      </w:r>
      <w:r w:rsidRPr="00AF1E53">
        <w:rPr>
          <w:rFonts w:eastAsia="Times New Roman" w:cs="Times New Roman"/>
          <w:color w:val="000000"/>
        </w:rPr>
        <w:t xml:space="preserve"> par viņu esot ņirgājusies, </w:t>
      </w:r>
      <w:r w:rsidR="00D87B1A" w:rsidRPr="00AF1E53">
        <w:rPr>
          <w:rFonts w:eastAsia="Times New Roman" w:cs="Times New Roman"/>
          <w:color w:val="000000"/>
        </w:rPr>
        <w:t>jo, atsaucoties uz Zvērinātu advokātu ētikas kodeksa normām, ciniski likusi izvērtēt spējas pienācīgi veikt profesionālo pienākumu savu fizisko spēju, vecuma un veselības stāvokļa dēļ</w:t>
      </w:r>
      <w:r w:rsidR="00EB6A79" w:rsidRPr="00AF1E53">
        <w:rPr>
          <w:rFonts w:eastAsia="Times New Roman" w:cs="Times New Roman"/>
          <w:color w:val="000000"/>
        </w:rPr>
        <w:t xml:space="preserve"> piedalīties tiesas sēdē. Šāda tiesneses attieksme un norāde par to, ka uzņemšanās sniegt juridisko palīdzību ir advokāta ētikas pārkāpums, ja zvērinātam advokātam šādu spēju nav, zvērinātu advokāti ir personiski aizskāris.</w:t>
      </w:r>
    </w:p>
    <w:p w14:paraId="0D7B0806" w14:textId="333C796D" w:rsidR="00187979" w:rsidRPr="00AF1E53" w:rsidRDefault="00187979" w:rsidP="0000617A">
      <w:pPr>
        <w:spacing w:line="360" w:lineRule="auto"/>
        <w:ind w:firstLine="720"/>
        <w:jc w:val="both"/>
        <w:rPr>
          <w:rFonts w:cs="Times New Roman"/>
          <w:i/>
        </w:rPr>
      </w:pPr>
    </w:p>
    <w:p w14:paraId="4B93E0C1" w14:textId="0CB20095" w:rsidR="006E7155" w:rsidRPr="00AF1E53" w:rsidRDefault="00D85766" w:rsidP="006E7155">
      <w:pPr>
        <w:pStyle w:val="Standard"/>
        <w:spacing w:line="360" w:lineRule="auto"/>
        <w:ind w:right="-113" w:firstLine="567"/>
        <w:jc w:val="both"/>
      </w:pPr>
      <w:r w:rsidRPr="00AF1E53">
        <w:t>[</w:t>
      </w:r>
      <w:r w:rsidR="005947A7" w:rsidRPr="00AF1E53">
        <w:t>4</w:t>
      </w:r>
      <w:r w:rsidRPr="00AF1E53">
        <w:t>]</w:t>
      </w:r>
      <w:r w:rsidR="00E31E32" w:rsidRPr="00AF1E53">
        <w:t> </w:t>
      </w:r>
      <w:r w:rsidR="005947A7" w:rsidRPr="00AF1E53">
        <w:t>T</w:t>
      </w:r>
      <w:r w:rsidR="00CC62D6" w:rsidRPr="00AF1E53">
        <w:t>iesnese</w:t>
      </w:r>
      <w:r w:rsidR="005947A7" w:rsidRPr="00AF1E53">
        <w:t xml:space="preserve"> </w:t>
      </w:r>
      <w:r w:rsidR="008078AA" w:rsidRPr="00AF1E53">
        <w:t>rakstveida paskaidrojumos komisijai</w:t>
      </w:r>
      <w:r w:rsidR="005A7064" w:rsidRPr="00AF1E53">
        <w:t xml:space="preserve"> norāda, ka sūdzību iesniegšanas iemesls ir pieteicēja un viņa pārstāves neapmierinātība ar pieteiktā lūguma – izskatīt lietu videokonferences režīmā – noraidīšanu. Lai arī likums neparedz šādu lūgumu </w:t>
      </w:r>
      <w:r w:rsidR="00B3198C" w:rsidRPr="00AF1E53">
        <w:t>iz</w:t>
      </w:r>
      <w:r w:rsidR="00B3198C">
        <w:t>lemt ar</w:t>
      </w:r>
      <w:r w:rsidR="00B3198C" w:rsidRPr="00AF1E53">
        <w:t xml:space="preserve"> </w:t>
      </w:r>
      <w:r w:rsidR="005A7064" w:rsidRPr="00AF1E53">
        <w:t>motivētu lēmumu, iemeslus lūguma neapmierināšanai tiesnese norādījusi gan lietas materiālos esošajos procesuālajos lēmumos, gan paskaidrojumā tiesas priekšsēdētāja</w:t>
      </w:r>
      <w:r w:rsidR="006E7155" w:rsidRPr="00AF1E53">
        <w:t>i</w:t>
      </w:r>
      <w:r w:rsidR="005A7064" w:rsidRPr="00AF1E53">
        <w:t xml:space="preserve">. </w:t>
      </w:r>
    </w:p>
    <w:p w14:paraId="468C7730" w14:textId="23CCFCD1" w:rsidR="005A7064" w:rsidRPr="00AF1E53" w:rsidRDefault="006E7155" w:rsidP="006E7155">
      <w:pPr>
        <w:pStyle w:val="Standard"/>
        <w:spacing w:line="360" w:lineRule="auto"/>
        <w:ind w:right="-113" w:firstLine="567"/>
        <w:jc w:val="both"/>
      </w:pPr>
      <w:r w:rsidRPr="00AF1E53">
        <w:t>Tiesnese skaidro, ka</w:t>
      </w:r>
      <w:r w:rsidR="005A7064" w:rsidRPr="00AF1E53">
        <w:t xml:space="preserve"> vēl pirms lietas ierosināšanas, kā arī visā tiesvedības laikā līdz pat sūdzību iesniegšanai tiesas priekšsēdētājai aktīva komunikācija ar pieteicēju, personu, kura rīkojās pieteicēja vārdā, nenosaucot savu vārdu, un zvērinātu advokāti notika arī telefoniski. Par to minēts gan sūdzībās, gan lietā iesniegtajos iesniegumos un lūgumos, kā arī pieminēts tiesas sēdes protokolā. Vismaz četrās telefona sarunās gan pieteicējam, gan zvērinātai advokātei vairākkārtīgi skaidrots, ka tiesas sēdes netiks organizētas videokonferences režīmā, jo šādā tiesas sēžu formātā nav iespējams objektīvi pārbaudīt pierādījumus. Līdz ar to nav pamata uzskatīt, ka pieteiktais lūgums ignorēts un nav paziņots</w:t>
      </w:r>
      <w:r w:rsidR="00C154DB">
        <w:t xml:space="preserve"> par tā izlemšanu</w:t>
      </w:r>
      <w:r w:rsidR="005A7064" w:rsidRPr="00AF1E53">
        <w:t>.</w:t>
      </w:r>
    </w:p>
    <w:p w14:paraId="1D85D562" w14:textId="672DBC1A" w:rsidR="005A7064" w:rsidRPr="00AF1E53" w:rsidRDefault="006E7155" w:rsidP="006E7155">
      <w:pPr>
        <w:pStyle w:val="Standard"/>
        <w:spacing w:line="360" w:lineRule="auto"/>
        <w:ind w:right="-113" w:firstLine="567"/>
        <w:jc w:val="both"/>
      </w:pPr>
      <w:r w:rsidRPr="00AF1E53">
        <w:lastRenderedPageBreak/>
        <w:t>Tiesnese</w:t>
      </w:r>
      <w:r w:rsidR="005A7064" w:rsidRPr="00AF1E53">
        <w:t xml:space="preserve"> uzskat</w:t>
      </w:r>
      <w:r w:rsidRPr="00AF1E53">
        <w:t>a</w:t>
      </w:r>
      <w:r w:rsidR="005A7064" w:rsidRPr="00AF1E53">
        <w:t>, ka zvērināt</w:t>
      </w:r>
      <w:r w:rsidRPr="00AF1E53">
        <w:t>a</w:t>
      </w:r>
      <w:r w:rsidR="005A7064" w:rsidRPr="00AF1E53">
        <w:t xml:space="preserve"> advokāt</w:t>
      </w:r>
      <w:r w:rsidRPr="00AF1E53">
        <w:t>e</w:t>
      </w:r>
      <w:r w:rsidR="00C154DB" w:rsidRPr="00C154DB">
        <w:t xml:space="preserve"> </w:t>
      </w:r>
      <w:r w:rsidR="00C154DB" w:rsidRPr="00AF1E53">
        <w:t>nerīkojas ētiski</w:t>
      </w:r>
      <w:r w:rsidR="005A7064" w:rsidRPr="00AF1E53">
        <w:t xml:space="preserve">, jebkādiem negodprātīgiem un agresīviem līdzekļiem cenšoties panākt lūgumu apmierināšanu. No lietā saņemto procesuālo dokumentu formas un juridiski nekorektās, tiesu aizskarošās valodas satura ir acīmredzami izsecināms, ka visus pieteicēja, zvērinātas advokātes un liecinieču parakstītos dokumentus ir sagatavojusi zvērināta advokāte. Būtībā zvērinātas advokātes mērķis, iesniedzot sūdzības, </w:t>
      </w:r>
      <w:r w:rsidRPr="00AF1E53">
        <w:t xml:space="preserve">tiesneses ieskatā, </w:t>
      </w:r>
      <w:r w:rsidR="005A7064" w:rsidRPr="00AF1E53">
        <w:t>ir panākt, ka lietu izskata cits tiesnesis.</w:t>
      </w:r>
    </w:p>
    <w:p w14:paraId="244541DE" w14:textId="77777777" w:rsidR="00D85766" w:rsidRPr="00AF1E53" w:rsidRDefault="00D85766" w:rsidP="00D85766">
      <w:pPr>
        <w:pStyle w:val="Standard"/>
        <w:spacing w:line="360" w:lineRule="auto"/>
        <w:ind w:right="-113"/>
        <w:jc w:val="both"/>
      </w:pPr>
    </w:p>
    <w:p w14:paraId="0FFCA7EF" w14:textId="7EAEDCAD" w:rsidR="00D85766" w:rsidRPr="00AF1E53" w:rsidRDefault="00D85766" w:rsidP="007B2304">
      <w:pPr>
        <w:spacing w:line="360" w:lineRule="auto"/>
        <w:ind w:firstLine="567"/>
        <w:jc w:val="both"/>
        <w:rPr>
          <w:rFonts w:cs="Times New Roman"/>
        </w:rPr>
      </w:pPr>
      <w:r w:rsidRPr="00AF1E53">
        <w:rPr>
          <w:rFonts w:cs="Times New Roman"/>
        </w:rPr>
        <w:t>[</w:t>
      </w:r>
      <w:r w:rsidR="00E31E32" w:rsidRPr="00AF1E53">
        <w:rPr>
          <w:rFonts w:cs="Times New Roman"/>
        </w:rPr>
        <w:t>5</w:t>
      </w:r>
      <w:r w:rsidRPr="00AF1E53">
        <w:rPr>
          <w:rFonts w:cs="Times New Roman"/>
        </w:rPr>
        <w:t xml:space="preserve">] Tiesnešu ētikas komisija </w:t>
      </w:r>
      <w:r w:rsidR="00AD44AB" w:rsidRPr="00AF1E53">
        <w:rPr>
          <w:rFonts w:cs="Times New Roman"/>
        </w:rPr>
        <w:t>vērš uzmanību</w:t>
      </w:r>
      <w:r w:rsidRPr="00AF1E53">
        <w:rPr>
          <w:rFonts w:cs="Times New Roman"/>
        </w:rPr>
        <w:t xml:space="preserve">, ka tās kompetencē neietilpst vērtēt tiesneša darbību pamatotību no </w:t>
      </w:r>
      <w:r w:rsidR="009F483B" w:rsidRPr="00AF1E53">
        <w:rPr>
          <w:rFonts w:cs="Times New Roman"/>
        </w:rPr>
        <w:t>procesuālo</w:t>
      </w:r>
      <w:r w:rsidRPr="00AF1E53">
        <w:rPr>
          <w:rFonts w:cs="Times New Roman"/>
        </w:rPr>
        <w:t xml:space="preserve"> normu piemērošanas aspekta. Tiesnešu ētikas komisija</w:t>
      </w:r>
      <w:r w:rsidR="00AD44AB" w:rsidRPr="00AF1E53">
        <w:rPr>
          <w:rFonts w:cs="Times New Roman"/>
        </w:rPr>
        <w:t xml:space="preserve"> </w:t>
      </w:r>
      <w:r w:rsidRPr="00AF1E53">
        <w:rPr>
          <w:rFonts w:cs="Times New Roman"/>
        </w:rPr>
        <w:t>vērtē tiesneša rīcības atbilstību tiesnešu ētikas norm</w:t>
      </w:r>
      <w:r w:rsidR="00AD44AB" w:rsidRPr="00AF1E53">
        <w:rPr>
          <w:rFonts w:cs="Times New Roman"/>
        </w:rPr>
        <w:t>ām</w:t>
      </w:r>
      <w:r w:rsidRPr="00AF1E53">
        <w:rPr>
          <w:rFonts w:cs="Times New Roman"/>
        </w:rPr>
        <w:t>.</w:t>
      </w:r>
    </w:p>
    <w:p w14:paraId="6AC33DD5" w14:textId="77777777" w:rsidR="00AC4396" w:rsidRPr="00AF1E53" w:rsidRDefault="00AC4396" w:rsidP="00E528CC">
      <w:pPr>
        <w:spacing w:line="360" w:lineRule="auto"/>
        <w:jc w:val="both"/>
        <w:rPr>
          <w:rFonts w:cs="Times New Roman"/>
        </w:rPr>
      </w:pPr>
    </w:p>
    <w:p w14:paraId="5F28158E" w14:textId="20242A34" w:rsidR="00187979" w:rsidRPr="00AF1E53" w:rsidRDefault="00187979" w:rsidP="007B2304">
      <w:pPr>
        <w:autoSpaceDE w:val="0"/>
        <w:spacing w:line="360" w:lineRule="auto"/>
        <w:ind w:firstLine="567"/>
        <w:jc w:val="both"/>
        <w:rPr>
          <w:rFonts w:cs="Times New Roman"/>
        </w:rPr>
      </w:pPr>
      <w:r w:rsidRPr="00AF1E53">
        <w:rPr>
          <w:rFonts w:eastAsia="Times New Roman" w:cs="Times New Roman"/>
          <w:color w:val="000000"/>
        </w:rPr>
        <w:t>[</w:t>
      </w:r>
      <w:r w:rsidR="009F483B" w:rsidRPr="00AF1E53">
        <w:rPr>
          <w:rFonts w:eastAsia="Times New Roman" w:cs="Times New Roman"/>
          <w:color w:val="000000"/>
        </w:rPr>
        <w:t>6</w:t>
      </w:r>
      <w:r w:rsidRPr="00AF1E53">
        <w:rPr>
          <w:rFonts w:eastAsia="Times New Roman" w:cs="Times New Roman"/>
          <w:color w:val="000000"/>
        </w:rPr>
        <w:t>]</w:t>
      </w:r>
      <w:r w:rsidR="009F483B" w:rsidRPr="00AF1E53">
        <w:rPr>
          <w:rFonts w:eastAsia="Times New Roman" w:cs="Times New Roman"/>
          <w:color w:val="000000"/>
        </w:rPr>
        <w:t> </w:t>
      </w:r>
      <w:r w:rsidRPr="00AF1E53">
        <w:rPr>
          <w:rFonts w:cs="Times New Roman"/>
        </w:rPr>
        <w:t xml:space="preserve">Saskaņā ar likuma </w:t>
      </w:r>
      <w:r w:rsidR="003217FE" w:rsidRPr="00AF1E53">
        <w:rPr>
          <w:rFonts w:cs="Times New Roman"/>
        </w:rPr>
        <w:t>„</w:t>
      </w:r>
      <w:r w:rsidRPr="00AF1E53">
        <w:rPr>
          <w:rFonts w:cs="Times New Roman"/>
        </w:rPr>
        <w:t>Par tiesu varu” 91.</w:t>
      </w:r>
      <w:r w:rsidR="005861D2" w:rsidRPr="00AF1E53">
        <w:rPr>
          <w:rFonts w:cs="Times New Roman"/>
          <w:vertAlign w:val="superscript"/>
        </w:rPr>
        <w:t>2</w:t>
      </w:r>
      <w:r w:rsidRPr="00AF1E53">
        <w:rPr>
          <w:rFonts w:cs="Times New Roman"/>
        </w:rPr>
        <w:t>panta 1</w:t>
      </w:r>
      <w:r w:rsidRPr="00AF1E53">
        <w:rPr>
          <w:rFonts w:eastAsia="Times New Roman" w:cs="Times New Roman"/>
          <w:kern w:val="0"/>
          <w:lang w:eastAsia="lv-LV" w:bidi="ar-SA"/>
        </w:rPr>
        <w:t xml:space="preserve">.punktu Tiesnešu ētikas komisija </w:t>
      </w:r>
      <w:r w:rsidRPr="00AF1E53">
        <w:rPr>
          <w:rFonts w:cs="Times New Roman"/>
        </w:rPr>
        <w:t xml:space="preserve">pēc tās personas pieprasījuma, kurai ir tiesības ierosināt disciplinārlietu, sniedz atzinumus par ētikas normu interpretāciju un pārkāpumiem. </w:t>
      </w:r>
    </w:p>
    <w:p w14:paraId="1FCFC81F" w14:textId="77777777" w:rsidR="00187979" w:rsidRPr="00AF1E53" w:rsidRDefault="005861D2" w:rsidP="00FA7A9C">
      <w:pPr>
        <w:autoSpaceDE w:val="0"/>
        <w:spacing w:line="360" w:lineRule="auto"/>
        <w:ind w:firstLine="567"/>
        <w:jc w:val="both"/>
        <w:rPr>
          <w:rFonts w:cs="Times New Roman"/>
        </w:rPr>
      </w:pPr>
      <w:r w:rsidRPr="00AF1E53">
        <w:rPr>
          <w:rFonts w:cs="Times New Roman"/>
        </w:rPr>
        <w:t>Līdz ar to</w:t>
      </w:r>
      <w:r w:rsidR="00187979" w:rsidRPr="00AF1E53">
        <w:rPr>
          <w:rFonts w:cs="Times New Roman"/>
        </w:rPr>
        <w:t xml:space="preserve"> komisija izvērtē, vai tiesne</w:t>
      </w:r>
      <w:r w:rsidR="00915E86" w:rsidRPr="00AF1E53">
        <w:rPr>
          <w:rFonts w:cs="Times New Roman"/>
        </w:rPr>
        <w:t>ses</w:t>
      </w:r>
      <w:r w:rsidR="00187979" w:rsidRPr="00AF1E53">
        <w:rPr>
          <w:rFonts w:cs="Times New Roman"/>
        </w:rPr>
        <w:t xml:space="preserve"> darbībās ir konstatējams ētikas normu pārkāpums.</w:t>
      </w:r>
    </w:p>
    <w:p w14:paraId="013D1772" w14:textId="77777777" w:rsidR="00AC4396" w:rsidRPr="00AF1E53" w:rsidRDefault="00AC4396" w:rsidP="00AC4396">
      <w:pPr>
        <w:spacing w:line="360" w:lineRule="auto"/>
        <w:jc w:val="both"/>
        <w:rPr>
          <w:rFonts w:cs="Times New Roman"/>
        </w:rPr>
      </w:pPr>
    </w:p>
    <w:p w14:paraId="1FB91D26" w14:textId="1554C306" w:rsidR="00AC4396" w:rsidRPr="00AF1E53" w:rsidRDefault="00AC4396" w:rsidP="007B2304">
      <w:pPr>
        <w:spacing w:line="360" w:lineRule="auto"/>
        <w:ind w:firstLine="567"/>
        <w:jc w:val="both"/>
        <w:rPr>
          <w:rFonts w:cs="Times New Roman"/>
        </w:rPr>
      </w:pPr>
      <w:r w:rsidRPr="00AF1E53">
        <w:rPr>
          <w:rFonts w:cs="Times New Roman"/>
        </w:rPr>
        <w:t>[</w:t>
      </w:r>
      <w:r w:rsidR="009F483B" w:rsidRPr="00AF1E53">
        <w:rPr>
          <w:rFonts w:cs="Times New Roman"/>
        </w:rPr>
        <w:t>7</w:t>
      </w:r>
      <w:r w:rsidRPr="00AF1E53">
        <w:rPr>
          <w:rFonts w:cs="Times New Roman"/>
        </w:rPr>
        <w:t xml:space="preserve">] Izvērtējusi Tiesnešu ētikas komisijas rīcībā esošos materiālus un tiesneses sniegtos paskaidrojumus, komisija atzīst, ka tiesneses rīcībā ir konstatējams ētikas normu pārkāpums.  </w:t>
      </w:r>
    </w:p>
    <w:p w14:paraId="1B9FFF25" w14:textId="77777777" w:rsidR="00187979" w:rsidRPr="00AF1E53" w:rsidRDefault="00187979" w:rsidP="00AC4396">
      <w:pPr>
        <w:autoSpaceDE w:val="0"/>
        <w:spacing w:line="360" w:lineRule="auto"/>
        <w:jc w:val="both"/>
        <w:rPr>
          <w:rFonts w:cs="Times New Roman"/>
          <w:i/>
        </w:rPr>
      </w:pPr>
    </w:p>
    <w:p w14:paraId="640BE03B" w14:textId="24A756A7" w:rsidR="00D85766" w:rsidRPr="00AF1E53" w:rsidRDefault="00187979" w:rsidP="002B4537">
      <w:pPr>
        <w:spacing w:line="360" w:lineRule="auto"/>
        <w:ind w:firstLine="567"/>
        <w:jc w:val="both"/>
        <w:rPr>
          <w:rFonts w:cs="Times New Roman"/>
        </w:rPr>
      </w:pPr>
      <w:r w:rsidRPr="00AF1E53">
        <w:t>[</w:t>
      </w:r>
      <w:r w:rsidR="009F483B" w:rsidRPr="00AF1E53">
        <w:t>8</w:t>
      </w:r>
      <w:r w:rsidRPr="00AF1E53">
        <w:t>] </w:t>
      </w:r>
      <w:r w:rsidR="002B4537" w:rsidRPr="00AF1E53">
        <w:rPr>
          <w:rFonts w:cs="Times New Roman"/>
        </w:rPr>
        <w:t xml:space="preserve">Tiesnešu ētikas kodeksa preambulā ir uzsvērts, ka cilvēka tiesības tiek īstenotas bez jebkādas diskriminācijas, un ikviens var aizstāvēt savas tiesības, kā arī likumiskās intereses taisnīgā tiesā. </w:t>
      </w:r>
      <w:r w:rsidR="00C87690" w:rsidRPr="00AF1E53">
        <w:rPr>
          <w:rFonts w:cs="Times New Roman"/>
        </w:rPr>
        <w:t>T</w:t>
      </w:r>
      <w:r w:rsidR="002B4537" w:rsidRPr="00AF1E53">
        <w:rPr>
          <w:rFonts w:cs="Times New Roman"/>
        </w:rPr>
        <w:t xml:space="preserve">iesnešiem ir centrālā loma taisnīgas tiesas un tiesiskuma nodrošināšanā. </w:t>
      </w:r>
    </w:p>
    <w:p w14:paraId="41C083C9" w14:textId="26DE7452" w:rsidR="002B4537" w:rsidRPr="00AF1E53" w:rsidRDefault="00AD44AB" w:rsidP="0074227A">
      <w:pPr>
        <w:spacing w:line="360" w:lineRule="auto"/>
        <w:ind w:firstLine="567"/>
        <w:jc w:val="both"/>
        <w:rPr>
          <w:rFonts w:cs="Times New Roman"/>
        </w:rPr>
      </w:pPr>
      <w:r w:rsidRPr="00AF1E53">
        <w:rPr>
          <w:rFonts w:cs="Times New Roman"/>
        </w:rPr>
        <w:t xml:space="preserve">Taisnīga tiesa un tiesisks process </w:t>
      </w:r>
      <w:r w:rsidR="0074227A" w:rsidRPr="00AF1E53">
        <w:rPr>
          <w:rFonts w:cs="Times New Roman"/>
        </w:rPr>
        <w:t>ir tiesas procesa virsmērķis</w:t>
      </w:r>
      <w:r w:rsidR="00F7322A" w:rsidRPr="00AF1E53">
        <w:rPr>
          <w:rFonts w:cs="Times New Roman"/>
        </w:rPr>
        <w:t>,</w:t>
      </w:r>
      <w:r w:rsidR="0074227A" w:rsidRPr="00AF1E53">
        <w:rPr>
          <w:rFonts w:cs="Times New Roman"/>
        </w:rPr>
        <w:t xml:space="preserve"> un tas </w:t>
      </w:r>
      <w:r w:rsidRPr="00AF1E53">
        <w:rPr>
          <w:rFonts w:cs="Times New Roman"/>
        </w:rPr>
        <w:t>vairo uzticēšanos tiesu varai. Atbildība par to ir tiesnesim, kurš izskata konkrēto tiesību strīdu. T</w:t>
      </w:r>
      <w:r w:rsidR="0074227A" w:rsidRPr="00AF1E53">
        <w:rPr>
          <w:rFonts w:cs="Times New Roman"/>
        </w:rPr>
        <w:t>ieši t</w:t>
      </w:r>
      <w:r w:rsidRPr="00AF1E53">
        <w:rPr>
          <w:rFonts w:cs="Times New Roman"/>
        </w:rPr>
        <w:t xml:space="preserve">iesneša godprātība un cieņpilna attieksme stiprina </w:t>
      </w:r>
      <w:r w:rsidR="00F7322A" w:rsidRPr="00AF1E53">
        <w:rPr>
          <w:rFonts w:cs="Times New Roman"/>
        </w:rPr>
        <w:t xml:space="preserve">tiesiskumu </w:t>
      </w:r>
      <w:r w:rsidRPr="00AF1E53">
        <w:rPr>
          <w:rFonts w:cs="Times New Roman"/>
        </w:rPr>
        <w:t>un vairo sabiedrības uzticēšanos tiesu varai.</w:t>
      </w:r>
      <w:r w:rsidR="0074227A" w:rsidRPr="00AF1E53">
        <w:rPr>
          <w:rFonts w:cs="Times New Roman"/>
        </w:rPr>
        <w:t xml:space="preserve"> Kodeksa 2.kanonā ir atklāts godprātības un cieņas principa tvērums. Tiesnesis ciena un ievēro likumu, godprātīgi un ar cieņu attiecas pret savu amatu, amata pienākumiem, procesa dalībniekiem, kolēģiem un sabiedrību kopumā</w:t>
      </w:r>
      <w:r w:rsidR="00F7322A" w:rsidRPr="00AF1E53">
        <w:rPr>
          <w:rFonts w:cs="Times New Roman"/>
        </w:rPr>
        <w:t xml:space="preserve"> (1.punkts)</w:t>
      </w:r>
      <w:r w:rsidR="0074227A" w:rsidRPr="00AF1E53">
        <w:rPr>
          <w:rFonts w:cs="Times New Roman"/>
        </w:rPr>
        <w:t>. T</w:t>
      </w:r>
      <w:r w:rsidR="002B4537" w:rsidRPr="00AF1E53">
        <w:rPr>
          <w:rFonts w:cs="Times New Roman"/>
        </w:rPr>
        <w:t>iesnesi</w:t>
      </w:r>
      <w:r w:rsidRPr="00AF1E53">
        <w:rPr>
          <w:rFonts w:cs="Times New Roman"/>
        </w:rPr>
        <w:t>m</w:t>
      </w:r>
      <w:r w:rsidR="002B4537" w:rsidRPr="00AF1E53">
        <w:rPr>
          <w:rFonts w:cs="Times New Roman"/>
        </w:rPr>
        <w:t xml:space="preserve">, gan veicot amata pienākumus, gan darbojoties ārpus tiem, </w:t>
      </w:r>
      <w:r w:rsidRPr="00AF1E53">
        <w:rPr>
          <w:rFonts w:cs="Times New Roman"/>
        </w:rPr>
        <w:t>jā</w:t>
      </w:r>
      <w:r w:rsidR="002B4537" w:rsidRPr="00AF1E53">
        <w:rPr>
          <w:rFonts w:cs="Times New Roman"/>
        </w:rPr>
        <w:t>rīkojas tā, lai veicinātu sabiedrības uzticēšanos tiesu varai</w:t>
      </w:r>
      <w:r w:rsidRPr="00AF1E53">
        <w:rPr>
          <w:rFonts w:cs="Times New Roman"/>
        </w:rPr>
        <w:t xml:space="preserve"> (2.punkts) un jā</w:t>
      </w:r>
      <w:r w:rsidR="002B4537" w:rsidRPr="00AF1E53">
        <w:rPr>
          <w:rFonts w:cs="Times New Roman"/>
        </w:rPr>
        <w:t>nodrošina, lai viņa rīcība saprātīga, informēta un no aizspriedumiem brīva vērotāja ieskatā ir saprotama</w:t>
      </w:r>
      <w:r w:rsidR="0074227A" w:rsidRPr="00AF1E53">
        <w:rPr>
          <w:rFonts w:cs="Times New Roman"/>
        </w:rPr>
        <w:t xml:space="preserve"> (3.punkts)</w:t>
      </w:r>
      <w:r w:rsidR="002B4537" w:rsidRPr="00AF1E53">
        <w:rPr>
          <w:rFonts w:cs="Times New Roman"/>
        </w:rPr>
        <w:t>.</w:t>
      </w:r>
      <w:r w:rsidR="00D85C86" w:rsidRPr="00AF1E53">
        <w:rPr>
          <w:rFonts w:cs="Times New Roman"/>
        </w:rPr>
        <w:t xml:space="preserve"> Tiesnesis, iztiesājot lietu, darbojas pacietīgi, nosvērti un nesteidzīgi, tomēr efektīvi un uzņēmīgi (6.punkts).</w:t>
      </w:r>
    </w:p>
    <w:p w14:paraId="2AC3F606" w14:textId="1276659A" w:rsidR="003121DA" w:rsidRPr="00AF1E53" w:rsidRDefault="003121DA" w:rsidP="0074227A">
      <w:pPr>
        <w:spacing w:line="360" w:lineRule="auto"/>
        <w:ind w:firstLine="567"/>
        <w:jc w:val="both"/>
        <w:rPr>
          <w:rFonts w:cs="Times New Roman"/>
        </w:rPr>
      </w:pPr>
      <w:r w:rsidRPr="00AF1E53">
        <w:rPr>
          <w:rFonts w:cs="Times New Roman"/>
        </w:rPr>
        <w:lastRenderedPageBreak/>
        <w:t>Tiesības uz taisnīgu tiesu ietver tiesības arī uz tiesas objektivitāti. Tas attiecas ne vien uz pašiem nolēmumiem, bet arī uz nolēmumu pieņemšanas procesu. Objektivitātes princips savukārt atklāts 3.kanonā. Tiesnesi</w:t>
      </w:r>
      <w:r w:rsidR="00AF6AA4">
        <w:rPr>
          <w:rFonts w:cs="Times New Roman"/>
        </w:rPr>
        <w:t>m</w:t>
      </w:r>
      <w:r w:rsidRPr="00AF1E53">
        <w:rPr>
          <w:rFonts w:cs="Times New Roman"/>
        </w:rPr>
        <w:t xml:space="preserve"> pienākumi jāpilda objektīvi, neitrāli un bez aizspriedumiem (1.punkts), jāizvairās no vārdiem un runas, žestiem vai citas darbības, kuru varētu uztvert kā neobjektivitāti vai aizspriedumu izpausmi (2.punkts).</w:t>
      </w:r>
    </w:p>
    <w:p w14:paraId="36C45EFE" w14:textId="7CC5A591" w:rsidR="003121DA" w:rsidRPr="00AF1E53" w:rsidRDefault="003121DA" w:rsidP="003121DA">
      <w:pPr>
        <w:spacing w:line="360" w:lineRule="auto"/>
        <w:ind w:firstLine="567"/>
        <w:jc w:val="both"/>
        <w:rPr>
          <w:rFonts w:cs="Times New Roman"/>
        </w:rPr>
      </w:pPr>
      <w:r w:rsidRPr="00AF1E53">
        <w:rPr>
          <w:rFonts w:cs="Times New Roman"/>
        </w:rPr>
        <w:t>Tiesības uz taisnīgu tiesu ietver arī kompetentu tiesu varu. Tiesas efektīvas darbības pamatā ir tiesneša profesionālās prasmes un zināšanas. Kompetences principa vārdiskais atspoguļojums atrodams 4.kanonā. Tiesnesim jābūt pacietīgam, cieņpilnam un pieklājīgam pret procesa dalībniekiem un citiem, ar kuriem tiesnesis saskaras, veicot savus amata pienākumus</w:t>
      </w:r>
      <w:r w:rsidR="00912EC4" w:rsidRPr="00AF1E53">
        <w:rPr>
          <w:rFonts w:cs="Times New Roman"/>
        </w:rPr>
        <w:t xml:space="preserve"> (4.punkts), savus amata pienākumus veicot rūpīgi, ar dziļu izpratni par tiesībām un lietas faktiskajiem apstākļiem (3.punkts). Nolūkā nodrošināt efektīvu tiesas procesu un taisnīgu tiesu, tiesnesim ir pienākums darīt visu iespējamo, lai tostarp attīstītu personīgās spējas, kas nepieciešamas tiesneša pienākumu pienācīgai veikšanai</w:t>
      </w:r>
      <w:r w:rsidR="002E6C10" w:rsidRPr="00AF1E53">
        <w:rPr>
          <w:rFonts w:cs="Times New Roman"/>
        </w:rPr>
        <w:t xml:space="preserve"> (2.punkts)</w:t>
      </w:r>
      <w:r w:rsidR="00912EC4" w:rsidRPr="00AF1E53">
        <w:rPr>
          <w:rFonts w:cs="Times New Roman"/>
        </w:rPr>
        <w:t>.</w:t>
      </w:r>
    </w:p>
    <w:p w14:paraId="5FBD715F" w14:textId="2ECC98A2" w:rsidR="00507007" w:rsidRPr="00B05E2B" w:rsidRDefault="006C1F71" w:rsidP="00507007">
      <w:pPr>
        <w:spacing w:line="360" w:lineRule="auto"/>
        <w:ind w:firstLine="567"/>
        <w:jc w:val="both"/>
        <w:rPr>
          <w:color w:val="000000" w:themeColor="text1"/>
        </w:rPr>
      </w:pPr>
      <w:r w:rsidRPr="00AF1E53">
        <w:rPr>
          <w:rFonts w:cs="Times New Roman"/>
        </w:rPr>
        <w:t xml:space="preserve">Līdzīgi godprātības, cieņpilnas attieksmes, objektivitātes un kompetences principi atklāti arī </w:t>
      </w:r>
      <w:r w:rsidR="004C6A25" w:rsidRPr="00AF1E53">
        <w:rPr>
          <w:rFonts w:cs="Times New Roman"/>
        </w:rPr>
        <w:t xml:space="preserve">ANO Ekonomisko un sociālo lietu padomes apstiprinātajos </w:t>
      </w:r>
      <w:r w:rsidRPr="00AF1E53">
        <w:rPr>
          <w:rFonts w:cs="Times New Roman"/>
        </w:rPr>
        <w:t>Bangaloras tiesnešu ētikas principos (</w:t>
      </w:r>
      <w:r w:rsidR="004C6A25" w:rsidRPr="00AF1E53">
        <w:rPr>
          <w:rFonts w:cs="Times New Roman"/>
        </w:rPr>
        <w:t>2.1., 2.2., 2.4., 3.2., 6.6.punkts</w:t>
      </w:r>
      <w:r w:rsidRPr="00B05E2B">
        <w:rPr>
          <w:rFonts w:cs="Times New Roman"/>
          <w:color w:val="000000" w:themeColor="text1"/>
        </w:rPr>
        <w:t>).</w:t>
      </w:r>
      <w:r w:rsidR="004C6A25" w:rsidRPr="00B05E2B">
        <w:rPr>
          <w:rFonts w:cs="Times New Roman"/>
          <w:color w:val="000000" w:themeColor="text1"/>
        </w:rPr>
        <w:t xml:space="preserve"> </w:t>
      </w:r>
      <w:r w:rsidR="00507007" w:rsidRPr="00B05E2B">
        <w:rPr>
          <w:rFonts w:cs="Times New Roman"/>
          <w:color w:val="000000" w:themeColor="text1"/>
        </w:rPr>
        <w:t>Tiesisko pienākumu pienācīgā pildīšanā ir svarīga</w:t>
      </w:r>
      <w:r w:rsidR="00507007" w:rsidRPr="00B05E2B">
        <w:rPr>
          <w:color w:val="000000" w:themeColor="text1"/>
        </w:rPr>
        <w:t xml:space="preserve"> </w:t>
      </w:r>
      <w:r w:rsidR="00507007" w:rsidRPr="00B05E2B">
        <w:rPr>
          <w:bCs/>
          <w:color w:val="000000" w:themeColor="text1"/>
        </w:rPr>
        <w:t>objektivitāte, kas attiecas ne tikai uz pašu tiesas spriedumu, bet arī uz procesu, kurā spriedums pieņemts.</w:t>
      </w:r>
      <w:r w:rsidR="00507007" w:rsidRPr="00B05E2B">
        <w:rPr>
          <w:color w:val="000000" w:themeColor="text1"/>
        </w:rPr>
        <w:t xml:space="preserve"> </w:t>
      </w:r>
      <w:r w:rsidR="00E04FA8" w:rsidRPr="00B05E2B">
        <w:rPr>
          <w:color w:val="000000" w:themeColor="text1"/>
        </w:rPr>
        <w:t>T</w:t>
      </w:r>
      <w:r w:rsidR="00507007" w:rsidRPr="00B05E2B">
        <w:rPr>
          <w:color w:val="000000" w:themeColor="text1"/>
        </w:rPr>
        <w:t>iesnesim jāpilda tiesiskie pienākumi bez aizspriedumiem, neizrādot ne pret vienu savu labvēlību vai nelabvēlību</w:t>
      </w:r>
      <w:r w:rsidR="00E04FA8" w:rsidRPr="00B05E2B">
        <w:rPr>
          <w:color w:val="000000" w:themeColor="text1"/>
        </w:rPr>
        <w:t xml:space="preserve"> (2.1.punkts) un</w:t>
      </w:r>
      <w:r w:rsidR="00507007" w:rsidRPr="00B05E2B">
        <w:rPr>
          <w:color w:val="000000" w:themeColor="text1"/>
        </w:rPr>
        <w:t xml:space="preserve"> jānodrošina, ka viņa rīcība veicina un nostiprina sabiedrības, juristu un tiesvedības dalībnieku uzticēšanos tiesneša un tiesu sistēmas objektivitātei</w:t>
      </w:r>
      <w:r w:rsidR="00E04FA8" w:rsidRPr="00B05E2B">
        <w:rPr>
          <w:color w:val="000000" w:themeColor="text1"/>
        </w:rPr>
        <w:t xml:space="preserve"> (2.2.punkts)</w:t>
      </w:r>
      <w:r w:rsidR="00507007" w:rsidRPr="00B05E2B">
        <w:rPr>
          <w:color w:val="000000" w:themeColor="text1"/>
        </w:rPr>
        <w:t xml:space="preserve">. </w:t>
      </w:r>
      <w:r w:rsidR="00E04FA8" w:rsidRPr="00B05E2B">
        <w:rPr>
          <w:color w:val="000000" w:themeColor="text1"/>
        </w:rPr>
        <w:t>T</w:t>
      </w:r>
      <w:r w:rsidR="00507007" w:rsidRPr="00B05E2B">
        <w:rPr>
          <w:color w:val="000000" w:themeColor="text1"/>
        </w:rPr>
        <w:t>iesvedības laikā tiesnesis nedrīkst apzināti izteikt nekādus komentārus, par kuriem varētu pamatoti uzskatīt, ka tie var ietekmēt šādas tiesvedības rezultātu vai nepārprotami kaitēt procesa taisnīgumam</w:t>
      </w:r>
      <w:r w:rsidR="00E04FA8" w:rsidRPr="00B05E2B">
        <w:rPr>
          <w:color w:val="000000" w:themeColor="text1"/>
        </w:rPr>
        <w:t xml:space="preserve"> (2.4.punkts)</w:t>
      </w:r>
      <w:r w:rsidR="00507007" w:rsidRPr="00B05E2B">
        <w:rPr>
          <w:color w:val="000000" w:themeColor="text1"/>
        </w:rPr>
        <w:t>.</w:t>
      </w:r>
      <w:r w:rsidR="00E04FA8" w:rsidRPr="00B05E2B">
        <w:rPr>
          <w:color w:val="000000" w:themeColor="text1"/>
        </w:rPr>
        <w:t xml:space="preserve"> Tiesneša rīcībai un uzvedībai jāattaisno cilvēku uzticēšanās tiesnešu godprātībai. Taisnīgums ne vien faktiski jānodrošina, bet arī jārada sabiedrībā pārliecība, ka tas ir nodrošināts (3.2.punkts)</w:t>
      </w:r>
      <w:r w:rsidR="00507007" w:rsidRPr="00B05E2B">
        <w:rPr>
          <w:color w:val="000000" w:themeColor="text1"/>
        </w:rPr>
        <w:t xml:space="preserve"> Savukārt 6.6.punktā noteikts, ka tiesnesim ir jāsaglabā kārtība un pieklājīga uzvedība visās tiesas sēdēs un pašam jābūt pacietīgam, cienīgam un taktiskam attiecībās ar prāvas dalībniekiem.</w:t>
      </w:r>
    </w:p>
    <w:p w14:paraId="24661833" w14:textId="5EDB4A8C" w:rsidR="005E2112" w:rsidRDefault="001A6BBA" w:rsidP="000A0E2A">
      <w:pPr>
        <w:spacing w:line="360" w:lineRule="auto"/>
        <w:ind w:right="45" w:firstLine="567"/>
        <w:jc w:val="both"/>
        <w:rPr>
          <w:rFonts w:cs="Times New Roman"/>
        </w:rPr>
      </w:pPr>
      <w:r w:rsidRPr="00AF1E53">
        <w:rPr>
          <w:rFonts w:cs="Times New Roman"/>
        </w:rPr>
        <w:t>Tiesnešu ētikas komisij</w:t>
      </w:r>
      <w:r w:rsidR="001939F2" w:rsidRPr="00AF1E53">
        <w:rPr>
          <w:rFonts w:cs="Times New Roman"/>
        </w:rPr>
        <w:t>a vairākkārt ir uzsvērusi</w:t>
      </w:r>
      <w:r w:rsidRPr="00AF1E53">
        <w:rPr>
          <w:rFonts w:cs="Times New Roman"/>
        </w:rPr>
        <w:t>,</w:t>
      </w:r>
      <w:r w:rsidR="001939F2" w:rsidRPr="00AF1E53">
        <w:rPr>
          <w:rFonts w:cs="Times New Roman"/>
        </w:rPr>
        <w:t xml:space="preserve"> ka</w:t>
      </w:r>
      <w:r w:rsidRPr="00AF1E53">
        <w:rPr>
          <w:rFonts w:cs="Times New Roman"/>
        </w:rPr>
        <w:t xml:space="preserve"> tiesneša uzvedības </w:t>
      </w:r>
      <w:r w:rsidR="00FA7A9C" w:rsidRPr="00AF1E53">
        <w:rPr>
          <w:rFonts w:cs="Times New Roman"/>
        </w:rPr>
        <w:t>standarti nav pašmērķīgi</w:t>
      </w:r>
      <w:r w:rsidR="004C6A25" w:rsidRPr="00AF1E53">
        <w:rPr>
          <w:rFonts w:cs="Times New Roman"/>
        </w:rPr>
        <w:t>. T</w:t>
      </w:r>
      <w:r w:rsidR="00FA7A9C" w:rsidRPr="00AF1E53">
        <w:rPr>
          <w:rFonts w:cs="Times New Roman"/>
        </w:rPr>
        <w:t xml:space="preserve">ie </w:t>
      </w:r>
      <w:r w:rsidRPr="00AF1E53">
        <w:rPr>
          <w:rFonts w:cs="Times New Roman"/>
        </w:rPr>
        <w:t>kalpo ne tikai tam, lai apliecinātu tiesu varas autoritāti, bet arī lai radītu pārliecību, ka tiesa ir profesionāla, neatkarīga un objektīva un ka tiesas procesa laikā ir iespējams panākt taisnīgu tiesu. Tādējādi tiesneša uzvedībai tiesas procesa laikā ir ļoti liela nozīme</w:t>
      </w:r>
      <w:r w:rsidR="001B2362" w:rsidRPr="00AF1E53">
        <w:rPr>
          <w:rFonts w:cs="Times New Roman"/>
        </w:rPr>
        <w:t xml:space="preserve">. </w:t>
      </w:r>
      <w:r w:rsidR="001B2362" w:rsidRPr="00AF1E53">
        <w:t>Tiesnešu ētikas komisija iepriekš ir arī skaidrojusi, ka k</w:t>
      </w:r>
      <w:r w:rsidR="001B2362" w:rsidRPr="00AF1E53">
        <w:rPr>
          <w:rFonts w:cs="Times New Roman"/>
          <w:color w:val="000000"/>
        </w:rPr>
        <w:t xml:space="preserve">atra tiesneša uzvedība atstāj iespaidu uz sabiedrības viedokli par tiesu varu un sekmē vai grauj tiesu varas autoritāti. </w:t>
      </w:r>
      <w:r w:rsidR="001B2362" w:rsidRPr="00AF1E53">
        <w:rPr>
          <w:rFonts w:eastAsia="Times New Roman" w:cs="Times New Roman"/>
          <w:color w:val="000000"/>
        </w:rPr>
        <w:t>Šā</w:t>
      </w:r>
      <w:r w:rsidR="001B2362" w:rsidRPr="00AF1E53">
        <w:rPr>
          <w:rFonts w:cs="Times New Roman"/>
          <w:color w:val="000000"/>
        </w:rPr>
        <w:t xml:space="preserve">dā </w:t>
      </w:r>
      <w:r w:rsidR="001B2362" w:rsidRPr="00AF1E53">
        <w:rPr>
          <w:rFonts w:cs="Times New Roman"/>
          <w:color w:val="000000"/>
        </w:rPr>
        <w:lastRenderedPageBreak/>
        <w:t>situācijā persona uzlūko konkrēto tiesnesi kā visu tiesu varu pārstāvošu un asociē pret sevi vērsto rīcību ar tiesu varas attieksmi kopumā, tādējādi katra tiesneša rīcība ietekmē tiesu varas autoritāti</w:t>
      </w:r>
      <w:r w:rsidR="000A0E2A" w:rsidRPr="00AF1E53">
        <w:rPr>
          <w:rFonts w:cs="Times New Roman"/>
          <w:color w:val="000000"/>
        </w:rPr>
        <w:t xml:space="preserve"> </w:t>
      </w:r>
      <w:r w:rsidRPr="00AF1E53">
        <w:rPr>
          <w:rFonts w:cs="Times New Roman"/>
        </w:rPr>
        <w:t>(</w:t>
      </w:r>
      <w:r w:rsidR="003217FE" w:rsidRPr="00AF1E53">
        <w:rPr>
          <w:rFonts w:cs="Times New Roman"/>
        </w:rPr>
        <w:t>sal.</w:t>
      </w:r>
      <w:r w:rsidRPr="00AF1E53">
        <w:rPr>
          <w:rFonts w:cs="Times New Roman"/>
        </w:rPr>
        <w:t xml:space="preserve"> </w:t>
      </w:r>
      <w:r w:rsidRPr="00AF1E53">
        <w:rPr>
          <w:rFonts w:cs="Times New Roman"/>
          <w:i/>
        </w:rPr>
        <w:t xml:space="preserve">Tiesnešu ētikas komisijas </w:t>
      </w:r>
      <w:r w:rsidRPr="005E2112">
        <w:rPr>
          <w:rFonts w:cs="Times New Roman"/>
          <w:i/>
        </w:rPr>
        <w:t>2</w:t>
      </w:r>
      <w:r w:rsidR="006F25C0" w:rsidRPr="005E2112">
        <w:rPr>
          <w:rFonts w:cs="Times New Roman"/>
          <w:i/>
        </w:rPr>
        <w:t xml:space="preserve">020.gada </w:t>
      </w:r>
      <w:r w:rsidR="00507007" w:rsidRPr="005E2112">
        <w:rPr>
          <w:rFonts w:cs="Times New Roman"/>
          <w:i/>
        </w:rPr>
        <w:t>13.novembra</w:t>
      </w:r>
      <w:r w:rsidR="006F25C0" w:rsidRPr="005E2112">
        <w:rPr>
          <w:rFonts w:cs="Times New Roman"/>
          <w:i/>
        </w:rPr>
        <w:t xml:space="preserve"> atzinum</w:t>
      </w:r>
      <w:r w:rsidR="00B05E2B" w:rsidRPr="005E2112">
        <w:rPr>
          <w:rFonts w:cs="Times New Roman"/>
          <w:i/>
        </w:rPr>
        <w:t>a</w:t>
      </w:r>
      <w:r w:rsidR="00B05E2B">
        <w:rPr>
          <w:rFonts w:cs="Times New Roman"/>
          <w:i/>
        </w:rPr>
        <w:t xml:space="preserve"> 7., 9.punkts</w:t>
      </w:r>
      <w:r w:rsidR="006F25C0" w:rsidRPr="00AF1E53">
        <w:rPr>
          <w:rFonts w:cs="Times New Roman"/>
        </w:rPr>
        <w:t>).</w:t>
      </w:r>
      <w:r w:rsidR="00507007" w:rsidRPr="00AF1E53">
        <w:rPr>
          <w:rFonts w:cs="Times New Roman"/>
        </w:rPr>
        <w:t xml:space="preserve"> </w:t>
      </w:r>
      <w:r w:rsidR="005E2112" w:rsidRPr="005E2112">
        <w:rPr>
          <w:rFonts w:cs="Times New Roman"/>
        </w:rPr>
        <w:t>Profesionāls tienesis ne tikai pārzina piemērojamās tiesību normas, bet arī nodrošina, ka cilvēks tiesā nejūtas pazemots. Ja cilvēkam tomēr šādas sajūtas rodas, tas neizbēgami viņā rada secinājumu par neobjektīvu un netaisnīgu tiesu, kā arī tiesu, kura ļaunprātīgi izmanto tai piemītošo varu (</w:t>
      </w:r>
      <w:r w:rsidR="005E2112" w:rsidRPr="005E2112">
        <w:rPr>
          <w:rFonts w:cs="Times New Roman"/>
          <w:i/>
          <w:iCs/>
        </w:rPr>
        <w:t>Tiesnešu ētikas komisijas 2020.gada 7.augusta atzinuma 6.punkts</w:t>
      </w:r>
      <w:r w:rsidR="005E2112" w:rsidRPr="005E2112">
        <w:rPr>
          <w:rFonts w:cs="Times New Roman"/>
        </w:rPr>
        <w:t>).</w:t>
      </w:r>
    </w:p>
    <w:p w14:paraId="4162C0B1" w14:textId="36A5F210" w:rsidR="00620FFE" w:rsidRPr="00AF1E53" w:rsidRDefault="00507007" w:rsidP="000A0E2A">
      <w:pPr>
        <w:spacing w:line="360" w:lineRule="auto"/>
        <w:ind w:right="45" w:firstLine="567"/>
        <w:jc w:val="both"/>
        <w:rPr>
          <w:rFonts w:cs="Times New Roman"/>
        </w:rPr>
      </w:pPr>
      <w:r w:rsidRPr="00AF1E53">
        <w:rPr>
          <w:rFonts w:cs="Times New Roman"/>
        </w:rPr>
        <w:t>Turklāt tiesas procesa objektivitāte un cieņpilna attieksme pret lietas dalībniekiem nodrošināma ne tikai klātienē tiesas sēdē, bet arī pastarpināti – izlemjot lietas dalībnieku lūgumus un komunicējot par tiem.</w:t>
      </w:r>
    </w:p>
    <w:p w14:paraId="66FEB908" w14:textId="77777777" w:rsidR="00187979" w:rsidRPr="00AF1E53" w:rsidRDefault="00187979" w:rsidP="00187979">
      <w:pPr>
        <w:spacing w:line="360" w:lineRule="auto"/>
        <w:jc w:val="both"/>
        <w:rPr>
          <w:rFonts w:cs="Times New Roman"/>
          <w:i/>
        </w:rPr>
      </w:pPr>
    </w:p>
    <w:p w14:paraId="550D6676" w14:textId="609630F9" w:rsidR="003217FE" w:rsidRPr="00AF1E53" w:rsidRDefault="00187979" w:rsidP="003217FE">
      <w:pPr>
        <w:spacing w:line="360" w:lineRule="auto"/>
        <w:ind w:firstLine="567"/>
        <w:jc w:val="both"/>
        <w:rPr>
          <w:rFonts w:cs="Times New Roman"/>
        </w:rPr>
      </w:pPr>
      <w:r w:rsidRPr="00AF1E53">
        <w:rPr>
          <w:rFonts w:cs="Times New Roman"/>
        </w:rPr>
        <w:t>[</w:t>
      </w:r>
      <w:r w:rsidR="007B0413">
        <w:rPr>
          <w:rFonts w:cs="Times New Roman"/>
        </w:rPr>
        <w:t>9</w:t>
      </w:r>
      <w:r w:rsidRPr="00AF1E53">
        <w:rPr>
          <w:rFonts w:cs="Times New Roman"/>
        </w:rPr>
        <w:t>] </w:t>
      </w:r>
      <w:r w:rsidR="003217FE" w:rsidRPr="00AF1E53">
        <w:rPr>
          <w:rFonts w:cs="Times New Roman"/>
        </w:rPr>
        <w:t>Tiesības uz taisnīgu tiesu ietver virkni procesuālo garanti</w:t>
      </w:r>
      <w:r w:rsidR="007C1F17" w:rsidRPr="00AF1E53">
        <w:rPr>
          <w:rFonts w:cs="Times New Roman"/>
        </w:rPr>
        <w:t>ju. P</w:t>
      </w:r>
      <w:r w:rsidR="003217FE" w:rsidRPr="00AF1E53">
        <w:rPr>
          <w:rFonts w:cs="Times New Roman"/>
        </w:rPr>
        <w:t>rocesuālajās normās</w:t>
      </w:r>
      <w:r w:rsidR="007C1F17" w:rsidRPr="00AF1E53">
        <w:rPr>
          <w:rFonts w:cs="Times New Roman"/>
        </w:rPr>
        <w:t xml:space="preserve"> </w:t>
      </w:r>
      <w:r w:rsidR="0030129F">
        <w:rPr>
          <w:rFonts w:cs="Times New Roman"/>
        </w:rPr>
        <w:t>ir</w:t>
      </w:r>
      <w:r w:rsidR="007C1F17" w:rsidRPr="00AF1E53">
        <w:rPr>
          <w:rFonts w:cs="Times New Roman"/>
        </w:rPr>
        <w:t xml:space="preserve"> </w:t>
      </w:r>
      <w:r w:rsidR="00C154DB">
        <w:rPr>
          <w:rFonts w:cs="Times New Roman"/>
        </w:rPr>
        <w:t>noteikta</w:t>
      </w:r>
      <w:r w:rsidR="00C154DB" w:rsidRPr="00AF1E53">
        <w:rPr>
          <w:rFonts w:cs="Times New Roman"/>
        </w:rPr>
        <w:t xml:space="preserve"> </w:t>
      </w:r>
      <w:r w:rsidR="007C1F17" w:rsidRPr="00AF1E53">
        <w:rPr>
          <w:rFonts w:cs="Times New Roman"/>
        </w:rPr>
        <w:t xml:space="preserve">lietas izskatīšanas kārtība, process, lietas dalībnieku tiesības un pienākumi. Savukārt tiesneša pienākums ir nodrošināt šīs procesuālās garantijas, tostarp tiesības uz mutvārdu procesu, ja konkrētās lietas kategorijai tādas ir paredzētas. Mutvārdu procesa uzdevums ir nodrošināt iespēju tieši un nepastarpināti izklāstīt būtiskos faktiskos un tiesiskos apstākļus, </w:t>
      </w:r>
      <w:r w:rsidR="00CE199B" w:rsidRPr="00AF1E53">
        <w:rPr>
          <w:rFonts w:cs="Times New Roman"/>
        </w:rPr>
        <w:t xml:space="preserve">iesniegt un </w:t>
      </w:r>
      <w:r w:rsidR="007C1F17" w:rsidRPr="00AF1E53">
        <w:rPr>
          <w:rFonts w:cs="Times New Roman"/>
        </w:rPr>
        <w:t xml:space="preserve">pārbaudīt pierādījumus, noskaidrot neskaidros jautājumus un sniegt pretargumentus </w:t>
      </w:r>
      <w:r w:rsidR="00CE199B" w:rsidRPr="00AF1E53">
        <w:rPr>
          <w:rFonts w:cs="Times New Roman"/>
        </w:rPr>
        <w:t>u.tml</w:t>
      </w:r>
      <w:r w:rsidR="007C1F17" w:rsidRPr="00AF1E53">
        <w:rPr>
          <w:rFonts w:cs="Times New Roman"/>
        </w:rPr>
        <w:t>. Tiesneša uzdevums ir nodrošināt procesuālo līdztiesību, vienlīdzīgas iespējas lietas dalībniekiem īstenot savas procesuālās tiesības</w:t>
      </w:r>
      <w:r w:rsidR="00CE199B" w:rsidRPr="00AF1E53">
        <w:rPr>
          <w:rFonts w:cs="Times New Roman"/>
        </w:rPr>
        <w:t xml:space="preserve"> un sekot tam, lai lietas dalībnieki godprātīgi pildītu savus pienākumus</w:t>
      </w:r>
      <w:r w:rsidR="007C1F17" w:rsidRPr="00AF1E53">
        <w:rPr>
          <w:rFonts w:cs="Times New Roman"/>
        </w:rPr>
        <w:t xml:space="preserve">. Savukārt tiesas sēde ir tikai instruments šo lietas dalībnieku tiesību īstenošanai. </w:t>
      </w:r>
      <w:r w:rsidR="009D50D1" w:rsidRPr="00AF1E53">
        <w:rPr>
          <w:rFonts w:cs="Times New Roman"/>
        </w:rPr>
        <w:t xml:space="preserve">Tādējādi, lai arī tiesneša atbildība ir virzīt tiesas procesu un panākt lietas izskatīšanu saprātīgā termiņā, neļaujot negodprātīgiem procesa dalībniekiem vilcināt procesu, tiesnesim ir jāatceras, ka jebkurš procesuālais instruments nav pašmērķīgs, bet vērsts uz taisnīga tiesas procesa un taisnīga sprieduma nodrošināšanu. </w:t>
      </w:r>
      <w:r w:rsidR="006F2E0D" w:rsidRPr="00AF1E53">
        <w:rPr>
          <w:rFonts w:cs="Times New Roman"/>
        </w:rPr>
        <w:t xml:space="preserve">Tiktāl jautājums par to, kā virzīt procesu tiesas sēdē, ir detalizēti noregulēts procesuālajās tiesību normās. </w:t>
      </w:r>
    </w:p>
    <w:p w14:paraId="381B9DD2" w14:textId="7CE1A023" w:rsidR="006F2E0D" w:rsidRPr="00AF1E53" w:rsidRDefault="006F2E0D" w:rsidP="003217FE">
      <w:pPr>
        <w:spacing w:line="360" w:lineRule="auto"/>
        <w:ind w:firstLine="567"/>
        <w:jc w:val="both"/>
        <w:rPr>
          <w:rFonts w:cs="Times New Roman"/>
        </w:rPr>
      </w:pPr>
      <w:r w:rsidRPr="00AF1E53">
        <w:rPr>
          <w:rFonts w:cs="Times New Roman"/>
        </w:rPr>
        <w:t>Taču</w:t>
      </w:r>
      <w:r w:rsidR="00C87690" w:rsidRPr="00AF1E53">
        <w:rPr>
          <w:rFonts w:cs="Times New Roman"/>
        </w:rPr>
        <w:t xml:space="preserve"> tiesības uz taisnīgu tiesu ietver arī cilvēka cieņas principu</w:t>
      </w:r>
      <w:r w:rsidR="00CE199B" w:rsidRPr="00AF1E53">
        <w:rPr>
          <w:rFonts w:cs="Times New Roman"/>
        </w:rPr>
        <w:t xml:space="preserve">, tas citstarp nozīmē tiesneša pienākumu pret lietas dalībniekiem izturēties cieņpilni un nodrošināt arī cieņpilnas attiecības starp lietas dalībniekiem. </w:t>
      </w:r>
      <w:r w:rsidR="009D50D1" w:rsidRPr="00AF1E53">
        <w:rPr>
          <w:rFonts w:cs="Times New Roman"/>
        </w:rPr>
        <w:t xml:space="preserve">Šādi tiesnesim jāraugās arī uz procesuālajiem lūgumiem, nošķirot tādus lūgumus, kas objektīvi kavē lietas izskatīšanu, no tādiem, kas vērsti uz lietas dalībnieku interešu respektēšanu un aizsardzību. Tas ietilpst iepriekš aplūkotajā tiesneša pienākumā iztiesāt lietu pacietīgi un nosvērti, vienlaikus efektīvi. Citiem vārdiem, efektīva tiesas procesa vadīšana nozīmē arī saprātīgi izsvērt procesa dalībnieku lūgumus. Tādējādi jautājums par to, vai lūgums nodrošināt iespēju lietas dalībniekiem piedalīties tiesas sēdē ar </w:t>
      </w:r>
      <w:r w:rsidR="009D50D1" w:rsidRPr="00AF1E53">
        <w:rPr>
          <w:rFonts w:cs="Times New Roman"/>
        </w:rPr>
        <w:lastRenderedPageBreak/>
        <w:t xml:space="preserve">videokonferences starpniecību citā tiesā, nav tikai procesuāls, tam ir arī ētiska dimensija. </w:t>
      </w:r>
    </w:p>
    <w:p w14:paraId="7723573A" w14:textId="65207FD9" w:rsidR="00BF53F3" w:rsidRPr="00AF1E53" w:rsidRDefault="009D50D1" w:rsidP="003217FE">
      <w:pPr>
        <w:spacing w:line="360" w:lineRule="auto"/>
        <w:ind w:firstLine="567"/>
        <w:jc w:val="both"/>
        <w:rPr>
          <w:rFonts w:cs="Times New Roman"/>
        </w:rPr>
      </w:pPr>
      <w:r w:rsidRPr="00AF1E53">
        <w:rPr>
          <w:rFonts w:cs="Times New Roman"/>
        </w:rPr>
        <w:t xml:space="preserve">Konkrētā gadījuma apstākļi parāda tiesneses </w:t>
      </w:r>
      <w:r w:rsidR="00742E84" w:rsidRPr="00AF1E53">
        <w:rPr>
          <w:rFonts w:cs="Times New Roman"/>
        </w:rPr>
        <w:t xml:space="preserve">nespēju cieņpilni izvērtēt procesa dalībnieku lūgumu, kas pamatots ar cienījamā vecuma dēļ objektīvi radītiem šķēršļiem ierasties tiesu namā citā pilsētā, </w:t>
      </w:r>
      <w:r w:rsidR="0030129F">
        <w:rPr>
          <w:rFonts w:cs="Times New Roman"/>
        </w:rPr>
        <w:t xml:space="preserve">vienlaikus lūguma iesniedzējiem </w:t>
      </w:r>
      <w:r w:rsidR="00742E84" w:rsidRPr="00AF1E53">
        <w:rPr>
          <w:rFonts w:cs="Times New Roman"/>
        </w:rPr>
        <w:t xml:space="preserve">piedāvājot saprātīgu alternatīvu – ierasties paskaidrojumu un liecību sniegšanai tiesā, kas atrodas mītnes pilsētā. Tiesnese par prioritāti izvirzījusi savas kā tiesneses ērtības, neapsverot jau minētos mērķus – nodrošināt taisnīgu un cieņpilnu tiesas procesu. </w:t>
      </w:r>
    </w:p>
    <w:p w14:paraId="0A140C44" w14:textId="77777777" w:rsidR="00B87D0F" w:rsidRDefault="00BF53F3" w:rsidP="00BF53F3">
      <w:pPr>
        <w:spacing w:line="360" w:lineRule="auto"/>
        <w:ind w:right="45" w:firstLine="567"/>
        <w:jc w:val="both"/>
      </w:pPr>
      <w:r w:rsidRPr="00AF1E53">
        <w:t>Tiesnešu ētikas komisija atgādina jau iepriekš pausto, ka tiesnesim ar likumu noteiktā kompetence, īstenojot tiesu varu, nekādā veidā nepieļauj raudzīties uz lietas dalībniekiem no varas pozīcijām (</w:t>
      </w:r>
      <w:r w:rsidRPr="00AF1E53">
        <w:rPr>
          <w:i/>
        </w:rPr>
        <w:t>Tiesnešu ētikas komisijas 2016.gada 26.februāra skaidrojuma 2. un 3.punkt</w:t>
      </w:r>
      <w:r w:rsidR="00C73399" w:rsidRPr="00AF1E53">
        <w:rPr>
          <w:i/>
        </w:rPr>
        <w:t>s</w:t>
      </w:r>
      <w:r w:rsidRPr="00AF1E53">
        <w:rPr>
          <w:i/>
        </w:rPr>
        <w:t xml:space="preserve">, </w:t>
      </w:r>
      <w:r w:rsidRPr="00AF1E53">
        <w:rPr>
          <w:rFonts w:cs="Times New Roman"/>
          <w:i/>
        </w:rPr>
        <w:t>2020.gada 13.novembra atzinuma 9.punkts</w:t>
      </w:r>
      <w:r w:rsidRPr="00AF1E53">
        <w:t xml:space="preserve">). </w:t>
      </w:r>
    </w:p>
    <w:p w14:paraId="4E599A8D" w14:textId="18988BC6" w:rsidR="009D50D1" w:rsidRPr="00AF1E53" w:rsidRDefault="00BF53F3" w:rsidP="00BF53F3">
      <w:pPr>
        <w:spacing w:line="360" w:lineRule="auto"/>
        <w:ind w:right="45" w:firstLine="567"/>
        <w:jc w:val="both"/>
        <w:rPr>
          <w:rFonts w:cs="Times New Roman"/>
        </w:rPr>
      </w:pPr>
      <w:r w:rsidRPr="00AF1E53">
        <w:t xml:space="preserve">Konkrētajā gadījumā </w:t>
      </w:r>
      <w:r w:rsidR="00742E84" w:rsidRPr="00AF1E53">
        <w:rPr>
          <w:rFonts w:cs="Times New Roman"/>
        </w:rPr>
        <w:t xml:space="preserve">Tiesnešu ētikas komisija tiesneses attieksmē saskata tiesneša varas </w:t>
      </w:r>
      <w:r w:rsidR="00B87D0F">
        <w:rPr>
          <w:rFonts w:cs="Times New Roman"/>
        </w:rPr>
        <w:t xml:space="preserve">apziņas </w:t>
      </w:r>
      <w:r w:rsidR="00742E84" w:rsidRPr="00AF1E53">
        <w:rPr>
          <w:rFonts w:cs="Times New Roman"/>
        </w:rPr>
        <w:t>izpausmi, nevis objektīv</w:t>
      </w:r>
      <w:r w:rsidR="00D446B8" w:rsidRPr="00AF1E53">
        <w:rPr>
          <w:rFonts w:cs="Times New Roman"/>
        </w:rPr>
        <w:t>u nepieciešamību nodrošināt efektīvu procesu</w:t>
      </w:r>
      <w:r w:rsidR="00742E84" w:rsidRPr="00AF1E53">
        <w:rPr>
          <w:rFonts w:cs="Times New Roman"/>
        </w:rPr>
        <w:t>, jo arī tiesneses paskaidrojum</w:t>
      </w:r>
      <w:r w:rsidR="00767BB4">
        <w:rPr>
          <w:rFonts w:cs="Times New Roman"/>
        </w:rPr>
        <w:t>os</w:t>
      </w:r>
      <w:r w:rsidR="00742E84" w:rsidRPr="00AF1E53">
        <w:rPr>
          <w:rFonts w:cs="Times New Roman"/>
        </w:rPr>
        <w:t xml:space="preserve"> </w:t>
      </w:r>
      <w:r w:rsidR="00767BB4">
        <w:t>nav norādīts uz tādiem apstākļiem</w:t>
      </w:r>
      <w:r w:rsidR="00742E84" w:rsidRPr="00AF1E53">
        <w:rPr>
          <w:rFonts w:cs="Times New Roman"/>
        </w:rPr>
        <w:t xml:space="preserve">, kuru dēļ lietas izskatīšana objektīvi nebūtu iespējama, pieteicējam, viņa pārstāvei un nopratināmajām lieciniecēm atrodoties citā tiesu namā, kur </w:t>
      </w:r>
      <w:r w:rsidR="00B87D0F">
        <w:rPr>
          <w:rFonts w:cs="Times New Roman"/>
        </w:rPr>
        <w:t xml:space="preserve">iespējams </w:t>
      </w:r>
      <w:r w:rsidR="00742E84" w:rsidRPr="00AF1E53">
        <w:rPr>
          <w:rFonts w:cs="Times New Roman"/>
        </w:rPr>
        <w:t>pienācīgi nodrošinā</w:t>
      </w:r>
      <w:r w:rsidR="00F029F9" w:rsidRPr="00AF1E53">
        <w:rPr>
          <w:rFonts w:cs="Times New Roman"/>
        </w:rPr>
        <w:t>t gan</w:t>
      </w:r>
      <w:r w:rsidR="00742E84" w:rsidRPr="00AF1E53">
        <w:rPr>
          <w:rFonts w:cs="Times New Roman"/>
        </w:rPr>
        <w:t xml:space="preserve"> viņu identitātes </w:t>
      </w:r>
      <w:r w:rsidR="00B87D0F" w:rsidRPr="00AF1E53">
        <w:rPr>
          <w:rFonts w:cs="Times New Roman"/>
        </w:rPr>
        <w:t>pārbaud</w:t>
      </w:r>
      <w:r w:rsidR="00B87D0F">
        <w:rPr>
          <w:rFonts w:cs="Times New Roman"/>
        </w:rPr>
        <w:t>i</w:t>
      </w:r>
      <w:r w:rsidR="00F029F9" w:rsidRPr="00AF1E53">
        <w:rPr>
          <w:rFonts w:cs="Times New Roman"/>
        </w:rPr>
        <w:t>, ga</w:t>
      </w:r>
      <w:r w:rsidR="00742E84" w:rsidRPr="00AF1E53">
        <w:rPr>
          <w:rFonts w:cs="Times New Roman"/>
        </w:rPr>
        <w:t xml:space="preserve">n citas procesuālās prasības nolūkā neietekmēt liecinieku liecības u.tml. </w:t>
      </w:r>
      <w:r w:rsidR="00F029F9" w:rsidRPr="00AF1E53">
        <w:rPr>
          <w:rFonts w:cs="Times New Roman"/>
        </w:rPr>
        <w:t xml:space="preserve">Tādējādi konkrētajā situācijā tiesnese ir rīkojusies, kā viņai ērtāk, paužot savu varas attieksmi un pilnībā ignorējot lūgumos </w:t>
      </w:r>
      <w:r w:rsidR="003C64BE">
        <w:rPr>
          <w:rFonts w:cs="Times New Roman"/>
        </w:rPr>
        <w:t>konsekventi</w:t>
      </w:r>
      <w:r w:rsidR="00F029F9" w:rsidRPr="00AF1E53">
        <w:rPr>
          <w:rFonts w:cs="Times New Roman"/>
        </w:rPr>
        <w:t xml:space="preserve"> norādītos apstākļus, kuru dēļ pieteicēja un liecinieču ierašanās tiesā bija </w:t>
      </w:r>
      <w:r w:rsidR="00BE0B6D" w:rsidRPr="00AF1E53">
        <w:rPr>
          <w:rFonts w:cs="Times New Roman"/>
        </w:rPr>
        <w:t xml:space="preserve">objektīvi </w:t>
      </w:r>
      <w:r w:rsidR="00F029F9" w:rsidRPr="00AF1E53">
        <w:rPr>
          <w:rFonts w:cs="Times New Roman"/>
        </w:rPr>
        <w:t xml:space="preserve">apgrūtināta. </w:t>
      </w:r>
      <w:r w:rsidR="00BE0B6D" w:rsidRPr="00AF1E53">
        <w:rPr>
          <w:rFonts w:cs="Times New Roman"/>
        </w:rPr>
        <w:t xml:space="preserve">Šajā aspektā jāpiekrīt zvērinātas advokātes sūdzībā tiesas priekšsēdētājai norādītajam, ka no tiesneses lēmumiem par piespiedu naudu, kuros secināts, ka trūkst pierādījumu lūgumā izteiktajam apgalvojumam par objektīvu nespēju ierasties tiesā </w:t>
      </w:r>
      <w:r w:rsidR="000F6B62">
        <w:rPr>
          <w:rFonts w:cs="Times New Roman"/>
        </w:rPr>
        <w:t>/pilsēta B/</w:t>
      </w:r>
      <w:r w:rsidR="00BE0B6D" w:rsidRPr="00AF1E53">
        <w:rPr>
          <w:rFonts w:cs="Times New Roman"/>
        </w:rPr>
        <w:t xml:space="preserve">, nav saprotams, kādus vēl citus pierādījumus varētu iesniegt, ņemot vērā liecinieču cienījamo vecumu un </w:t>
      </w:r>
      <w:r w:rsidR="00C33182" w:rsidRPr="00AF1E53">
        <w:rPr>
          <w:rFonts w:cs="Times New Roman"/>
        </w:rPr>
        <w:t xml:space="preserve">saprātīgi iespējamo nespēju ierasties tiesā citā pilsētā. Atgādināms, ka tiesnesis nedrīkst būt atrauts no realitātes, ignorējot reālās pārvietošanās iespējas un ar to saistītās grūtības, ar ko </w:t>
      </w:r>
      <w:r w:rsidR="00E75491">
        <w:t>jo īpaši nākas saskarties vecāka</w:t>
      </w:r>
      <w:r w:rsidR="00E75491" w:rsidRPr="00AF1E53">
        <w:rPr>
          <w:rFonts w:cs="Times New Roman"/>
        </w:rPr>
        <w:t xml:space="preserve"> </w:t>
      </w:r>
      <w:r w:rsidR="00C33182" w:rsidRPr="00AF1E53">
        <w:rPr>
          <w:rFonts w:cs="Times New Roman"/>
        </w:rPr>
        <w:t>gadagājuma cilvēkiem.</w:t>
      </w:r>
    </w:p>
    <w:p w14:paraId="07BE90E1" w14:textId="68D283CB" w:rsidR="001D445D" w:rsidRPr="00AF1E53" w:rsidRDefault="00F029F9" w:rsidP="00EE523E">
      <w:pPr>
        <w:spacing w:line="360" w:lineRule="auto"/>
        <w:ind w:firstLine="567"/>
        <w:jc w:val="both"/>
        <w:rPr>
          <w:rFonts w:cs="Times New Roman"/>
        </w:rPr>
      </w:pPr>
      <w:r w:rsidRPr="00AF1E53">
        <w:rPr>
          <w:rFonts w:cs="Times New Roman"/>
        </w:rPr>
        <w:t xml:space="preserve">Pārprasta varas izpausme ir saskatāma arī tiesneses komunikācijā ar lūguma iesniedzējiem par tiesas pieņemto lēmumu. </w:t>
      </w:r>
      <w:r w:rsidR="00EE523E" w:rsidRPr="00AF1E53">
        <w:rPr>
          <w:rFonts w:cs="Times New Roman"/>
        </w:rPr>
        <w:t>Nav šaubu, ka lietas dalībnieku un uz tiesu izsaukto personu (liecinieku, ekspertu) pienākums ir ierasties tiesas sēdē pēc tiesas aicinājuma. Taču arī tiesai ir pienākums saprotami un ar pienācīgu izpratni izvērtēt lūgumus par efektīvāku procesa organizēšanu (tostarp dalību tiesas sēdē ar video</w:t>
      </w:r>
      <w:r w:rsidR="00E75491">
        <w:rPr>
          <w:rFonts w:cs="Times New Roman"/>
        </w:rPr>
        <w:t xml:space="preserve">konferences </w:t>
      </w:r>
      <w:r w:rsidR="00EE523E" w:rsidRPr="00AF1E53">
        <w:rPr>
          <w:rFonts w:cs="Times New Roman"/>
        </w:rPr>
        <w:t xml:space="preserve">starpniecību no cita tiesu nama) un sniegt tam izsvērtu skaidrojumu. </w:t>
      </w:r>
      <w:r w:rsidRPr="00AF1E53">
        <w:rPr>
          <w:rFonts w:cs="Times New Roman"/>
        </w:rPr>
        <w:t xml:space="preserve">Šajā aspektā komisija pievienojas tiesas priekšsēdētājas iesniegumā norādītajam, ka komunikācijai jābūt tādai, lai personām būtu skaidrs tiesas </w:t>
      </w:r>
      <w:r w:rsidRPr="00AF1E53">
        <w:rPr>
          <w:rFonts w:cs="Times New Roman"/>
        </w:rPr>
        <w:lastRenderedPageBreak/>
        <w:t>pieņemtā lēmuma un rīcības pamatojums. Šādā veidā, kā minēts, tiek veicināta sabiedrības uzticēšan</w:t>
      </w:r>
      <w:r w:rsidR="00C33182" w:rsidRPr="00AF1E53">
        <w:rPr>
          <w:rFonts w:cs="Times New Roman"/>
        </w:rPr>
        <w:t>ā</w:t>
      </w:r>
      <w:r w:rsidRPr="00AF1E53">
        <w:rPr>
          <w:rFonts w:cs="Times New Roman"/>
        </w:rPr>
        <w:t xml:space="preserve">s tiesu varai. </w:t>
      </w:r>
      <w:r w:rsidR="00E5452A" w:rsidRPr="00AF1E53">
        <w:rPr>
          <w:rFonts w:cs="Times New Roman"/>
        </w:rPr>
        <w:t xml:space="preserve">Komisija nevar pievienoties tiesneses viedoklim, ka par efektīvu veidu, kādā paust tiesas viedokli par noraidīto lūgumu, būtu uzskatāma tiesas pavēste </w:t>
      </w:r>
      <w:r w:rsidR="00B87D0F">
        <w:rPr>
          <w:rFonts w:cs="Times New Roman"/>
        </w:rPr>
        <w:t>par nāk</w:t>
      </w:r>
      <w:r w:rsidR="00600DDE">
        <w:rPr>
          <w:rFonts w:cs="Times New Roman"/>
        </w:rPr>
        <w:t>am</w:t>
      </w:r>
      <w:r w:rsidR="00177D36">
        <w:rPr>
          <w:rFonts w:cs="Times New Roman"/>
        </w:rPr>
        <w:t>o</w:t>
      </w:r>
      <w:r w:rsidR="00B87D0F">
        <w:rPr>
          <w:rFonts w:cs="Times New Roman"/>
        </w:rPr>
        <w:t xml:space="preserve"> tiesas sēdi </w:t>
      </w:r>
      <w:r w:rsidR="00E5452A" w:rsidRPr="00AF1E53">
        <w:rPr>
          <w:rFonts w:cs="Times New Roman"/>
        </w:rPr>
        <w:t xml:space="preserve">bez papildu </w:t>
      </w:r>
      <w:r w:rsidR="00E5452A" w:rsidRPr="00E75491">
        <w:rPr>
          <w:rFonts w:cs="Times New Roman"/>
        </w:rPr>
        <w:t xml:space="preserve">skaidrojuma, kā tas </w:t>
      </w:r>
      <w:r w:rsidR="00E75491" w:rsidRPr="00E75491">
        <w:rPr>
          <w:rFonts w:cs="Times New Roman"/>
        </w:rPr>
        <w:t>minēts</w:t>
      </w:r>
      <w:r w:rsidR="00E5452A" w:rsidRPr="00E75491">
        <w:rPr>
          <w:rFonts w:cs="Times New Roman"/>
        </w:rPr>
        <w:t xml:space="preserve"> </w:t>
      </w:r>
      <w:r w:rsidR="00A339D8" w:rsidRPr="00E75491">
        <w:rPr>
          <w:rFonts w:cs="Times New Roman"/>
        </w:rPr>
        <w:t>tiesneses</w:t>
      </w:r>
      <w:r w:rsidR="00A339D8" w:rsidRPr="00AF1E53">
        <w:rPr>
          <w:rFonts w:cs="Times New Roman"/>
        </w:rPr>
        <w:t xml:space="preserve"> lēmum</w:t>
      </w:r>
      <w:r w:rsidR="00E5452A" w:rsidRPr="00AF1E53">
        <w:rPr>
          <w:rFonts w:cs="Times New Roman"/>
        </w:rPr>
        <w:t>ā</w:t>
      </w:r>
      <w:r w:rsidR="00A339D8" w:rsidRPr="00AF1E53">
        <w:rPr>
          <w:rFonts w:cs="Times New Roman"/>
        </w:rPr>
        <w:t>, ar kuru atteikts pieņemt pieteikto noraidījumu</w:t>
      </w:r>
      <w:r w:rsidR="00EE523E" w:rsidRPr="00AF1E53">
        <w:rPr>
          <w:rFonts w:cs="Times New Roman"/>
        </w:rPr>
        <w:t>. Proti, šajā tiesneses lēmumā</w:t>
      </w:r>
      <w:r w:rsidR="00E5452A" w:rsidRPr="00AF1E53">
        <w:rPr>
          <w:rFonts w:cs="Times New Roman"/>
        </w:rPr>
        <w:t xml:space="preserve"> norādīts</w:t>
      </w:r>
      <w:r w:rsidR="00A339D8" w:rsidRPr="00AF1E53">
        <w:rPr>
          <w:rFonts w:cs="Times New Roman"/>
        </w:rPr>
        <w:t>, k</w:t>
      </w:r>
      <w:r w:rsidR="00EF0C1C" w:rsidRPr="00AF1E53">
        <w:rPr>
          <w:rFonts w:cs="Times New Roman"/>
        </w:rPr>
        <w:t xml:space="preserve">a tas, ka lūgums nav apmierināts, esot izsecināms no tiesas pavēstēm. </w:t>
      </w:r>
      <w:r w:rsidR="00E5452A" w:rsidRPr="00AF1E53">
        <w:rPr>
          <w:rFonts w:cs="Times New Roman"/>
        </w:rPr>
        <w:t xml:space="preserve">Tā kā lietas dalībnieku un liecinieču neierašanās uz tiesas sēdi var rezultēties tiem saistošos lēmumos par piespiedu naudas </w:t>
      </w:r>
      <w:r w:rsidR="00E75491">
        <w:rPr>
          <w:rFonts w:cs="Times New Roman"/>
        </w:rPr>
        <w:t>uzlikšanu</w:t>
      </w:r>
      <w:r w:rsidR="00E5452A" w:rsidRPr="00AF1E53">
        <w:rPr>
          <w:rFonts w:cs="Times New Roman"/>
        </w:rPr>
        <w:t xml:space="preserve">, kā tas notika arī izskatāmajā gadījumā, būtu tikai </w:t>
      </w:r>
      <w:r w:rsidR="00261FB9" w:rsidRPr="00AF1E53">
        <w:rPr>
          <w:rFonts w:cs="Times New Roman"/>
        </w:rPr>
        <w:t xml:space="preserve">cieņpilni un adekvāti tiesnesim izvēlēties tādu saziņas veidu, kas izslēgtu saprātīgas šaubas par to, ka lūgums ir izvērtēts un noraidīts. </w:t>
      </w:r>
      <w:r w:rsidR="00EE523E" w:rsidRPr="00AF1E53">
        <w:rPr>
          <w:rFonts w:cs="Times New Roman"/>
        </w:rPr>
        <w:t>Turklāt, l</w:t>
      </w:r>
      <w:r w:rsidR="00261FB9" w:rsidRPr="00AF1E53">
        <w:rPr>
          <w:rFonts w:cs="Times New Roman"/>
        </w:rPr>
        <w:t xml:space="preserve">ai arī paskaidrojumos tiesnese skaidro, ka četrās sarunās pa tālruni lūguma iesniedzēji informēti par tiesas pieņemto lēmumu nenoteikt lietas izskatīšanu videokonferences režīmā, pat ja šāda saziņa ir notikusi, acīmredzami šis izvēlētais komunikācijas veids nav bijis efektīvs. Tiesnešu ētikas komisija gan šajā ziņā atzīmē, ka tiesas priekšsēdētājas iesniegumam pievienoto lietas materiālu </w:t>
      </w:r>
      <w:r w:rsidR="00BF53F3" w:rsidRPr="00AF1E53">
        <w:rPr>
          <w:rFonts w:cs="Times New Roman"/>
        </w:rPr>
        <w:t xml:space="preserve">uzziņas lapā </w:t>
      </w:r>
      <w:r w:rsidR="00261FB9" w:rsidRPr="00AF1E53">
        <w:rPr>
          <w:rFonts w:cs="Times New Roman"/>
        </w:rPr>
        <w:t>nav ierakst</w:t>
      </w:r>
      <w:r w:rsidR="00E75491">
        <w:rPr>
          <w:rFonts w:cs="Times New Roman"/>
        </w:rPr>
        <w:t>u</w:t>
      </w:r>
      <w:r w:rsidR="00261FB9" w:rsidRPr="00AF1E53">
        <w:rPr>
          <w:rFonts w:cs="Times New Roman"/>
        </w:rPr>
        <w:t xml:space="preserve"> par saziņu ar </w:t>
      </w:r>
      <w:r w:rsidR="00E75491">
        <w:rPr>
          <w:rFonts w:cs="Times New Roman"/>
        </w:rPr>
        <w:t>lūgumu iesniedzējiem</w:t>
      </w:r>
      <w:r w:rsidR="00261FB9" w:rsidRPr="00AF1E53">
        <w:rPr>
          <w:rFonts w:cs="Times New Roman"/>
        </w:rPr>
        <w:t xml:space="preserve"> pa tālruni, lietas materiālos nav arī telefonogrammu</w:t>
      </w:r>
      <w:r w:rsidR="00B87D0F">
        <w:rPr>
          <w:rFonts w:cs="Times New Roman"/>
        </w:rPr>
        <w:t>, kas to apstiprinātu</w:t>
      </w:r>
      <w:r w:rsidR="00261FB9" w:rsidRPr="00AF1E53">
        <w:rPr>
          <w:rFonts w:cs="Times New Roman"/>
        </w:rPr>
        <w:t>.</w:t>
      </w:r>
    </w:p>
    <w:p w14:paraId="2A245871" w14:textId="77777777" w:rsidR="00BF53F3" w:rsidRPr="00AF1E53" w:rsidRDefault="00BF53F3" w:rsidP="00E528CC">
      <w:pPr>
        <w:spacing w:line="360" w:lineRule="auto"/>
        <w:jc w:val="both"/>
      </w:pPr>
    </w:p>
    <w:p w14:paraId="34C8BFC9" w14:textId="6F1A3AA6" w:rsidR="00B6554E" w:rsidRPr="00AF1E53" w:rsidRDefault="001D445D" w:rsidP="001D445D">
      <w:pPr>
        <w:spacing w:line="360" w:lineRule="auto"/>
        <w:ind w:right="45" w:firstLine="567"/>
        <w:jc w:val="both"/>
        <w:rPr>
          <w:rFonts w:cs="Times New Roman"/>
        </w:rPr>
      </w:pPr>
      <w:r w:rsidRPr="00AF1E53">
        <w:t>[</w:t>
      </w:r>
      <w:r w:rsidR="007B0413">
        <w:t>10</w:t>
      </w:r>
      <w:r w:rsidRPr="00AF1E53">
        <w:t xml:space="preserve">] </w:t>
      </w:r>
      <w:r w:rsidR="00C73399" w:rsidRPr="00AF1E53">
        <w:rPr>
          <w:rFonts w:cs="Times New Roman"/>
        </w:rPr>
        <w:t xml:space="preserve">Tiesnešu ētikas komisija jau iepriekš ir vērsusi tiesneses uzmanību, ka </w:t>
      </w:r>
      <w:r w:rsidR="00B87D0F">
        <w:rPr>
          <w:rFonts w:cs="Times New Roman"/>
        </w:rPr>
        <w:t>viņas</w:t>
      </w:r>
      <w:r w:rsidR="00B87D0F" w:rsidRPr="00AF1E53">
        <w:rPr>
          <w:rFonts w:cs="Times New Roman"/>
        </w:rPr>
        <w:t xml:space="preserve"> </w:t>
      </w:r>
      <w:r w:rsidR="00C73399" w:rsidRPr="00AF1E53">
        <w:rPr>
          <w:rFonts w:cs="Times New Roman"/>
        </w:rPr>
        <w:t>izteicieni liecina par tiesneses emocionālās inteliģences trūkumu, aizspriedumainu un nevienlīdzīgu attieksmi pret procesa dalībniekiem, kas nav pieļaujams (</w:t>
      </w:r>
      <w:r w:rsidR="00C73399" w:rsidRPr="00AF1E53">
        <w:rPr>
          <w:rFonts w:cs="Times New Roman"/>
          <w:i/>
          <w:iCs/>
        </w:rPr>
        <w:t>Tiesnešu ētikas komisijas 2020.gada</w:t>
      </w:r>
      <w:r w:rsidR="00C73399" w:rsidRPr="00AF1E53">
        <w:rPr>
          <w:rFonts w:cs="Times New Roman"/>
          <w:i/>
        </w:rPr>
        <w:t xml:space="preserve"> 13.novembra atzinuma 10.punkts</w:t>
      </w:r>
      <w:r w:rsidR="00C73399" w:rsidRPr="00AF1E53">
        <w:rPr>
          <w:rFonts w:cs="Times New Roman"/>
        </w:rPr>
        <w:t xml:space="preserve">). </w:t>
      </w:r>
    </w:p>
    <w:p w14:paraId="387F6844" w14:textId="5C48DDAD" w:rsidR="000A0E2A" w:rsidRPr="00AF1E53" w:rsidRDefault="00E75491" w:rsidP="00071FBD">
      <w:pPr>
        <w:spacing w:line="360" w:lineRule="auto"/>
        <w:ind w:right="45" w:firstLine="567"/>
        <w:jc w:val="both"/>
        <w:rPr>
          <w:rFonts w:eastAsia="Times New Roman" w:cs="Times New Roman"/>
          <w:color w:val="000000"/>
        </w:rPr>
      </w:pPr>
      <w:r>
        <w:rPr>
          <w:rFonts w:cs="Times New Roman"/>
        </w:rPr>
        <w:t>Š</w:t>
      </w:r>
      <w:r w:rsidR="00C73399" w:rsidRPr="00AF1E53">
        <w:rPr>
          <w:rFonts w:cs="Times New Roman"/>
        </w:rPr>
        <w:t xml:space="preserve">ajā lietā tiesas priekšsēdētājas iesniegumā norādītie apstākļi </w:t>
      </w:r>
      <w:r w:rsidR="00071FBD" w:rsidRPr="00AF1E53">
        <w:rPr>
          <w:rFonts w:cs="Times New Roman"/>
        </w:rPr>
        <w:t>atkārtoti</w:t>
      </w:r>
      <w:r w:rsidR="00C73399" w:rsidRPr="00AF1E53">
        <w:rPr>
          <w:rFonts w:cs="Times New Roman"/>
        </w:rPr>
        <w:t xml:space="preserve"> norāda uz tiesneses aizspriedumiem un nespēju nodrošināt cieņpilnu saskarsmi ar </w:t>
      </w:r>
      <w:r w:rsidR="00071FBD" w:rsidRPr="00AF1E53">
        <w:rPr>
          <w:rFonts w:cs="Times New Roman"/>
        </w:rPr>
        <w:t>lietas</w:t>
      </w:r>
      <w:r w:rsidR="00C73399" w:rsidRPr="00AF1E53">
        <w:rPr>
          <w:rFonts w:cs="Times New Roman"/>
        </w:rPr>
        <w:t xml:space="preserve"> </w:t>
      </w:r>
      <w:r w:rsidR="00071FBD" w:rsidRPr="00AF1E53">
        <w:rPr>
          <w:rFonts w:cs="Times New Roman"/>
        </w:rPr>
        <w:t>dalībniekiem</w:t>
      </w:r>
      <w:r w:rsidR="00C73399" w:rsidRPr="00AF1E53">
        <w:rPr>
          <w:rFonts w:cs="Times New Roman"/>
        </w:rPr>
        <w:t xml:space="preserve">. </w:t>
      </w:r>
      <w:r w:rsidR="00071FBD" w:rsidRPr="00AF1E53">
        <w:rPr>
          <w:rFonts w:cs="Times New Roman"/>
        </w:rPr>
        <w:t xml:space="preserve">Tiesnese lēmumā par </w:t>
      </w:r>
      <w:r w:rsidR="000A0E2A" w:rsidRPr="00AF1E53">
        <w:rPr>
          <w:rFonts w:eastAsia="Times New Roman" w:cs="Times New Roman"/>
          <w:color w:val="000000"/>
        </w:rPr>
        <w:t>piespiedu naud</w:t>
      </w:r>
      <w:r w:rsidR="00071FBD" w:rsidRPr="00AF1E53">
        <w:rPr>
          <w:rFonts w:eastAsia="Times New Roman" w:cs="Times New Roman"/>
          <w:color w:val="000000"/>
        </w:rPr>
        <w:t>u advokātei nav spējusi atturēties no personiska viedokļa izteikšanas</w:t>
      </w:r>
      <w:r w:rsidR="00F91E21" w:rsidRPr="00AF1E53">
        <w:rPr>
          <w:rFonts w:eastAsia="Times New Roman" w:cs="Times New Roman"/>
          <w:color w:val="000000"/>
        </w:rPr>
        <w:t>. Lēmum</w:t>
      </w:r>
      <w:r w:rsidR="00A27A3D" w:rsidRPr="00AF1E53">
        <w:rPr>
          <w:rFonts w:eastAsia="Times New Roman" w:cs="Times New Roman"/>
          <w:color w:val="000000"/>
        </w:rPr>
        <w:t>am par piespiedu naudu jābūt</w:t>
      </w:r>
      <w:r w:rsidR="00071FBD" w:rsidRPr="00AF1E53">
        <w:rPr>
          <w:rFonts w:eastAsia="Times New Roman" w:cs="Times New Roman"/>
          <w:color w:val="000000"/>
        </w:rPr>
        <w:t xml:space="preserve"> balstīt</w:t>
      </w:r>
      <w:r w:rsidR="00A27A3D" w:rsidRPr="00AF1E53">
        <w:rPr>
          <w:rFonts w:eastAsia="Times New Roman" w:cs="Times New Roman"/>
          <w:color w:val="000000"/>
        </w:rPr>
        <w:t>am</w:t>
      </w:r>
      <w:r w:rsidR="00071FBD" w:rsidRPr="00AF1E53">
        <w:rPr>
          <w:rFonts w:eastAsia="Times New Roman" w:cs="Times New Roman"/>
          <w:color w:val="000000"/>
        </w:rPr>
        <w:t xml:space="preserve"> objektīvos faktos par personas pieļautu nepamatotu tiesas sēdes kavēšanu un tiesas procesa vilcināšanu, </w:t>
      </w:r>
      <w:r w:rsidR="00A27A3D" w:rsidRPr="00AF1E53">
        <w:rPr>
          <w:rFonts w:eastAsia="Times New Roman" w:cs="Times New Roman"/>
          <w:color w:val="000000"/>
        </w:rPr>
        <w:t>nevis</w:t>
      </w:r>
      <w:r w:rsidR="00071FBD" w:rsidRPr="00AF1E53">
        <w:rPr>
          <w:rFonts w:eastAsia="Times New Roman" w:cs="Times New Roman"/>
          <w:color w:val="000000"/>
        </w:rPr>
        <w:t xml:space="preserve"> tiesne</w:t>
      </w:r>
      <w:r w:rsidR="00A27A3D" w:rsidRPr="00AF1E53">
        <w:rPr>
          <w:rFonts w:eastAsia="Times New Roman" w:cs="Times New Roman"/>
          <w:color w:val="000000"/>
        </w:rPr>
        <w:t>ša</w:t>
      </w:r>
      <w:r w:rsidR="00071FBD" w:rsidRPr="00AF1E53">
        <w:rPr>
          <w:rFonts w:eastAsia="Times New Roman" w:cs="Times New Roman"/>
          <w:color w:val="000000"/>
        </w:rPr>
        <w:t xml:space="preserve"> pieņēmumos un aizspriedumos par to, vai persona ir spējīga pildīt </w:t>
      </w:r>
      <w:r w:rsidR="000A0E2A" w:rsidRPr="00AF1E53">
        <w:rPr>
          <w:rFonts w:eastAsia="Times New Roman" w:cs="Times New Roman"/>
          <w:color w:val="000000"/>
        </w:rPr>
        <w:t xml:space="preserve">zvērināta advokāta </w:t>
      </w:r>
      <w:r w:rsidR="00071FBD" w:rsidRPr="00AF1E53">
        <w:rPr>
          <w:rFonts w:eastAsia="Times New Roman" w:cs="Times New Roman"/>
          <w:color w:val="000000"/>
        </w:rPr>
        <w:t xml:space="preserve">pienākumus </w:t>
      </w:r>
      <w:r w:rsidR="00A27A3D" w:rsidRPr="00AF1E53">
        <w:rPr>
          <w:rFonts w:eastAsia="Times New Roman" w:cs="Times New Roman"/>
          <w:color w:val="000000"/>
        </w:rPr>
        <w:t xml:space="preserve">un piedalīties tiesas sēdē </w:t>
      </w:r>
      <w:r w:rsidR="00071FBD" w:rsidRPr="00AF1E53">
        <w:rPr>
          <w:rFonts w:eastAsia="Times New Roman" w:cs="Times New Roman"/>
          <w:color w:val="000000"/>
        </w:rPr>
        <w:t xml:space="preserve">savu </w:t>
      </w:r>
      <w:r w:rsidR="000A0E2A" w:rsidRPr="00AF1E53">
        <w:rPr>
          <w:rFonts w:eastAsia="Times New Roman" w:cs="Times New Roman"/>
          <w:color w:val="000000"/>
        </w:rPr>
        <w:t>fizisko spēju</w:t>
      </w:r>
      <w:r w:rsidR="00071FBD" w:rsidRPr="00AF1E53">
        <w:rPr>
          <w:rFonts w:eastAsia="Times New Roman" w:cs="Times New Roman"/>
          <w:color w:val="000000"/>
        </w:rPr>
        <w:t xml:space="preserve">, </w:t>
      </w:r>
      <w:r w:rsidR="000A0E2A" w:rsidRPr="00AF1E53">
        <w:rPr>
          <w:rFonts w:eastAsia="Times New Roman" w:cs="Times New Roman"/>
          <w:color w:val="000000"/>
        </w:rPr>
        <w:t xml:space="preserve">vecuma un veselības </w:t>
      </w:r>
      <w:r w:rsidR="00071FBD" w:rsidRPr="00AF1E53">
        <w:rPr>
          <w:rFonts w:eastAsia="Times New Roman" w:cs="Times New Roman"/>
          <w:color w:val="000000"/>
        </w:rPr>
        <w:t xml:space="preserve">stāvokļa </w:t>
      </w:r>
      <w:r w:rsidR="000A0E2A" w:rsidRPr="00AF1E53">
        <w:rPr>
          <w:rFonts w:eastAsia="Times New Roman" w:cs="Times New Roman"/>
          <w:color w:val="000000"/>
        </w:rPr>
        <w:t>dēļ.</w:t>
      </w:r>
      <w:r w:rsidR="00071FBD" w:rsidRPr="00AF1E53">
        <w:rPr>
          <w:rFonts w:eastAsia="Times New Roman" w:cs="Times New Roman"/>
          <w:color w:val="000000"/>
        </w:rPr>
        <w:t xml:space="preserve"> </w:t>
      </w:r>
      <w:r w:rsidR="00AF1E53">
        <w:rPr>
          <w:rFonts w:eastAsia="Times New Roman" w:cs="Times New Roman"/>
          <w:color w:val="000000"/>
        </w:rPr>
        <w:t>A</w:t>
      </w:r>
      <w:r w:rsidR="00071FBD" w:rsidRPr="00AF1E53">
        <w:rPr>
          <w:rFonts w:eastAsia="Times New Roman" w:cs="Times New Roman"/>
          <w:color w:val="000000"/>
        </w:rPr>
        <w:t xml:space="preserve">izskaroša ir </w:t>
      </w:r>
      <w:r w:rsidR="00AF1E53">
        <w:rPr>
          <w:rFonts w:eastAsia="Times New Roman" w:cs="Times New Roman"/>
          <w:color w:val="000000"/>
        </w:rPr>
        <w:t xml:space="preserve">arī </w:t>
      </w:r>
      <w:r w:rsidR="00071FBD" w:rsidRPr="00AF1E53">
        <w:rPr>
          <w:rFonts w:eastAsia="Times New Roman" w:cs="Times New Roman"/>
          <w:color w:val="000000"/>
        </w:rPr>
        <w:t>tiesneses norāde par advokātu ētikas pārkāpum</w:t>
      </w:r>
      <w:r w:rsidR="00A27A3D" w:rsidRPr="00AF1E53">
        <w:rPr>
          <w:rFonts w:eastAsia="Times New Roman" w:cs="Times New Roman"/>
          <w:color w:val="000000"/>
        </w:rPr>
        <w:t>u,</w:t>
      </w:r>
      <w:r w:rsidR="00071FBD" w:rsidRPr="00AF1E53">
        <w:rPr>
          <w:rFonts w:eastAsia="Times New Roman" w:cs="Times New Roman"/>
          <w:color w:val="000000"/>
        </w:rPr>
        <w:t xml:space="preserve"> uzņemoties sniegt juridisko palīdzību, j</w:t>
      </w:r>
      <w:r w:rsidR="000A0E2A" w:rsidRPr="00AF1E53">
        <w:rPr>
          <w:rFonts w:eastAsia="Times New Roman" w:cs="Times New Roman"/>
          <w:color w:val="000000"/>
        </w:rPr>
        <w:t>a zvērinātam advokātam šādu spēju nav.</w:t>
      </w:r>
    </w:p>
    <w:p w14:paraId="3A3B991C" w14:textId="77777777" w:rsidR="001D445D" w:rsidRPr="00AF1E53" w:rsidRDefault="001D445D" w:rsidP="00E528CC">
      <w:pPr>
        <w:spacing w:line="360" w:lineRule="auto"/>
        <w:jc w:val="both"/>
        <w:rPr>
          <w:rFonts w:cs="Times New Roman"/>
        </w:rPr>
      </w:pPr>
    </w:p>
    <w:p w14:paraId="5A0527D4" w14:textId="02D5D2D1" w:rsidR="008E43D6" w:rsidRDefault="00AD4930" w:rsidP="008E43D6">
      <w:pPr>
        <w:spacing w:line="360" w:lineRule="auto"/>
        <w:ind w:firstLine="567"/>
        <w:jc w:val="both"/>
        <w:rPr>
          <w:rFonts w:cs="Times New Roman"/>
        </w:rPr>
      </w:pPr>
      <w:r w:rsidRPr="00AF1E53">
        <w:rPr>
          <w:rFonts w:cs="Times New Roman"/>
        </w:rPr>
        <w:t>[1</w:t>
      </w:r>
      <w:r w:rsidR="007B0413">
        <w:rPr>
          <w:rFonts w:cs="Times New Roman"/>
        </w:rPr>
        <w:t>1</w:t>
      </w:r>
      <w:r w:rsidRPr="00AF1E53">
        <w:rPr>
          <w:rFonts w:cs="Times New Roman"/>
        </w:rPr>
        <w:t>]</w:t>
      </w:r>
      <w:r w:rsidR="00AF1E53">
        <w:rPr>
          <w:rFonts w:cs="Times New Roman"/>
        </w:rPr>
        <w:t> </w:t>
      </w:r>
      <w:r w:rsidR="00F61E0D" w:rsidRPr="00AF1E53">
        <w:rPr>
          <w:rFonts w:cs="Times New Roman"/>
        </w:rPr>
        <w:t>Novēr</w:t>
      </w:r>
      <w:r w:rsidR="003C4948" w:rsidRPr="00AF1E53">
        <w:rPr>
          <w:rFonts w:cs="Times New Roman"/>
        </w:rPr>
        <w:t>tējot visus apstākļus to kopumā,</w:t>
      </w:r>
      <w:r w:rsidR="00F61E0D" w:rsidRPr="00AF1E53">
        <w:rPr>
          <w:rFonts w:cs="Times New Roman"/>
        </w:rPr>
        <w:t xml:space="preserve"> </w:t>
      </w:r>
      <w:r w:rsidR="003C4948" w:rsidRPr="00AF1E53">
        <w:rPr>
          <w:rFonts w:cs="Times New Roman"/>
        </w:rPr>
        <w:t>atzīsta</w:t>
      </w:r>
      <w:r w:rsidR="00F61E0D" w:rsidRPr="00AF1E53">
        <w:rPr>
          <w:rFonts w:cs="Times New Roman"/>
        </w:rPr>
        <w:t xml:space="preserve">ms, ka </w:t>
      </w:r>
      <w:r w:rsidR="0088444F">
        <w:rPr>
          <w:rFonts w:cs="Times New Roman"/>
        </w:rPr>
        <w:t>t</w:t>
      </w:r>
      <w:r w:rsidR="0088444F" w:rsidRPr="00AF1E53">
        <w:rPr>
          <w:rFonts w:cs="Times New Roman"/>
        </w:rPr>
        <w:t xml:space="preserve">iesnese nav ievērojusi ētikas normas tiesas </w:t>
      </w:r>
      <w:r w:rsidR="0088444F">
        <w:rPr>
          <w:rFonts w:cs="Times New Roman"/>
        </w:rPr>
        <w:t>procesa vadīšanā un saziņā ar lietas dalībniekiem</w:t>
      </w:r>
      <w:r w:rsidR="00B87D0F">
        <w:rPr>
          <w:rFonts w:cs="Times New Roman"/>
        </w:rPr>
        <w:t>, t</w:t>
      </w:r>
      <w:r w:rsidR="0088444F">
        <w:rPr>
          <w:rFonts w:cs="Times New Roman"/>
        </w:rPr>
        <w:t>urk</w:t>
      </w:r>
      <w:r w:rsidR="008E43D6">
        <w:rPr>
          <w:rFonts w:cs="Times New Roman"/>
        </w:rPr>
        <w:t>l</w:t>
      </w:r>
      <w:r w:rsidR="0088444F">
        <w:rPr>
          <w:rFonts w:cs="Times New Roman"/>
        </w:rPr>
        <w:t>āt</w:t>
      </w:r>
      <w:r w:rsidR="0088444F" w:rsidRPr="00AF1E53">
        <w:rPr>
          <w:rFonts w:cs="Times New Roman"/>
        </w:rPr>
        <w:t xml:space="preserve"> </w:t>
      </w:r>
      <w:r w:rsidR="008E43D6">
        <w:rPr>
          <w:rFonts w:cs="Times New Roman"/>
        </w:rPr>
        <w:t>ir ignorējusi</w:t>
      </w:r>
      <w:r w:rsidR="0088444F" w:rsidRPr="00AF1E53">
        <w:rPr>
          <w:rFonts w:cs="Times New Roman"/>
        </w:rPr>
        <w:t xml:space="preserve"> Tiesnešu ētikas komisijas jau iepriekš atzinumos tiesnesei norādīto, ka tiesnesim jābūt cieņas pilnam </w:t>
      </w:r>
      <w:r w:rsidR="0088444F" w:rsidRPr="00AF1E53">
        <w:rPr>
          <w:rFonts w:cs="Times New Roman"/>
        </w:rPr>
        <w:lastRenderedPageBreak/>
        <w:t>saskarsmē ar jebkuru cilvēku</w:t>
      </w:r>
      <w:r w:rsidR="008E43D6">
        <w:rPr>
          <w:rFonts w:cs="Times New Roman"/>
        </w:rPr>
        <w:t>, tostarp</w:t>
      </w:r>
      <w:r w:rsidR="008E43D6" w:rsidRPr="00AF1E53">
        <w:rPr>
          <w:rFonts w:cs="Times New Roman"/>
        </w:rPr>
        <w:t xml:space="preserve"> lietas dalībniekiem</w:t>
      </w:r>
      <w:r w:rsidR="008E43D6">
        <w:rPr>
          <w:rFonts w:cs="Times New Roman"/>
        </w:rPr>
        <w:t xml:space="preserve"> </w:t>
      </w:r>
      <w:r w:rsidR="0088444F" w:rsidRPr="00AF1E53">
        <w:rPr>
          <w:rFonts w:cs="Times New Roman"/>
        </w:rPr>
        <w:t>(</w:t>
      </w:r>
      <w:r w:rsidR="0088444F" w:rsidRPr="008E43D6">
        <w:rPr>
          <w:rFonts w:cs="Times New Roman"/>
          <w:i/>
          <w:iCs/>
        </w:rPr>
        <w:t>Tiesnešu ētikas komisijas 2010.gada 13.novembra, 2012.gada 20.janvāra, 2020.gada 13.novembra atzinumi par tiesnesi</w:t>
      </w:r>
      <w:r w:rsidR="0088444F" w:rsidRPr="00AF1E53">
        <w:rPr>
          <w:rFonts w:cs="Times New Roman"/>
        </w:rPr>
        <w:t>).</w:t>
      </w:r>
      <w:r w:rsidR="008E43D6">
        <w:rPr>
          <w:rFonts w:cs="Times New Roman"/>
        </w:rPr>
        <w:t xml:space="preserve"> Cieņpilna </w:t>
      </w:r>
      <w:r w:rsidR="008E43D6" w:rsidRPr="00E834C8">
        <w:rPr>
          <w:rFonts w:cs="Times New Roman"/>
        </w:rPr>
        <w:t xml:space="preserve">attieksme nozīmē arī empātiju un cilvēku objektīvu vajadzību apzināšanu un respektēšanu, </w:t>
      </w:r>
      <w:r w:rsidR="00E75491" w:rsidRPr="00E834C8">
        <w:rPr>
          <w:rFonts w:cs="Times New Roman"/>
        </w:rPr>
        <w:t>tiesnesim piemērojot</w:t>
      </w:r>
      <w:r w:rsidR="008E43D6" w:rsidRPr="00E834C8">
        <w:rPr>
          <w:rFonts w:cs="Times New Roman"/>
        </w:rPr>
        <w:t xml:space="preserve"> procesuālās</w:t>
      </w:r>
      <w:r w:rsidR="008E43D6" w:rsidRPr="0064465C">
        <w:rPr>
          <w:rFonts w:cs="Times New Roman"/>
        </w:rPr>
        <w:t xml:space="preserve"> tiesību normas</w:t>
      </w:r>
      <w:r w:rsidR="008E43D6">
        <w:rPr>
          <w:rFonts w:cs="Times New Roman"/>
        </w:rPr>
        <w:t xml:space="preserve"> un nosakot lietas dalībniekiem saistošus pienākumus tiesas procesa nodrošināšanā.</w:t>
      </w:r>
    </w:p>
    <w:p w14:paraId="7A0AD173" w14:textId="1D3DC729" w:rsidR="007B2304" w:rsidRPr="00AF1E53" w:rsidRDefault="008E43D6" w:rsidP="008E43D6">
      <w:pPr>
        <w:spacing w:line="360" w:lineRule="auto"/>
        <w:ind w:firstLine="567"/>
        <w:jc w:val="both"/>
        <w:rPr>
          <w:rFonts w:cs="Times New Roman"/>
        </w:rPr>
      </w:pPr>
      <w:r>
        <w:rPr>
          <w:rFonts w:cs="Times New Roman"/>
        </w:rPr>
        <w:t>T</w:t>
      </w:r>
      <w:r w:rsidR="00F61E0D" w:rsidRPr="00AF1E53">
        <w:rPr>
          <w:rFonts w:cs="Times New Roman"/>
        </w:rPr>
        <w:t xml:space="preserve">iesnese </w:t>
      </w:r>
      <w:r w:rsidR="00AF1E53">
        <w:rPr>
          <w:rFonts w:cs="Times New Roman"/>
        </w:rPr>
        <w:t xml:space="preserve">vēl joprojām </w:t>
      </w:r>
      <w:r w:rsidR="00F61E0D" w:rsidRPr="00AF1E53">
        <w:rPr>
          <w:rFonts w:cs="Times New Roman"/>
        </w:rPr>
        <w:t xml:space="preserve">nav pilnībā izpratusi </w:t>
      </w:r>
      <w:r w:rsidR="003C4948" w:rsidRPr="00AF1E53">
        <w:rPr>
          <w:rFonts w:cs="Times New Roman"/>
        </w:rPr>
        <w:t>T</w:t>
      </w:r>
      <w:r w:rsidR="00F61E0D" w:rsidRPr="00AF1E53">
        <w:rPr>
          <w:rFonts w:cs="Times New Roman"/>
        </w:rPr>
        <w:t>iesnešu ētikas kodeksa normu, kā arī tiesnešu uzvedības Ban</w:t>
      </w:r>
      <w:r w:rsidR="003C4948" w:rsidRPr="00AF1E53">
        <w:rPr>
          <w:rFonts w:cs="Times New Roman"/>
        </w:rPr>
        <w:t xml:space="preserve">galoras principu saturu un jēgu. </w:t>
      </w:r>
      <w:r w:rsidR="00AF1E53">
        <w:rPr>
          <w:rFonts w:cs="Times New Roman"/>
        </w:rPr>
        <w:t>Tiesnese nav spējīga kritiski vērtēt savu personīgo īpašību atbilstību tiesnesim izvirzāmajām prasmēm. Kā minēts, t</w:t>
      </w:r>
      <w:r w:rsidR="00AF1E53" w:rsidRPr="00AF1E53">
        <w:rPr>
          <w:rFonts w:cs="Times New Roman"/>
        </w:rPr>
        <w:t>iesnesi</w:t>
      </w:r>
      <w:r w:rsidR="00AF1E53">
        <w:rPr>
          <w:rFonts w:cs="Times New Roman"/>
        </w:rPr>
        <w:t>m ir jā</w:t>
      </w:r>
      <w:r w:rsidR="00AF1E53" w:rsidRPr="00AF1E53">
        <w:rPr>
          <w:rFonts w:cs="Times New Roman"/>
        </w:rPr>
        <w:t>dara vis</w:t>
      </w:r>
      <w:r w:rsidR="00AF1E53">
        <w:rPr>
          <w:rFonts w:cs="Times New Roman"/>
        </w:rPr>
        <w:t>s</w:t>
      </w:r>
      <w:r w:rsidR="00AF1E53" w:rsidRPr="00AF1E53">
        <w:rPr>
          <w:rFonts w:cs="Times New Roman"/>
        </w:rPr>
        <w:t xml:space="preserve"> iespējam</w:t>
      </w:r>
      <w:r w:rsidR="00AF1E53">
        <w:rPr>
          <w:rFonts w:cs="Times New Roman"/>
        </w:rPr>
        <w:t>ais</w:t>
      </w:r>
      <w:r w:rsidR="00AF1E53" w:rsidRPr="00AF1E53">
        <w:rPr>
          <w:rFonts w:cs="Times New Roman"/>
        </w:rPr>
        <w:t>, lai saglabātu un attīstītu savas zināšanas, prasmes un personīgās spējas, kas nepieciešamas tiesneša pienākumu pienācīgai veikšanai.</w:t>
      </w:r>
      <w:r w:rsidR="00AF1E53">
        <w:rPr>
          <w:rFonts w:cs="Times New Roman"/>
        </w:rPr>
        <w:t xml:space="preserve"> Tas </w:t>
      </w:r>
      <w:r w:rsidR="00AF1E53">
        <w:rPr>
          <w:rFonts w:cs="Times New Roman"/>
          <w:i/>
          <w:iCs/>
        </w:rPr>
        <w:t>expressis verbis</w:t>
      </w:r>
      <w:r w:rsidR="00AF1E53">
        <w:rPr>
          <w:rFonts w:cs="Times New Roman"/>
        </w:rPr>
        <w:t xml:space="preserve"> noteikts Tiesnešu ētikas kodeksa 4.kanona 2.punktā</w:t>
      </w:r>
      <w:r>
        <w:rPr>
          <w:rFonts w:cs="Times New Roman"/>
        </w:rPr>
        <w:t xml:space="preserve"> un </w:t>
      </w:r>
      <w:r w:rsidR="00AF1E53">
        <w:rPr>
          <w:rFonts w:cs="Times New Roman"/>
        </w:rPr>
        <w:t>ietver tiesneša p</w:t>
      </w:r>
      <w:r w:rsidR="0088444F">
        <w:rPr>
          <w:rFonts w:cs="Times New Roman"/>
        </w:rPr>
        <w:t>ienākumu</w:t>
      </w:r>
      <w:r w:rsidR="00AF1E53">
        <w:rPr>
          <w:rFonts w:cs="Times New Roman"/>
        </w:rPr>
        <w:t xml:space="preserve"> a</w:t>
      </w:r>
      <w:r w:rsidR="00F61E0D" w:rsidRPr="00AF1E53">
        <w:rPr>
          <w:rFonts w:cs="Times New Roman"/>
        </w:rPr>
        <w:t xml:space="preserve">nalizēt un pārvērtēt savas darbības, savu izpratni par </w:t>
      </w:r>
      <w:r w:rsidR="0088444F">
        <w:rPr>
          <w:rFonts w:cs="Times New Roman"/>
        </w:rPr>
        <w:t>tiesneša pienākumiem un arī to, kā pilnveidot un attīstīt savas personīgās kompetences, kas ietilpst kopējā tiesneša prasmju lokā</w:t>
      </w:r>
      <w:r w:rsidR="00F61E0D" w:rsidRPr="00AF1E53">
        <w:rPr>
          <w:rFonts w:cs="Times New Roman"/>
        </w:rPr>
        <w:t>.</w:t>
      </w:r>
    </w:p>
    <w:p w14:paraId="0E58EEEB" w14:textId="0CC556F1" w:rsidR="00F029F9" w:rsidRDefault="00BC3BE2" w:rsidP="008E43D6">
      <w:pPr>
        <w:spacing w:line="360" w:lineRule="auto"/>
        <w:ind w:firstLine="567"/>
        <w:jc w:val="both"/>
        <w:rPr>
          <w:rFonts w:cs="Times New Roman"/>
        </w:rPr>
      </w:pPr>
      <w:r w:rsidRPr="00AF1E53">
        <w:rPr>
          <w:rFonts w:cs="Times New Roman"/>
        </w:rPr>
        <w:t xml:space="preserve"> </w:t>
      </w:r>
      <w:r w:rsidR="0088444F">
        <w:rPr>
          <w:rFonts w:cs="Times New Roman"/>
        </w:rPr>
        <w:t xml:space="preserve">Taču, kā </w:t>
      </w:r>
      <w:r w:rsidR="0088444F" w:rsidRPr="00CF757E">
        <w:rPr>
          <w:rFonts w:cs="Times New Roman"/>
        </w:rPr>
        <w:t>redzams</w:t>
      </w:r>
      <w:r w:rsidR="0088444F" w:rsidRPr="00E834C8">
        <w:rPr>
          <w:rFonts w:cs="Times New Roman"/>
        </w:rPr>
        <w:t>,</w:t>
      </w:r>
      <w:r w:rsidR="002406E5" w:rsidRPr="00E834C8">
        <w:rPr>
          <w:rFonts w:cs="Times New Roman"/>
        </w:rPr>
        <w:t xml:space="preserve"> tiesnese</w:t>
      </w:r>
      <w:r w:rsidR="002406E5" w:rsidRPr="00E834C8">
        <w:t xml:space="preserve"> </w:t>
      </w:r>
      <w:r w:rsidR="005612A1" w:rsidRPr="00E834C8">
        <w:t xml:space="preserve">nav gatava </w:t>
      </w:r>
      <w:r w:rsidR="00987A61" w:rsidRPr="00E834C8">
        <w:t>analizēt</w:t>
      </w:r>
      <w:r w:rsidR="005612A1" w:rsidRPr="00E834C8">
        <w:t xml:space="preserve"> </w:t>
      </w:r>
      <w:r w:rsidR="0088444F" w:rsidRPr="00E834C8">
        <w:t xml:space="preserve">savu profesionālo darbību, saskatīt tās vājās puses </w:t>
      </w:r>
      <w:r w:rsidR="0088444F" w:rsidRPr="00CF757E">
        <w:t>un pilnveidot</w:t>
      </w:r>
      <w:r w:rsidR="0088444F">
        <w:t xml:space="preserve"> savas personīgās kompetences</w:t>
      </w:r>
      <w:r w:rsidR="003C64BE">
        <w:t xml:space="preserve"> </w:t>
      </w:r>
      <w:r w:rsidR="003C64BE">
        <w:rPr>
          <w:rFonts w:cs="Times New Roman"/>
        </w:rPr>
        <w:t>(emocionālo inteliģenci, empātiju, cieņpilnu attieksmi)</w:t>
      </w:r>
      <w:r w:rsidR="0088444F">
        <w:t xml:space="preserve">, kā arī </w:t>
      </w:r>
      <w:r w:rsidR="005612A1" w:rsidRPr="00AF1E53">
        <w:t xml:space="preserve">pārvērtēt savu </w:t>
      </w:r>
      <w:r w:rsidR="0088444F">
        <w:t>priekšstatu par tiesneša pienākumiem</w:t>
      </w:r>
      <w:r w:rsidR="005612A1" w:rsidRPr="00AF1E53">
        <w:t>.</w:t>
      </w:r>
      <w:r w:rsidR="003C4948" w:rsidRPr="00AF1E53">
        <w:t xml:space="preserve"> </w:t>
      </w:r>
      <w:r w:rsidR="0088444F">
        <w:t>Vēl joprojām ir</w:t>
      </w:r>
      <w:r w:rsidR="003C4948" w:rsidRPr="00AF1E53">
        <w:t xml:space="preserve"> vērojama fundamentāla ne</w:t>
      </w:r>
      <w:r w:rsidR="008E43D6">
        <w:t>iz</w:t>
      </w:r>
      <w:r w:rsidR="003C4948" w:rsidRPr="00AF1E53">
        <w:t>pratne par š</w:t>
      </w:r>
      <w:r w:rsidR="0088444F">
        <w:t>ā</w:t>
      </w:r>
      <w:r w:rsidR="003C4948" w:rsidRPr="00AF1E53">
        <w:t xml:space="preserve"> atzinuma </w:t>
      </w:r>
      <w:r w:rsidR="0088444F">
        <w:t>8</w:t>
      </w:r>
      <w:r w:rsidR="003C4948" w:rsidRPr="00AF1E53">
        <w:t xml:space="preserve">.punktā </w:t>
      </w:r>
      <w:r w:rsidR="0088444F">
        <w:t xml:space="preserve">un jau iepriekš vairākkārt uzsvērtajiem </w:t>
      </w:r>
      <w:r w:rsidR="003C4948" w:rsidRPr="00AF1E53">
        <w:t>profesionālās ētikas standartiem.</w:t>
      </w:r>
    </w:p>
    <w:p w14:paraId="0F74B596" w14:textId="77777777" w:rsidR="008E43D6" w:rsidRPr="008E43D6" w:rsidRDefault="008E43D6" w:rsidP="00E528CC">
      <w:pPr>
        <w:spacing w:line="360" w:lineRule="auto"/>
        <w:jc w:val="both"/>
        <w:rPr>
          <w:rFonts w:cs="Times New Roman"/>
        </w:rPr>
      </w:pPr>
    </w:p>
    <w:p w14:paraId="13A52884" w14:textId="1DB9A06D" w:rsidR="00CA5D5A" w:rsidRPr="00AF1E53" w:rsidRDefault="00CA5D5A" w:rsidP="00EB3119">
      <w:pPr>
        <w:spacing w:line="360" w:lineRule="auto"/>
        <w:ind w:firstLine="709"/>
        <w:jc w:val="both"/>
        <w:rPr>
          <w:rFonts w:cs="Times New Roman"/>
        </w:rPr>
      </w:pPr>
      <w:r w:rsidRPr="00AF1E53">
        <w:rPr>
          <w:rFonts w:eastAsia="Calibri" w:cs="Times New Roman"/>
          <w:color w:val="000000"/>
          <w:kern w:val="0"/>
          <w:lang w:eastAsia="lv-LV" w:bidi="ar-SA"/>
        </w:rPr>
        <w:t>[1</w:t>
      </w:r>
      <w:r w:rsidR="007B0413">
        <w:rPr>
          <w:rFonts w:eastAsia="Calibri" w:cs="Times New Roman"/>
          <w:color w:val="000000"/>
          <w:kern w:val="0"/>
          <w:lang w:eastAsia="lv-LV" w:bidi="ar-SA"/>
        </w:rPr>
        <w:t>2</w:t>
      </w:r>
      <w:r w:rsidRPr="00AF1E53">
        <w:rPr>
          <w:rFonts w:eastAsia="Calibri" w:cs="Times New Roman"/>
          <w:color w:val="000000"/>
          <w:kern w:val="0"/>
          <w:lang w:eastAsia="lv-LV" w:bidi="ar-SA"/>
        </w:rPr>
        <w:t xml:space="preserve">] </w:t>
      </w:r>
      <w:r w:rsidR="00AB3922" w:rsidRPr="00AF1E53">
        <w:t xml:space="preserve">Novērtējot norādītos apstākļus to kopumā, </w:t>
      </w:r>
      <w:r w:rsidRPr="00AF1E53">
        <w:t xml:space="preserve">kā arī </w:t>
      </w:r>
      <w:r w:rsidR="00AB3922" w:rsidRPr="00AF1E53">
        <w:t xml:space="preserve">tiesneses attieksmi pret tiem, </w:t>
      </w:r>
      <w:r w:rsidR="00187979" w:rsidRPr="00AF1E53">
        <w:t>Tiesnešu ētikas komisi</w:t>
      </w:r>
      <w:r w:rsidR="00AB3922" w:rsidRPr="00AF1E53">
        <w:t>ja</w:t>
      </w:r>
      <w:r w:rsidR="00187979" w:rsidRPr="00AF1E53">
        <w:t xml:space="preserve"> </w:t>
      </w:r>
      <w:r w:rsidR="008E43D6">
        <w:t xml:space="preserve">konkrēto </w:t>
      </w:r>
      <w:r w:rsidR="00CC237C" w:rsidRPr="00AF1E53">
        <w:t xml:space="preserve">tiesneses pieļauto </w:t>
      </w:r>
      <w:r w:rsidR="00AB3922" w:rsidRPr="00AF1E53">
        <w:t>Tiesnešu ētikas kodeksa n</w:t>
      </w:r>
      <w:r w:rsidR="00CC237C" w:rsidRPr="00AF1E53">
        <w:t xml:space="preserve">ormu pārkāpumu </w:t>
      </w:r>
      <w:r w:rsidR="008E43D6">
        <w:t>neatzīst</w:t>
      </w:r>
      <w:r w:rsidR="00CC237C" w:rsidRPr="00AF1E53">
        <w:t xml:space="preserve"> par rupju</w:t>
      </w:r>
      <w:r w:rsidR="00AB3922" w:rsidRPr="00AF1E53">
        <w:rPr>
          <w:rFonts w:cs="Times New Roman"/>
        </w:rPr>
        <w:t>.</w:t>
      </w:r>
      <w:r w:rsidR="008E43D6">
        <w:rPr>
          <w:rFonts w:cs="Times New Roman"/>
        </w:rPr>
        <w:t xml:space="preserve"> </w:t>
      </w:r>
      <w:r w:rsidR="00EB3119" w:rsidRPr="00EB3119">
        <w:rPr>
          <w:rFonts w:cs="Times New Roman"/>
        </w:rPr>
        <w:t>Vienlaikus komisija vērš tiesneses uzmanību uz to, ka atkārtoti ētikas normu pārkāpumi var rezultēties arī rupja ētikas pārkāpuma konstatēšanā, neatkarīgi no konkrētā gadījuma individuālajiem apstākļiem.</w:t>
      </w:r>
      <w:r w:rsidR="00EB3119">
        <w:rPr>
          <w:rFonts w:cs="Times New Roman"/>
        </w:rPr>
        <w:t xml:space="preserve"> </w:t>
      </w:r>
      <w:r w:rsidR="005215C5">
        <w:rPr>
          <w:rFonts w:cs="Times New Roman"/>
        </w:rPr>
        <w:t xml:space="preserve">Šajā ziņā komisija uzsver, ka būtiski uz tiesneša rīcību raudzīties ne tikai no viena individuālā gadījuma aspektiem, bet aplūkot tiesneša rīcību un attieksmi pret ētikas normām </w:t>
      </w:r>
      <w:r w:rsidR="00FF085C">
        <w:rPr>
          <w:rFonts w:cs="Times New Roman"/>
        </w:rPr>
        <w:t>vispār</w:t>
      </w:r>
      <w:r w:rsidR="005215C5">
        <w:rPr>
          <w:rFonts w:cs="Times New Roman"/>
        </w:rPr>
        <w:t>. Kā iepriekš skaidrots, katra individuālā tiesneša rīcība atspoguļo tiesu varu kopumā. Sistemātiska ētikas norm</w:t>
      </w:r>
      <w:r w:rsidR="00D36451">
        <w:rPr>
          <w:rFonts w:cs="Times New Roman"/>
        </w:rPr>
        <w:t>u pārkāpšana</w:t>
      </w:r>
      <w:r w:rsidR="005215C5">
        <w:rPr>
          <w:rFonts w:cs="Times New Roman"/>
        </w:rPr>
        <w:t xml:space="preserve">, radot pazemojuma un necienīgas attieksmes sajūtu lietas dalībniekiem, </w:t>
      </w:r>
      <w:r w:rsidR="008655AC">
        <w:rPr>
          <w:rFonts w:cs="Times New Roman"/>
        </w:rPr>
        <w:t xml:space="preserve">neatkarīgi no tā, cik profesionāls un saturiski pareizs ir procesa rezultāts, </w:t>
      </w:r>
      <w:r w:rsidR="00C70058">
        <w:rPr>
          <w:rFonts w:cs="Times New Roman"/>
        </w:rPr>
        <w:t>met ēnu pār visu tiesu varu</w:t>
      </w:r>
      <w:r w:rsidR="005215C5" w:rsidRPr="00EB3119">
        <w:rPr>
          <w:rFonts w:cs="Times New Roman"/>
        </w:rPr>
        <w:t>.</w:t>
      </w:r>
      <w:r w:rsidR="005215C5">
        <w:rPr>
          <w:rFonts w:cs="Times New Roman"/>
        </w:rPr>
        <w:t xml:space="preserve"> </w:t>
      </w:r>
      <w:r w:rsidR="00D36451">
        <w:rPr>
          <w:rFonts w:cs="Times New Roman"/>
        </w:rPr>
        <w:t xml:space="preserve">Līdz ar to </w:t>
      </w:r>
      <w:r w:rsidR="00BD37E4">
        <w:rPr>
          <w:rFonts w:cs="Times New Roman"/>
        </w:rPr>
        <w:t xml:space="preserve">tādas negatīvas personības iezīmes, kas traucē tiesneša pienākumu pildīšanai, </w:t>
      </w:r>
      <w:r w:rsidR="00BD37E4" w:rsidRPr="00CA32D8">
        <w:rPr>
          <w:rFonts w:cs="Times New Roman"/>
        </w:rPr>
        <w:t xml:space="preserve">un </w:t>
      </w:r>
      <w:r w:rsidR="00397F8A" w:rsidRPr="00CA32D8">
        <w:rPr>
          <w:rFonts w:cs="Times New Roman"/>
        </w:rPr>
        <w:t>nevēlēšanās</w:t>
      </w:r>
      <w:r w:rsidR="00D36451" w:rsidRPr="00CA32D8">
        <w:rPr>
          <w:rFonts w:cs="Times New Roman"/>
        </w:rPr>
        <w:t xml:space="preserve"> </w:t>
      </w:r>
      <w:r w:rsidR="008655AC" w:rsidRPr="00CA32D8">
        <w:rPr>
          <w:rFonts w:cs="Times New Roman"/>
        </w:rPr>
        <w:t xml:space="preserve">apzināt un </w:t>
      </w:r>
      <w:r w:rsidR="00BD37E4" w:rsidRPr="00CA32D8">
        <w:rPr>
          <w:rFonts w:cs="Times New Roman"/>
        </w:rPr>
        <w:t>pilnveidot savas personīgās spējas</w:t>
      </w:r>
      <w:r w:rsidR="00D36451" w:rsidRPr="00CA32D8">
        <w:rPr>
          <w:rFonts w:cs="Times New Roman"/>
        </w:rPr>
        <w:t xml:space="preserve"> var būt pamats nākamajā ētikas pārkāpuma konstatēšanas reizē ne tikai nosūtīt </w:t>
      </w:r>
      <w:r w:rsidR="00BD37E4" w:rsidRPr="00CA32D8">
        <w:rPr>
          <w:rFonts w:cs="Times New Roman"/>
        </w:rPr>
        <w:t>tiesnes</w:t>
      </w:r>
      <w:r w:rsidR="00397F8A" w:rsidRPr="00CA32D8">
        <w:rPr>
          <w:rFonts w:cs="Times New Roman"/>
        </w:rPr>
        <w:t>i</w:t>
      </w:r>
      <w:r w:rsidR="00BD37E4" w:rsidRPr="00CA32D8">
        <w:rPr>
          <w:rFonts w:cs="Times New Roman"/>
        </w:rPr>
        <w:t xml:space="preserve"> </w:t>
      </w:r>
      <w:r w:rsidR="00397F8A" w:rsidRPr="00CA32D8">
        <w:rPr>
          <w:rFonts w:cs="Times New Roman"/>
        </w:rPr>
        <w:t xml:space="preserve">ārpuskārtas vērtēšanai Tiesnešu kvalifikācijas kolēģijā attiecībā uz </w:t>
      </w:r>
      <w:r w:rsidR="00D36451" w:rsidRPr="00CA32D8">
        <w:rPr>
          <w:rFonts w:cs="Times New Roman"/>
        </w:rPr>
        <w:t xml:space="preserve">atbilstību tiesnesim izvirzītajām personiskajām kompetencēm, bet arī </w:t>
      </w:r>
      <w:r w:rsidR="000E66C4" w:rsidRPr="00CA32D8">
        <w:rPr>
          <w:rFonts w:cs="Times New Roman"/>
        </w:rPr>
        <w:t xml:space="preserve">– </w:t>
      </w:r>
      <w:r w:rsidR="00FC20C7" w:rsidRPr="00CA32D8">
        <w:rPr>
          <w:rFonts w:cs="Times New Roman"/>
        </w:rPr>
        <w:t xml:space="preserve">vērtējumam par rupju ētikas </w:t>
      </w:r>
      <w:r w:rsidR="00FC20C7" w:rsidRPr="00CA32D8">
        <w:rPr>
          <w:rFonts w:cs="Times New Roman"/>
        </w:rPr>
        <w:lastRenderedPageBreak/>
        <w:t>pārkāpumu</w:t>
      </w:r>
      <w:r w:rsidR="007B474F" w:rsidRPr="00CA32D8">
        <w:rPr>
          <w:rFonts w:cs="Times New Roman"/>
        </w:rPr>
        <w:t>, kas būtu pamats</w:t>
      </w:r>
      <w:r w:rsidR="00FC20C7" w:rsidRPr="00CA32D8">
        <w:rPr>
          <w:rFonts w:cs="Times New Roman"/>
        </w:rPr>
        <w:t xml:space="preserve"> disciplinārlie</w:t>
      </w:r>
      <w:r w:rsidR="007B474F" w:rsidRPr="00CA32D8">
        <w:rPr>
          <w:rFonts w:cs="Times New Roman"/>
        </w:rPr>
        <w:t>tas ierosināšanai</w:t>
      </w:r>
      <w:r w:rsidR="00FC20C7" w:rsidRPr="00CA32D8">
        <w:rPr>
          <w:rFonts w:cs="Times New Roman"/>
        </w:rPr>
        <w:t>.</w:t>
      </w:r>
    </w:p>
    <w:p w14:paraId="420FFCD6" w14:textId="77777777" w:rsidR="00187979" w:rsidRPr="00AF1E53" w:rsidRDefault="00187979" w:rsidP="00AB3922">
      <w:pPr>
        <w:pStyle w:val="Pamattekstapirmatkpe"/>
        <w:spacing w:after="0" w:line="360" w:lineRule="auto"/>
        <w:ind w:firstLine="0"/>
        <w:jc w:val="both"/>
        <w:rPr>
          <w:rFonts w:ascii="Times New Roman" w:hAnsi="Times New Roman"/>
          <w:i/>
          <w:sz w:val="24"/>
          <w:szCs w:val="24"/>
          <w:lang w:val="lv-LV"/>
        </w:rPr>
      </w:pPr>
    </w:p>
    <w:p w14:paraId="7A637003" w14:textId="26E4218C" w:rsidR="00187979" w:rsidRDefault="00187979" w:rsidP="00E528CC">
      <w:pPr>
        <w:pStyle w:val="Sarakstaaizzme2"/>
      </w:pPr>
      <w:r w:rsidRPr="00AF1E53">
        <w:t xml:space="preserve">Ņemot vērā </w:t>
      </w:r>
      <w:r w:rsidR="001C46FA" w:rsidRPr="00AF1E53">
        <w:t>norādī</w:t>
      </w:r>
      <w:r w:rsidRPr="00AF1E53">
        <w:t>to, Tiesnešu ētikas komisija</w:t>
      </w:r>
    </w:p>
    <w:p w14:paraId="18E7C125" w14:textId="77777777" w:rsidR="00FF085C" w:rsidRPr="00AF1E53" w:rsidRDefault="00FF085C" w:rsidP="00E528CC">
      <w:pPr>
        <w:pStyle w:val="Sarakstaaizzme2"/>
      </w:pPr>
    </w:p>
    <w:p w14:paraId="53CD0DDD" w14:textId="77777777" w:rsidR="00187979" w:rsidRPr="00AF1E53" w:rsidRDefault="00CA5D5A" w:rsidP="00187979">
      <w:pPr>
        <w:widowControl/>
        <w:suppressAutoHyphens w:val="0"/>
        <w:spacing w:line="360" w:lineRule="auto"/>
        <w:jc w:val="center"/>
        <w:rPr>
          <w:rFonts w:eastAsia="Calibri" w:cs="Times New Roman"/>
          <w:b/>
          <w:spacing w:val="20"/>
          <w:kern w:val="0"/>
          <w:szCs w:val="22"/>
          <w:lang w:eastAsia="en-US" w:bidi="ar-SA"/>
        </w:rPr>
      </w:pPr>
      <w:r w:rsidRPr="00AF1E53">
        <w:rPr>
          <w:rFonts w:eastAsia="Calibri" w:cs="Times New Roman"/>
          <w:b/>
          <w:spacing w:val="20"/>
          <w:kern w:val="0"/>
          <w:szCs w:val="22"/>
          <w:lang w:eastAsia="en-US" w:bidi="ar-SA"/>
        </w:rPr>
        <w:t>atzīst</w:t>
      </w:r>
    </w:p>
    <w:p w14:paraId="7C99AAFA" w14:textId="77777777" w:rsidR="00AB3922" w:rsidRPr="00AF1E53" w:rsidRDefault="00AB3922" w:rsidP="00443997">
      <w:pPr>
        <w:widowControl/>
        <w:suppressAutoHyphens w:val="0"/>
        <w:spacing w:line="360" w:lineRule="auto"/>
        <w:rPr>
          <w:rFonts w:eastAsia="Calibri" w:cs="Times New Roman"/>
          <w:b/>
          <w:spacing w:val="20"/>
          <w:kern w:val="0"/>
          <w:szCs w:val="22"/>
          <w:lang w:eastAsia="en-US" w:bidi="ar-SA"/>
        </w:rPr>
      </w:pPr>
    </w:p>
    <w:p w14:paraId="2E4134E7" w14:textId="5905FB1F" w:rsidR="00187979" w:rsidRDefault="00AB3922" w:rsidP="00187979">
      <w:pPr>
        <w:spacing w:line="360" w:lineRule="auto"/>
        <w:ind w:firstLine="720"/>
        <w:jc w:val="both"/>
        <w:rPr>
          <w:rFonts w:cs="Times New Roman"/>
        </w:rPr>
      </w:pPr>
      <w:r w:rsidRPr="00AF1E53">
        <w:rPr>
          <w:rFonts w:cs="Times New Roman"/>
        </w:rPr>
        <w:t>T</w:t>
      </w:r>
      <w:r w:rsidR="00187979" w:rsidRPr="00AF1E53">
        <w:rPr>
          <w:rFonts w:cs="Times New Roman"/>
        </w:rPr>
        <w:t>iesne</w:t>
      </w:r>
      <w:r w:rsidR="00915E86" w:rsidRPr="00AF1E53">
        <w:rPr>
          <w:rFonts w:cs="Times New Roman"/>
        </w:rPr>
        <w:t>ses</w:t>
      </w:r>
      <w:r w:rsidR="00187979" w:rsidRPr="00AF1E53">
        <w:rPr>
          <w:rFonts w:cs="Times New Roman"/>
        </w:rPr>
        <w:t xml:space="preserve"> rīcībā ir konstatējams </w:t>
      </w:r>
      <w:bookmarkStart w:id="0" w:name="_Hlk89201483"/>
      <w:r w:rsidR="00187979" w:rsidRPr="00AF1E53">
        <w:rPr>
          <w:rFonts w:cs="Times New Roman"/>
        </w:rPr>
        <w:t xml:space="preserve">Tiesnešu ētikas kodeksa </w:t>
      </w:r>
      <w:bookmarkStart w:id="1" w:name="_Hlk522628117"/>
      <w:r w:rsidR="00B05E2B">
        <w:rPr>
          <w:rFonts w:cs="Times New Roman"/>
        </w:rPr>
        <w:t>2</w:t>
      </w:r>
      <w:r w:rsidR="00187979" w:rsidRPr="00AF1E53">
        <w:rPr>
          <w:rFonts w:cs="Times New Roman"/>
        </w:rPr>
        <w:t>.kan</w:t>
      </w:r>
      <w:r w:rsidRPr="00AF1E53">
        <w:rPr>
          <w:rFonts w:cs="Times New Roman"/>
        </w:rPr>
        <w:t xml:space="preserve">ona </w:t>
      </w:r>
      <w:r w:rsidR="00B05E2B">
        <w:rPr>
          <w:rFonts w:cs="Times New Roman"/>
        </w:rPr>
        <w:t>1., 2., 3</w:t>
      </w:r>
      <w:r w:rsidR="00B05E2B" w:rsidRPr="00AF1E53">
        <w:rPr>
          <w:rFonts w:cs="Times New Roman"/>
        </w:rPr>
        <w:t>.</w:t>
      </w:r>
      <w:r w:rsidR="00B05E2B">
        <w:rPr>
          <w:rFonts w:cs="Times New Roman"/>
        </w:rPr>
        <w:t xml:space="preserve"> un 6.</w:t>
      </w:r>
      <w:r w:rsidRPr="00AF1E53">
        <w:rPr>
          <w:rFonts w:cs="Times New Roman"/>
        </w:rPr>
        <w:t xml:space="preserve">punkta, </w:t>
      </w:r>
      <w:r w:rsidR="00187979" w:rsidRPr="00AF1E53">
        <w:rPr>
          <w:rFonts w:cs="Times New Roman"/>
        </w:rPr>
        <w:t xml:space="preserve">3.kanona </w:t>
      </w:r>
      <w:r w:rsidR="00B05E2B">
        <w:rPr>
          <w:rFonts w:cs="Times New Roman"/>
        </w:rPr>
        <w:t>1</w:t>
      </w:r>
      <w:r w:rsidRPr="00AF1E53">
        <w:rPr>
          <w:rFonts w:cs="Times New Roman"/>
        </w:rPr>
        <w:t xml:space="preserve">. </w:t>
      </w:r>
      <w:r w:rsidR="00187979" w:rsidRPr="00AF1E53">
        <w:rPr>
          <w:rFonts w:cs="Times New Roman"/>
        </w:rPr>
        <w:t xml:space="preserve">un </w:t>
      </w:r>
      <w:r w:rsidR="00B05E2B">
        <w:rPr>
          <w:rFonts w:cs="Times New Roman"/>
        </w:rPr>
        <w:t>2</w:t>
      </w:r>
      <w:r w:rsidR="00187979" w:rsidRPr="00AF1E53">
        <w:rPr>
          <w:rFonts w:cs="Times New Roman"/>
        </w:rPr>
        <w:t>.punkta</w:t>
      </w:r>
      <w:bookmarkEnd w:id="1"/>
      <w:r w:rsidR="00B05E2B">
        <w:rPr>
          <w:rFonts w:cs="Times New Roman"/>
        </w:rPr>
        <w:t>, 4.kanona 2. un 3.punkta</w:t>
      </w:r>
      <w:r w:rsidRPr="00AF1E53">
        <w:rPr>
          <w:rFonts w:cs="Times New Roman"/>
        </w:rPr>
        <w:t xml:space="preserve"> pārkāpums.</w:t>
      </w:r>
      <w:bookmarkEnd w:id="0"/>
    </w:p>
    <w:p w14:paraId="169753F8" w14:textId="698DA113" w:rsidR="00915E86" w:rsidRPr="00E528CC" w:rsidRDefault="00915E86" w:rsidP="00E528CC">
      <w:pPr>
        <w:spacing w:line="360" w:lineRule="auto"/>
        <w:jc w:val="both"/>
        <w:rPr>
          <w:rFonts w:cs="Times New Roman"/>
          <w:iCs/>
        </w:rPr>
      </w:pPr>
    </w:p>
    <w:tbl>
      <w:tblPr>
        <w:tblW w:w="9072" w:type="dxa"/>
        <w:tblLook w:val="04A0" w:firstRow="1" w:lastRow="0" w:firstColumn="1" w:lastColumn="0" w:noHBand="0" w:noVBand="1"/>
      </w:tblPr>
      <w:tblGrid>
        <w:gridCol w:w="6804"/>
        <w:gridCol w:w="2268"/>
      </w:tblGrid>
      <w:tr w:rsidR="006A765C" w:rsidRPr="00AF1E53" w14:paraId="68B7014D" w14:textId="77777777" w:rsidTr="00E528CC">
        <w:tc>
          <w:tcPr>
            <w:tcW w:w="6804" w:type="dxa"/>
            <w:shd w:val="clear" w:color="auto" w:fill="auto"/>
          </w:tcPr>
          <w:p w14:paraId="467D0099" w14:textId="77777777" w:rsidR="006A765C" w:rsidRPr="00AF1E53" w:rsidRDefault="006A765C" w:rsidP="00806570">
            <w:r w:rsidRPr="00AF1E53">
              <w:t>Komisijas priekšsēdētāja:</w:t>
            </w:r>
          </w:p>
        </w:tc>
        <w:tc>
          <w:tcPr>
            <w:tcW w:w="2268" w:type="dxa"/>
            <w:shd w:val="clear" w:color="auto" w:fill="auto"/>
          </w:tcPr>
          <w:p w14:paraId="229739F1" w14:textId="77777777" w:rsidR="006A765C" w:rsidRDefault="006A765C" w:rsidP="00806570">
            <w:r w:rsidRPr="00AF1E53">
              <w:t>Dace Skrauple</w:t>
            </w:r>
          </w:p>
          <w:p w14:paraId="12C847E1" w14:textId="661D9B6E" w:rsidR="00E528CC" w:rsidRDefault="00E528CC" w:rsidP="00806570"/>
          <w:p w14:paraId="18E0C984" w14:textId="77777777" w:rsidR="00E528CC" w:rsidRDefault="00E528CC" w:rsidP="00806570"/>
          <w:p w14:paraId="448CCD91" w14:textId="1E969B15" w:rsidR="00E528CC" w:rsidRPr="00AF1E53" w:rsidRDefault="00E528CC" w:rsidP="00806570"/>
        </w:tc>
      </w:tr>
      <w:tr w:rsidR="006A765C" w:rsidRPr="00AF1E53" w14:paraId="780C40F5" w14:textId="77777777" w:rsidTr="00E528CC">
        <w:tc>
          <w:tcPr>
            <w:tcW w:w="6804" w:type="dxa"/>
            <w:shd w:val="clear" w:color="auto" w:fill="auto"/>
          </w:tcPr>
          <w:p w14:paraId="5E4D5251" w14:textId="77777777" w:rsidR="006A765C" w:rsidRPr="00AF1E53" w:rsidRDefault="006A765C" w:rsidP="00806570">
            <w:r w:rsidRPr="00AF1E53">
              <w:t>Komisijas locekļi:</w:t>
            </w:r>
          </w:p>
        </w:tc>
        <w:tc>
          <w:tcPr>
            <w:tcW w:w="2268" w:type="dxa"/>
            <w:shd w:val="clear" w:color="auto" w:fill="auto"/>
          </w:tcPr>
          <w:p w14:paraId="725C5AB6" w14:textId="77777777" w:rsidR="006A765C" w:rsidRDefault="006A765C" w:rsidP="0085227E">
            <w:pPr>
              <w:spacing w:line="360" w:lineRule="auto"/>
              <w:ind w:right="43"/>
            </w:pPr>
            <w:r w:rsidRPr="00AF1E53">
              <w:t>Iveta Andžāne</w:t>
            </w:r>
          </w:p>
          <w:p w14:paraId="11249E33" w14:textId="77777777" w:rsidR="00E528CC" w:rsidRDefault="00E528CC" w:rsidP="0085227E">
            <w:pPr>
              <w:spacing w:line="360" w:lineRule="auto"/>
              <w:ind w:right="43"/>
            </w:pPr>
          </w:p>
          <w:p w14:paraId="575BCE75" w14:textId="5C10F219" w:rsidR="00E528CC" w:rsidRPr="00AF1E53" w:rsidRDefault="00E528CC" w:rsidP="0085227E">
            <w:pPr>
              <w:spacing w:line="360" w:lineRule="auto"/>
              <w:ind w:right="43"/>
            </w:pPr>
          </w:p>
        </w:tc>
      </w:tr>
      <w:tr w:rsidR="006A765C" w:rsidRPr="00AF1E53" w14:paraId="4641FC82" w14:textId="77777777" w:rsidTr="00E528CC">
        <w:tc>
          <w:tcPr>
            <w:tcW w:w="6804" w:type="dxa"/>
            <w:shd w:val="clear" w:color="auto" w:fill="auto"/>
          </w:tcPr>
          <w:p w14:paraId="0924EAC6" w14:textId="77777777" w:rsidR="006A765C" w:rsidRPr="00AF1E53" w:rsidRDefault="006A765C" w:rsidP="00806570"/>
        </w:tc>
        <w:tc>
          <w:tcPr>
            <w:tcW w:w="2268" w:type="dxa"/>
            <w:shd w:val="clear" w:color="auto" w:fill="auto"/>
          </w:tcPr>
          <w:p w14:paraId="565A245F" w14:textId="77777777" w:rsidR="006A765C" w:rsidRDefault="006A765C" w:rsidP="0085227E">
            <w:pPr>
              <w:spacing w:line="360" w:lineRule="auto"/>
              <w:ind w:right="43"/>
            </w:pPr>
            <w:r w:rsidRPr="00AF1E53">
              <w:t>Madara Ābele</w:t>
            </w:r>
          </w:p>
          <w:p w14:paraId="30025FAF" w14:textId="77777777" w:rsidR="00E528CC" w:rsidRDefault="00E528CC" w:rsidP="0085227E">
            <w:pPr>
              <w:spacing w:line="360" w:lineRule="auto"/>
              <w:ind w:right="43"/>
            </w:pPr>
          </w:p>
          <w:p w14:paraId="684F5377" w14:textId="5B323404" w:rsidR="00E528CC" w:rsidRPr="00AF1E53" w:rsidRDefault="00E528CC" w:rsidP="0085227E">
            <w:pPr>
              <w:spacing w:line="360" w:lineRule="auto"/>
              <w:ind w:right="43"/>
            </w:pPr>
          </w:p>
        </w:tc>
      </w:tr>
      <w:tr w:rsidR="006A765C" w:rsidRPr="00AF1E53" w14:paraId="40B73FA5" w14:textId="77777777" w:rsidTr="00E528CC">
        <w:tc>
          <w:tcPr>
            <w:tcW w:w="6804" w:type="dxa"/>
            <w:shd w:val="clear" w:color="auto" w:fill="auto"/>
          </w:tcPr>
          <w:p w14:paraId="3CCAA56E" w14:textId="77777777" w:rsidR="006A765C" w:rsidRPr="00AF1E53" w:rsidRDefault="006A765C" w:rsidP="00806570"/>
        </w:tc>
        <w:tc>
          <w:tcPr>
            <w:tcW w:w="2268" w:type="dxa"/>
            <w:shd w:val="clear" w:color="auto" w:fill="auto"/>
          </w:tcPr>
          <w:p w14:paraId="409AF942" w14:textId="77777777" w:rsidR="006A765C" w:rsidRDefault="006A765C" w:rsidP="0085227E">
            <w:pPr>
              <w:spacing w:line="360" w:lineRule="auto"/>
              <w:ind w:right="43"/>
            </w:pPr>
            <w:r w:rsidRPr="00AF1E53">
              <w:t>Adrija Kasakovska</w:t>
            </w:r>
          </w:p>
          <w:p w14:paraId="3A05A6DF" w14:textId="77777777" w:rsidR="00E528CC" w:rsidRDefault="00E528CC" w:rsidP="0085227E">
            <w:pPr>
              <w:spacing w:line="360" w:lineRule="auto"/>
              <w:ind w:right="43"/>
            </w:pPr>
          </w:p>
          <w:p w14:paraId="45394274" w14:textId="14591EF7" w:rsidR="00E528CC" w:rsidRPr="00AF1E53" w:rsidRDefault="00E528CC" w:rsidP="0085227E">
            <w:pPr>
              <w:spacing w:line="360" w:lineRule="auto"/>
              <w:ind w:right="43"/>
            </w:pPr>
          </w:p>
        </w:tc>
      </w:tr>
      <w:tr w:rsidR="006A765C" w:rsidRPr="00AF1E53" w14:paraId="2742CBA9" w14:textId="77777777" w:rsidTr="00E528CC">
        <w:tc>
          <w:tcPr>
            <w:tcW w:w="6804" w:type="dxa"/>
            <w:shd w:val="clear" w:color="auto" w:fill="auto"/>
          </w:tcPr>
          <w:p w14:paraId="51117F2C" w14:textId="77777777" w:rsidR="006A765C" w:rsidRPr="00AF1E53" w:rsidRDefault="006A765C" w:rsidP="00806570"/>
        </w:tc>
        <w:tc>
          <w:tcPr>
            <w:tcW w:w="2268" w:type="dxa"/>
            <w:shd w:val="clear" w:color="auto" w:fill="auto"/>
          </w:tcPr>
          <w:p w14:paraId="6E537861" w14:textId="77777777" w:rsidR="006A765C" w:rsidRDefault="006A765C" w:rsidP="0085227E">
            <w:pPr>
              <w:spacing w:line="360" w:lineRule="auto"/>
              <w:ind w:right="43"/>
            </w:pPr>
            <w:r w:rsidRPr="00AF1E53">
              <w:t>Anda Kraukle</w:t>
            </w:r>
          </w:p>
          <w:p w14:paraId="515680A4" w14:textId="77777777" w:rsidR="00E528CC" w:rsidRDefault="00E528CC" w:rsidP="0085227E">
            <w:pPr>
              <w:spacing w:line="360" w:lineRule="auto"/>
              <w:ind w:right="43"/>
            </w:pPr>
          </w:p>
          <w:p w14:paraId="274899D8" w14:textId="133E1FCC" w:rsidR="00E528CC" w:rsidRPr="00AF1E53" w:rsidRDefault="00E528CC" w:rsidP="0085227E">
            <w:pPr>
              <w:spacing w:line="360" w:lineRule="auto"/>
              <w:ind w:right="43"/>
            </w:pPr>
          </w:p>
        </w:tc>
      </w:tr>
      <w:tr w:rsidR="006A765C" w:rsidRPr="00AF1E53" w14:paraId="6E6F11AE" w14:textId="77777777" w:rsidTr="00E528CC">
        <w:tc>
          <w:tcPr>
            <w:tcW w:w="6804" w:type="dxa"/>
            <w:shd w:val="clear" w:color="auto" w:fill="auto"/>
          </w:tcPr>
          <w:p w14:paraId="488BE437" w14:textId="77777777" w:rsidR="006A765C" w:rsidRPr="00AF1E53" w:rsidRDefault="006A765C" w:rsidP="00806570"/>
        </w:tc>
        <w:tc>
          <w:tcPr>
            <w:tcW w:w="2268" w:type="dxa"/>
            <w:shd w:val="clear" w:color="auto" w:fill="auto"/>
          </w:tcPr>
          <w:p w14:paraId="425EB03D" w14:textId="77777777" w:rsidR="006A765C" w:rsidRDefault="006A765C" w:rsidP="0085227E">
            <w:pPr>
              <w:spacing w:line="360" w:lineRule="auto"/>
              <w:ind w:right="43"/>
            </w:pPr>
            <w:r w:rsidRPr="00AF1E53">
              <w:t>Baiba Lielpētere</w:t>
            </w:r>
          </w:p>
          <w:p w14:paraId="0817DDEB" w14:textId="77777777" w:rsidR="00E528CC" w:rsidRDefault="00E528CC" w:rsidP="0085227E">
            <w:pPr>
              <w:spacing w:line="360" w:lineRule="auto"/>
              <w:ind w:right="43"/>
            </w:pPr>
          </w:p>
          <w:p w14:paraId="39BEF94F" w14:textId="459BE11D" w:rsidR="00E528CC" w:rsidRPr="00AF1E53" w:rsidRDefault="00E528CC" w:rsidP="0085227E">
            <w:pPr>
              <w:spacing w:line="360" w:lineRule="auto"/>
              <w:ind w:right="43"/>
            </w:pPr>
          </w:p>
        </w:tc>
      </w:tr>
      <w:tr w:rsidR="006A765C" w:rsidRPr="00AF1E53" w14:paraId="526EA16F" w14:textId="77777777" w:rsidTr="00E528CC">
        <w:tc>
          <w:tcPr>
            <w:tcW w:w="6804" w:type="dxa"/>
            <w:shd w:val="clear" w:color="auto" w:fill="auto"/>
          </w:tcPr>
          <w:p w14:paraId="36063314" w14:textId="77777777" w:rsidR="006A765C" w:rsidRPr="00AF1E53" w:rsidRDefault="006A765C" w:rsidP="00806570"/>
        </w:tc>
        <w:tc>
          <w:tcPr>
            <w:tcW w:w="2268" w:type="dxa"/>
            <w:shd w:val="clear" w:color="auto" w:fill="auto"/>
          </w:tcPr>
          <w:p w14:paraId="76E2FEB9" w14:textId="77777777" w:rsidR="006A765C" w:rsidRDefault="006A765C" w:rsidP="0085227E">
            <w:pPr>
              <w:spacing w:line="360" w:lineRule="auto"/>
              <w:ind w:right="43"/>
            </w:pPr>
            <w:r w:rsidRPr="00AF1E53">
              <w:t>Dace Mita</w:t>
            </w:r>
          </w:p>
          <w:p w14:paraId="70CA572B" w14:textId="77777777" w:rsidR="00E528CC" w:rsidRDefault="00E528CC" w:rsidP="0085227E">
            <w:pPr>
              <w:spacing w:line="360" w:lineRule="auto"/>
              <w:ind w:right="43"/>
            </w:pPr>
          </w:p>
          <w:p w14:paraId="26E24B47" w14:textId="7D52E93A" w:rsidR="00E528CC" w:rsidRPr="00AF1E53" w:rsidRDefault="00E528CC" w:rsidP="0085227E">
            <w:pPr>
              <w:spacing w:line="360" w:lineRule="auto"/>
              <w:ind w:right="43"/>
            </w:pPr>
          </w:p>
        </w:tc>
      </w:tr>
      <w:tr w:rsidR="006A765C" w:rsidRPr="00AF1E53" w14:paraId="5A05C14F" w14:textId="77777777" w:rsidTr="00E528CC">
        <w:tc>
          <w:tcPr>
            <w:tcW w:w="6804" w:type="dxa"/>
            <w:shd w:val="clear" w:color="auto" w:fill="auto"/>
          </w:tcPr>
          <w:p w14:paraId="7933F377" w14:textId="77777777" w:rsidR="006A765C" w:rsidRPr="00AF1E53" w:rsidRDefault="006A765C" w:rsidP="00806570"/>
        </w:tc>
        <w:tc>
          <w:tcPr>
            <w:tcW w:w="2268" w:type="dxa"/>
            <w:shd w:val="clear" w:color="auto" w:fill="auto"/>
          </w:tcPr>
          <w:p w14:paraId="2DEDCE78" w14:textId="77777777" w:rsidR="006A765C" w:rsidRDefault="006A765C" w:rsidP="0085227E">
            <w:pPr>
              <w:spacing w:line="360" w:lineRule="auto"/>
              <w:ind w:right="43"/>
            </w:pPr>
            <w:r w:rsidRPr="00AF1E53">
              <w:t>Lauma Paegļkalna</w:t>
            </w:r>
          </w:p>
          <w:p w14:paraId="5B17BA5E" w14:textId="77777777" w:rsidR="00E528CC" w:rsidRDefault="00E528CC" w:rsidP="0085227E">
            <w:pPr>
              <w:spacing w:line="360" w:lineRule="auto"/>
              <w:ind w:right="43"/>
            </w:pPr>
          </w:p>
          <w:p w14:paraId="59101BC2" w14:textId="1716A72A" w:rsidR="00E528CC" w:rsidRPr="00AF1E53" w:rsidRDefault="00E528CC" w:rsidP="0085227E">
            <w:pPr>
              <w:spacing w:line="360" w:lineRule="auto"/>
              <w:ind w:right="43"/>
            </w:pPr>
          </w:p>
        </w:tc>
      </w:tr>
      <w:tr w:rsidR="006A765C" w:rsidRPr="00AF1E53" w14:paraId="4A3D3C67" w14:textId="77777777" w:rsidTr="00E528CC">
        <w:tc>
          <w:tcPr>
            <w:tcW w:w="6804" w:type="dxa"/>
            <w:shd w:val="clear" w:color="auto" w:fill="auto"/>
          </w:tcPr>
          <w:p w14:paraId="29D5D9C1" w14:textId="77777777" w:rsidR="006A765C" w:rsidRPr="00AF1E53" w:rsidRDefault="006A765C" w:rsidP="00806570"/>
        </w:tc>
        <w:tc>
          <w:tcPr>
            <w:tcW w:w="2268" w:type="dxa"/>
            <w:shd w:val="clear" w:color="auto" w:fill="auto"/>
          </w:tcPr>
          <w:p w14:paraId="440C7136" w14:textId="77777777" w:rsidR="006A765C" w:rsidRDefault="006A765C" w:rsidP="0085227E">
            <w:pPr>
              <w:spacing w:line="360" w:lineRule="auto"/>
              <w:ind w:right="43"/>
            </w:pPr>
            <w:r w:rsidRPr="00AF1E53">
              <w:t>Inese Laura Zemīte</w:t>
            </w:r>
          </w:p>
          <w:p w14:paraId="0C0F83BA" w14:textId="38558642" w:rsidR="00E528CC" w:rsidRPr="00AF1E53" w:rsidRDefault="00E528CC" w:rsidP="0085227E">
            <w:pPr>
              <w:spacing w:line="360" w:lineRule="auto"/>
              <w:ind w:right="43"/>
            </w:pPr>
          </w:p>
        </w:tc>
      </w:tr>
    </w:tbl>
    <w:p w14:paraId="48B53F2C" w14:textId="77777777" w:rsidR="00012C2E" w:rsidRPr="00DC2836" w:rsidRDefault="00012C2E" w:rsidP="00012C2E">
      <w:pPr>
        <w:jc w:val="center"/>
        <w:rPr>
          <w:rFonts w:cs="Times New Roman"/>
          <w:noProof/>
        </w:rPr>
      </w:pPr>
      <w:r w:rsidRPr="00DC2836">
        <w:rPr>
          <w:rFonts w:cs="Times New Roman"/>
          <w:noProof/>
        </w:rPr>
        <w:t>Dokuments parakstīts elektroniski ar drošu elektronisko parakstu un satur laika zīmogu.</w:t>
      </w:r>
    </w:p>
    <w:p w14:paraId="2A432059" w14:textId="77777777" w:rsidR="00833103" w:rsidRPr="00AF1E53" w:rsidRDefault="00833103"/>
    <w:sectPr w:rsidR="00833103" w:rsidRPr="00AF1E53" w:rsidSect="005612A1">
      <w:headerReference w:type="default" r:id="rId7"/>
      <w:pgSz w:w="11906" w:h="16838"/>
      <w:pgMar w:top="1134" w:right="1134" w:bottom="1134" w:left="1701" w:header="158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ACF7" w14:textId="77777777" w:rsidR="0065510A" w:rsidRDefault="0065510A">
      <w:r>
        <w:separator/>
      </w:r>
    </w:p>
  </w:endnote>
  <w:endnote w:type="continuationSeparator" w:id="0">
    <w:p w14:paraId="46AF26F0" w14:textId="77777777" w:rsidR="0065510A" w:rsidRDefault="0065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F6579" w14:textId="77777777" w:rsidR="0065510A" w:rsidRDefault="0065510A">
      <w:r>
        <w:separator/>
      </w:r>
    </w:p>
  </w:footnote>
  <w:footnote w:type="continuationSeparator" w:id="0">
    <w:p w14:paraId="2C73D350" w14:textId="77777777" w:rsidR="0065510A" w:rsidRDefault="00655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1F53" w14:textId="77777777" w:rsidR="005612A1" w:rsidRDefault="005612A1">
    <w:pPr>
      <w:pStyle w:val="Galvene"/>
      <w:jc w:val="center"/>
    </w:pPr>
    <w:r>
      <w:fldChar w:fldCharType="begin"/>
    </w:r>
    <w:r>
      <w:instrText xml:space="preserve"> PAGE   \* MERGEFORMAT </w:instrText>
    </w:r>
    <w:r>
      <w:fldChar w:fldCharType="separate"/>
    </w:r>
    <w:r w:rsidR="0086654E">
      <w:rPr>
        <w:noProof/>
      </w:rPr>
      <w:t>8</w:t>
    </w:r>
    <w:r>
      <w:rPr>
        <w:noProof/>
      </w:rPr>
      <w:fldChar w:fldCharType="end"/>
    </w:r>
  </w:p>
  <w:p w14:paraId="1C588AE5" w14:textId="77777777" w:rsidR="005612A1" w:rsidRDefault="005612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C22F6"/>
    <w:multiLevelType w:val="hybridMultilevel"/>
    <w:tmpl w:val="89ACEEC8"/>
    <w:lvl w:ilvl="0" w:tplc="CB5296EC">
      <w:start w:val="1"/>
      <w:numFmt w:val="decimal"/>
      <w:lvlText w:val="%1)"/>
      <w:lvlJc w:val="left"/>
      <w:pPr>
        <w:ind w:left="1055" w:hanging="360"/>
      </w:pPr>
      <w:rPr>
        <w:rFonts w:hint="default"/>
      </w:rPr>
    </w:lvl>
    <w:lvl w:ilvl="1" w:tplc="04260019" w:tentative="1">
      <w:start w:val="1"/>
      <w:numFmt w:val="lowerLetter"/>
      <w:lvlText w:val="%2."/>
      <w:lvlJc w:val="left"/>
      <w:pPr>
        <w:ind w:left="1775" w:hanging="360"/>
      </w:pPr>
    </w:lvl>
    <w:lvl w:ilvl="2" w:tplc="0426001B" w:tentative="1">
      <w:start w:val="1"/>
      <w:numFmt w:val="lowerRoman"/>
      <w:lvlText w:val="%3."/>
      <w:lvlJc w:val="right"/>
      <w:pPr>
        <w:ind w:left="2495" w:hanging="180"/>
      </w:pPr>
    </w:lvl>
    <w:lvl w:ilvl="3" w:tplc="0426000F" w:tentative="1">
      <w:start w:val="1"/>
      <w:numFmt w:val="decimal"/>
      <w:lvlText w:val="%4."/>
      <w:lvlJc w:val="left"/>
      <w:pPr>
        <w:ind w:left="3215" w:hanging="360"/>
      </w:pPr>
    </w:lvl>
    <w:lvl w:ilvl="4" w:tplc="04260019" w:tentative="1">
      <w:start w:val="1"/>
      <w:numFmt w:val="lowerLetter"/>
      <w:lvlText w:val="%5."/>
      <w:lvlJc w:val="left"/>
      <w:pPr>
        <w:ind w:left="3935" w:hanging="360"/>
      </w:pPr>
    </w:lvl>
    <w:lvl w:ilvl="5" w:tplc="0426001B" w:tentative="1">
      <w:start w:val="1"/>
      <w:numFmt w:val="lowerRoman"/>
      <w:lvlText w:val="%6."/>
      <w:lvlJc w:val="right"/>
      <w:pPr>
        <w:ind w:left="4655" w:hanging="180"/>
      </w:pPr>
    </w:lvl>
    <w:lvl w:ilvl="6" w:tplc="0426000F" w:tentative="1">
      <w:start w:val="1"/>
      <w:numFmt w:val="decimal"/>
      <w:lvlText w:val="%7."/>
      <w:lvlJc w:val="left"/>
      <w:pPr>
        <w:ind w:left="5375" w:hanging="360"/>
      </w:pPr>
    </w:lvl>
    <w:lvl w:ilvl="7" w:tplc="04260019" w:tentative="1">
      <w:start w:val="1"/>
      <w:numFmt w:val="lowerLetter"/>
      <w:lvlText w:val="%8."/>
      <w:lvlJc w:val="left"/>
      <w:pPr>
        <w:ind w:left="6095" w:hanging="360"/>
      </w:pPr>
    </w:lvl>
    <w:lvl w:ilvl="8" w:tplc="0426001B" w:tentative="1">
      <w:start w:val="1"/>
      <w:numFmt w:val="lowerRoman"/>
      <w:lvlText w:val="%9."/>
      <w:lvlJc w:val="right"/>
      <w:pPr>
        <w:ind w:left="68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79"/>
    <w:rsid w:val="00002070"/>
    <w:rsid w:val="0000617A"/>
    <w:rsid w:val="00012C2E"/>
    <w:rsid w:val="0001688E"/>
    <w:rsid w:val="000373E0"/>
    <w:rsid w:val="00071FBD"/>
    <w:rsid w:val="00080866"/>
    <w:rsid w:val="00082737"/>
    <w:rsid w:val="000A0E2A"/>
    <w:rsid w:val="000A60BD"/>
    <w:rsid w:val="000E66C4"/>
    <w:rsid w:val="000F6B62"/>
    <w:rsid w:val="001005D8"/>
    <w:rsid w:val="001104FB"/>
    <w:rsid w:val="00120911"/>
    <w:rsid w:val="00177728"/>
    <w:rsid w:val="00177D36"/>
    <w:rsid w:val="00187979"/>
    <w:rsid w:val="00193481"/>
    <w:rsid w:val="001939F2"/>
    <w:rsid w:val="00195353"/>
    <w:rsid w:val="001A6BBA"/>
    <w:rsid w:val="001B1475"/>
    <w:rsid w:val="001B2362"/>
    <w:rsid w:val="001C46FA"/>
    <w:rsid w:val="001D1674"/>
    <w:rsid w:val="001D3393"/>
    <w:rsid w:val="001D445D"/>
    <w:rsid w:val="001E3969"/>
    <w:rsid w:val="001F4F0A"/>
    <w:rsid w:val="002406E5"/>
    <w:rsid w:val="00261FB9"/>
    <w:rsid w:val="002A0332"/>
    <w:rsid w:val="002A6E55"/>
    <w:rsid w:val="002B4537"/>
    <w:rsid w:val="002E6C10"/>
    <w:rsid w:val="0030129F"/>
    <w:rsid w:val="003121DA"/>
    <w:rsid w:val="003217FE"/>
    <w:rsid w:val="003605EA"/>
    <w:rsid w:val="0036084B"/>
    <w:rsid w:val="003654D2"/>
    <w:rsid w:val="0038132C"/>
    <w:rsid w:val="00397357"/>
    <w:rsid w:val="00397F8A"/>
    <w:rsid w:val="003A0E53"/>
    <w:rsid w:val="003C4948"/>
    <w:rsid w:val="003C64BE"/>
    <w:rsid w:val="00421642"/>
    <w:rsid w:val="0043756B"/>
    <w:rsid w:val="004414A1"/>
    <w:rsid w:val="00443997"/>
    <w:rsid w:val="004B082C"/>
    <w:rsid w:val="004C6A25"/>
    <w:rsid w:val="00501E0C"/>
    <w:rsid w:val="00507007"/>
    <w:rsid w:val="005215C5"/>
    <w:rsid w:val="005357D8"/>
    <w:rsid w:val="005538E1"/>
    <w:rsid w:val="005612A1"/>
    <w:rsid w:val="005861D2"/>
    <w:rsid w:val="005947A7"/>
    <w:rsid w:val="005A7064"/>
    <w:rsid w:val="005E2112"/>
    <w:rsid w:val="00600DDE"/>
    <w:rsid w:val="00620FFE"/>
    <w:rsid w:val="00623FE9"/>
    <w:rsid w:val="00626BC8"/>
    <w:rsid w:val="006420E5"/>
    <w:rsid w:val="0064465C"/>
    <w:rsid w:val="0065510A"/>
    <w:rsid w:val="006A2E46"/>
    <w:rsid w:val="006A765C"/>
    <w:rsid w:val="006C1F71"/>
    <w:rsid w:val="006E6636"/>
    <w:rsid w:val="006E7155"/>
    <w:rsid w:val="006F25C0"/>
    <w:rsid w:val="006F2E0D"/>
    <w:rsid w:val="006F3108"/>
    <w:rsid w:val="0074227A"/>
    <w:rsid w:val="00742E84"/>
    <w:rsid w:val="00767BB4"/>
    <w:rsid w:val="00774B7D"/>
    <w:rsid w:val="007B0413"/>
    <w:rsid w:val="007B2304"/>
    <w:rsid w:val="007B474F"/>
    <w:rsid w:val="007C1F17"/>
    <w:rsid w:val="008024E9"/>
    <w:rsid w:val="00806570"/>
    <w:rsid w:val="008078AA"/>
    <w:rsid w:val="008108AB"/>
    <w:rsid w:val="00813A9A"/>
    <w:rsid w:val="00833103"/>
    <w:rsid w:val="00837000"/>
    <w:rsid w:val="0085227E"/>
    <w:rsid w:val="008527DF"/>
    <w:rsid w:val="00857A6E"/>
    <w:rsid w:val="00862138"/>
    <w:rsid w:val="00864D8A"/>
    <w:rsid w:val="008655AC"/>
    <w:rsid w:val="0086654E"/>
    <w:rsid w:val="00883074"/>
    <w:rsid w:val="0088444F"/>
    <w:rsid w:val="0088502C"/>
    <w:rsid w:val="008C6582"/>
    <w:rsid w:val="008E43D6"/>
    <w:rsid w:val="008F6BB4"/>
    <w:rsid w:val="00905273"/>
    <w:rsid w:val="00912EC4"/>
    <w:rsid w:val="00915E86"/>
    <w:rsid w:val="0092653C"/>
    <w:rsid w:val="009523D6"/>
    <w:rsid w:val="00981861"/>
    <w:rsid w:val="00987A61"/>
    <w:rsid w:val="009A3044"/>
    <w:rsid w:val="009B0FAA"/>
    <w:rsid w:val="009C6C32"/>
    <w:rsid w:val="009C6F72"/>
    <w:rsid w:val="009D50D1"/>
    <w:rsid w:val="009D6685"/>
    <w:rsid w:val="009F483B"/>
    <w:rsid w:val="00A07616"/>
    <w:rsid w:val="00A27A3D"/>
    <w:rsid w:val="00A339D8"/>
    <w:rsid w:val="00A4772C"/>
    <w:rsid w:val="00AA11F3"/>
    <w:rsid w:val="00AB3922"/>
    <w:rsid w:val="00AC4396"/>
    <w:rsid w:val="00AC56DD"/>
    <w:rsid w:val="00AD2212"/>
    <w:rsid w:val="00AD44AB"/>
    <w:rsid w:val="00AD4930"/>
    <w:rsid w:val="00AE3315"/>
    <w:rsid w:val="00AE68FC"/>
    <w:rsid w:val="00AF1E53"/>
    <w:rsid w:val="00AF37C5"/>
    <w:rsid w:val="00AF5D5C"/>
    <w:rsid w:val="00AF6AA4"/>
    <w:rsid w:val="00B05E2B"/>
    <w:rsid w:val="00B164F9"/>
    <w:rsid w:val="00B3198C"/>
    <w:rsid w:val="00B6554E"/>
    <w:rsid w:val="00B87B8A"/>
    <w:rsid w:val="00B87D0F"/>
    <w:rsid w:val="00BB1A85"/>
    <w:rsid w:val="00BC3BE2"/>
    <w:rsid w:val="00BC73D5"/>
    <w:rsid w:val="00BD37E4"/>
    <w:rsid w:val="00BE0B6D"/>
    <w:rsid w:val="00BF53F3"/>
    <w:rsid w:val="00C154DB"/>
    <w:rsid w:val="00C20EC0"/>
    <w:rsid w:val="00C33182"/>
    <w:rsid w:val="00C47D04"/>
    <w:rsid w:val="00C52C1A"/>
    <w:rsid w:val="00C70058"/>
    <w:rsid w:val="00C73399"/>
    <w:rsid w:val="00C73FF8"/>
    <w:rsid w:val="00C87690"/>
    <w:rsid w:val="00CA32D8"/>
    <w:rsid w:val="00CA5D5A"/>
    <w:rsid w:val="00CC237C"/>
    <w:rsid w:val="00CC62D6"/>
    <w:rsid w:val="00CE199B"/>
    <w:rsid w:val="00CE3518"/>
    <w:rsid w:val="00CF757E"/>
    <w:rsid w:val="00D07E5F"/>
    <w:rsid w:val="00D36451"/>
    <w:rsid w:val="00D415EB"/>
    <w:rsid w:val="00D446B8"/>
    <w:rsid w:val="00D56AA4"/>
    <w:rsid w:val="00D61E50"/>
    <w:rsid w:val="00D7600A"/>
    <w:rsid w:val="00D76DFD"/>
    <w:rsid w:val="00D81B78"/>
    <w:rsid w:val="00D85766"/>
    <w:rsid w:val="00D85C86"/>
    <w:rsid w:val="00D87B1A"/>
    <w:rsid w:val="00DC10B9"/>
    <w:rsid w:val="00DC2F64"/>
    <w:rsid w:val="00DC7C1E"/>
    <w:rsid w:val="00DF56D4"/>
    <w:rsid w:val="00E007F1"/>
    <w:rsid w:val="00E04CDD"/>
    <w:rsid w:val="00E04FA8"/>
    <w:rsid w:val="00E31E32"/>
    <w:rsid w:val="00E34898"/>
    <w:rsid w:val="00E528CC"/>
    <w:rsid w:val="00E5452A"/>
    <w:rsid w:val="00E65DC4"/>
    <w:rsid w:val="00E71431"/>
    <w:rsid w:val="00E75491"/>
    <w:rsid w:val="00E834C8"/>
    <w:rsid w:val="00E927C5"/>
    <w:rsid w:val="00EB3119"/>
    <w:rsid w:val="00EB6A79"/>
    <w:rsid w:val="00EC692F"/>
    <w:rsid w:val="00EE523E"/>
    <w:rsid w:val="00EF0C1C"/>
    <w:rsid w:val="00F029F9"/>
    <w:rsid w:val="00F10A72"/>
    <w:rsid w:val="00F61E0D"/>
    <w:rsid w:val="00F7322A"/>
    <w:rsid w:val="00F91E21"/>
    <w:rsid w:val="00F930B5"/>
    <w:rsid w:val="00F95DB4"/>
    <w:rsid w:val="00FA5ECA"/>
    <w:rsid w:val="00FA7A9C"/>
    <w:rsid w:val="00FA7E0D"/>
    <w:rsid w:val="00FC20C7"/>
    <w:rsid w:val="00FF05BB"/>
    <w:rsid w:val="00FF085C"/>
    <w:rsid w:val="00FF55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DBC"/>
  <w15:docId w15:val="{EBB8F0FD-CA2A-4D5F-9345-53DEF087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3922"/>
    <w:pPr>
      <w:widowControl w:val="0"/>
      <w:suppressAutoHyphens/>
    </w:pPr>
    <w:rPr>
      <w:rFonts w:ascii="Times New Roman" w:eastAsia="SimSun" w:hAnsi="Times New Roman" w:cs="Mangal"/>
      <w:kern w:val="1"/>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semiHidden/>
    <w:unhideWhenUsed/>
    <w:rsid w:val="00187979"/>
    <w:pPr>
      <w:spacing w:after="120"/>
    </w:pPr>
    <w:rPr>
      <w:szCs w:val="21"/>
    </w:rPr>
  </w:style>
  <w:style w:type="character" w:customStyle="1" w:styleId="PamattekstsRakstz">
    <w:name w:val="Pamatteksts Rakstz."/>
    <w:link w:val="Pamatteksts"/>
    <w:uiPriority w:val="99"/>
    <w:semiHidden/>
    <w:rsid w:val="00187979"/>
    <w:rPr>
      <w:rFonts w:ascii="Times New Roman" w:eastAsia="SimSun" w:hAnsi="Times New Roman" w:cs="Mangal"/>
      <w:kern w:val="1"/>
      <w:sz w:val="24"/>
      <w:szCs w:val="21"/>
      <w:lang w:eastAsia="hi-IN" w:bidi="hi-IN"/>
    </w:rPr>
  </w:style>
  <w:style w:type="paragraph" w:styleId="Pamattekstapirmatkpe">
    <w:name w:val="Body Text First Indent"/>
    <w:basedOn w:val="Pamatteksts"/>
    <w:link w:val="PamattekstapirmatkpeRakstz"/>
    <w:unhideWhenUsed/>
    <w:rsid w:val="00187979"/>
    <w:pPr>
      <w:widowControl/>
      <w:suppressAutoHyphens w:val="0"/>
      <w:spacing w:line="276" w:lineRule="auto"/>
      <w:ind w:firstLine="210"/>
    </w:pPr>
    <w:rPr>
      <w:rFonts w:ascii="Calibri" w:eastAsia="Calibri" w:hAnsi="Calibri" w:cs="Times New Roman"/>
      <w:kern w:val="0"/>
      <w:sz w:val="22"/>
      <w:szCs w:val="22"/>
      <w:lang w:val="x-none" w:eastAsia="en-US" w:bidi="ar-SA"/>
    </w:rPr>
  </w:style>
  <w:style w:type="character" w:customStyle="1" w:styleId="PamattekstapirmatkpeRakstz">
    <w:name w:val="Pamatteksta pirmā atkāpe Rakstz."/>
    <w:link w:val="Pamattekstapirmatkpe"/>
    <w:rsid w:val="00187979"/>
    <w:rPr>
      <w:rFonts w:ascii="Calibri" w:eastAsia="Calibri" w:hAnsi="Calibri" w:cs="Times New Roman"/>
      <w:kern w:val="1"/>
      <w:sz w:val="24"/>
      <w:szCs w:val="21"/>
      <w:lang w:val="x-none" w:eastAsia="hi-IN" w:bidi="hi-IN"/>
    </w:rPr>
  </w:style>
  <w:style w:type="paragraph" w:styleId="Sarakstaaizzme2">
    <w:name w:val="List Bullet 2"/>
    <w:basedOn w:val="Parasts"/>
    <w:autoRedefine/>
    <w:rsid w:val="00E528CC"/>
    <w:pPr>
      <w:widowControl/>
      <w:suppressAutoHyphens w:val="0"/>
      <w:spacing w:line="360" w:lineRule="auto"/>
      <w:jc w:val="both"/>
    </w:pPr>
    <w:rPr>
      <w:rFonts w:eastAsia="Times New Roman" w:cs="Times New Roman"/>
      <w:kern w:val="0"/>
      <w:lang w:eastAsia="lv-LV" w:bidi="ar-SA"/>
    </w:rPr>
  </w:style>
  <w:style w:type="paragraph" w:styleId="Paraststmeklis">
    <w:name w:val="Normal (Web)"/>
    <w:basedOn w:val="Parasts"/>
    <w:uiPriority w:val="99"/>
    <w:unhideWhenUsed/>
    <w:rsid w:val="00187979"/>
    <w:pPr>
      <w:widowControl/>
      <w:suppressAutoHyphens w:val="0"/>
    </w:pPr>
    <w:rPr>
      <w:rFonts w:eastAsia="Calibri" w:cs="Times New Roman"/>
      <w:kern w:val="0"/>
      <w:lang w:eastAsia="lv-LV" w:bidi="ar-SA"/>
    </w:rPr>
  </w:style>
  <w:style w:type="paragraph" w:styleId="Kjene">
    <w:name w:val="footer"/>
    <w:basedOn w:val="Parasts"/>
    <w:link w:val="KjeneRakstz"/>
    <w:uiPriority w:val="99"/>
    <w:unhideWhenUsed/>
    <w:rsid w:val="00187979"/>
    <w:pPr>
      <w:tabs>
        <w:tab w:val="center" w:pos="4153"/>
        <w:tab w:val="right" w:pos="8306"/>
      </w:tabs>
    </w:pPr>
    <w:rPr>
      <w:szCs w:val="21"/>
    </w:rPr>
  </w:style>
  <w:style w:type="character" w:customStyle="1" w:styleId="KjeneRakstz">
    <w:name w:val="Kājene Rakstz."/>
    <w:link w:val="Kjene"/>
    <w:uiPriority w:val="99"/>
    <w:rsid w:val="00187979"/>
    <w:rPr>
      <w:rFonts w:ascii="Times New Roman" w:eastAsia="SimSun" w:hAnsi="Times New Roman" w:cs="Mangal"/>
      <w:kern w:val="1"/>
      <w:sz w:val="24"/>
      <w:szCs w:val="21"/>
      <w:lang w:eastAsia="hi-IN" w:bidi="hi-IN"/>
    </w:rPr>
  </w:style>
  <w:style w:type="paragraph" w:customStyle="1" w:styleId="Standard">
    <w:name w:val="Standard"/>
    <w:rsid w:val="006F25C0"/>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styleId="Sarakstarindkopa">
    <w:name w:val="List Paragraph"/>
    <w:basedOn w:val="Parasts"/>
    <w:uiPriority w:val="34"/>
    <w:qFormat/>
    <w:rsid w:val="00C47D04"/>
    <w:pPr>
      <w:ind w:left="720"/>
      <w:contextualSpacing/>
    </w:pPr>
    <w:rPr>
      <w:szCs w:val="21"/>
    </w:rPr>
  </w:style>
  <w:style w:type="paragraph" w:styleId="Galvene">
    <w:name w:val="header"/>
    <w:basedOn w:val="Parasts"/>
    <w:link w:val="GalveneRakstz"/>
    <w:uiPriority w:val="99"/>
    <w:unhideWhenUsed/>
    <w:rsid w:val="00CC62D6"/>
    <w:pPr>
      <w:tabs>
        <w:tab w:val="center" w:pos="4153"/>
        <w:tab w:val="right" w:pos="8306"/>
      </w:tabs>
    </w:pPr>
    <w:rPr>
      <w:szCs w:val="21"/>
    </w:rPr>
  </w:style>
  <w:style w:type="character" w:customStyle="1" w:styleId="GalveneRakstz">
    <w:name w:val="Galvene Rakstz."/>
    <w:link w:val="Galvene"/>
    <w:uiPriority w:val="99"/>
    <w:rsid w:val="00CC62D6"/>
    <w:rPr>
      <w:rFonts w:ascii="Times New Roman" w:eastAsia="SimSun" w:hAnsi="Times New Roman" w:cs="Mangal"/>
      <w:kern w:val="1"/>
      <w:sz w:val="24"/>
      <w:szCs w:val="21"/>
      <w:lang w:eastAsia="hi-IN" w:bidi="hi-IN"/>
    </w:rPr>
  </w:style>
  <w:style w:type="table" w:styleId="Reatabula">
    <w:name w:val="Table Grid"/>
    <w:basedOn w:val="Parastatabula"/>
    <w:uiPriority w:val="39"/>
    <w:rsid w:val="006A765C"/>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05E2B"/>
    <w:rPr>
      <w:sz w:val="16"/>
      <w:szCs w:val="16"/>
    </w:rPr>
  </w:style>
  <w:style w:type="paragraph" w:styleId="Komentrateksts">
    <w:name w:val="annotation text"/>
    <w:basedOn w:val="Parasts"/>
    <w:link w:val="KomentratekstsRakstz"/>
    <w:uiPriority w:val="99"/>
    <w:semiHidden/>
    <w:unhideWhenUsed/>
    <w:rsid w:val="00B05E2B"/>
    <w:rPr>
      <w:sz w:val="20"/>
      <w:szCs w:val="18"/>
    </w:rPr>
  </w:style>
  <w:style w:type="character" w:customStyle="1" w:styleId="KomentratekstsRakstz">
    <w:name w:val="Komentāra teksts Rakstz."/>
    <w:basedOn w:val="Noklusjumarindkopasfonts"/>
    <w:link w:val="Komentrateksts"/>
    <w:uiPriority w:val="99"/>
    <w:semiHidden/>
    <w:rsid w:val="00B05E2B"/>
    <w:rPr>
      <w:rFonts w:ascii="Times New Roman" w:eastAsia="SimSun" w:hAnsi="Times New Roman" w:cs="Mangal"/>
      <w:kern w:val="1"/>
      <w:szCs w:val="18"/>
      <w:lang w:eastAsia="hi-IN" w:bidi="hi-IN"/>
    </w:rPr>
  </w:style>
  <w:style w:type="paragraph" w:styleId="Komentratma">
    <w:name w:val="annotation subject"/>
    <w:basedOn w:val="Komentrateksts"/>
    <w:next w:val="Komentrateksts"/>
    <w:link w:val="KomentratmaRakstz"/>
    <w:uiPriority w:val="99"/>
    <w:semiHidden/>
    <w:unhideWhenUsed/>
    <w:rsid w:val="00B05E2B"/>
    <w:rPr>
      <w:b/>
      <w:bCs/>
    </w:rPr>
  </w:style>
  <w:style w:type="character" w:customStyle="1" w:styleId="KomentratmaRakstz">
    <w:name w:val="Komentāra tēma Rakstz."/>
    <w:basedOn w:val="KomentratekstsRakstz"/>
    <w:link w:val="Komentratma"/>
    <w:uiPriority w:val="99"/>
    <w:semiHidden/>
    <w:rsid w:val="00B05E2B"/>
    <w:rPr>
      <w:rFonts w:ascii="Times New Roman" w:eastAsia="SimSun" w:hAnsi="Times New Roman" w:cs="Mangal"/>
      <w:b/>
      <w:bCs/>
      <w:kern w:val="1"/>
      <w:szCs w:val="18"/>
      <w:lang w:eastAsia="hi-IN" w:bidi="hi-IN"/>
    </w:rPr>
  </w:style>
  <w:style w:type="paragraph" w:styleId="Balonteksts">
    <w:name w:val="Balloon Text"/>
    <w:basedOn w:val="Parasts"/>
    <w:link w:val="BalontekstsRakstz"/>
    <w:uiPriority w:val="99"/>
    <w:semiHidden/>
    <w:unhideWhenUsed/>
    <w:rsid w:val="009C6C32"/>
    <w:rPr>
      <w:rFonts w:ascii="Segoe UI" w:hAnsi="Segoe UI"/>
      <w:sz w:val="18"/>
      <w:szCs w:val="16"/>
    </w:rPr>
  </w:style>
  <w:style w:type="character" w:customStyle="1" w:styleId="BalontekstsRakstz">
    <w:name w:val="Balonteksts Rakstz."/>
    <w:basedOn w:val="Noklusjumarindkopasfonts"/>
    <w:link w:val="Balonteksts"/>
    <w:uiPriority w:val="99"/>
    <w:semiHidden/>
    <w:rsid w:val="009C6C32"/>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61995">
      <w:bodyDiv w:val="1"/>
      <w:marLeft w:val="0"/>
      <w:marRight w:val="0"/>
      <w:marTop w:val="0"/>
      <w:marBottom w:val="0"/>
      <w:divBdr>
        <w:top w:val="none" w:sz="0" w:space="0" w:color="auto"/>
        <w:left w:val="none" w:sz="0" w:space="0" w:color="auto"/>
        <w:bottom w:val="none" w:sz="0" w:space="0" w:color="auto"/>
        <w:right w:val="none" w:sz="0" w:space="0" w:color="auto"/>
      </w:divBdr>
    </w:div>
    <w:div w:id="391466401">
      <w:bodyDiv w:val="1"/>
      <w:marLeft w:val="0"/>
      <w:marRight w:val="0"/>
      <w:marTop w:val="0"/>
      <w:marBottom w:val="0"/>
      <w:divBdr>
        <w:top w:val="none" w:sz="0" w:space="0" w:color="auto"/>
        <w:left w:val="none" w:sz="0" w:space="0" w:color="auto"/>
        <w:bottom w:val="none" w:sz="0" w:space="0" w:color="auto"/>
        <w:right w:val="none" w:sz="0" w:space="0" w:color="auto"/>
      </w:divBdr>
    </w:div>
    <w:div w:id="536088565">
      <w:bodyDiv w:val="1"/>
      <w:marLeft w:val="0"/>
      <w:marRight w:val="0"/>
      <w:marTop w:val="0"/>
      <w:marBottom w:val="0"/>
      <w:divBdr>
        <w:top w:val="none" w:sz="0" w:space="0" w:color="auto"/>
        <w:left w:val="none" w:sz="0" w:space="0" w:color="auto"/>
        <w:bottom w:val="none" w:sz="0" w:space="0" w:color="auto"/>
        <w:right w:val="none" w:sz="0" w:space="0" w:color="auto"/>
      </w:divBdr>
    </w:div>
    <w:div w:id="9235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14449</Words>
  <Characters>8237</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TS</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TĒK</dc:creator>
  <cp:lastModifiedBy>Liene Jākobsone</cp:lastModifiedBy>
  <cp:revision>8</cp:revision>
  <dcterms:created xsi:type="dcterms:W3CDTF">2021-12-02T10:01:00Z</dcterms:created>
  <dcterms:modified xsi:type="dcterms:W3CDTF">2021-12-14T11:08:00Z</dcterms:modified>
</cp:coreProperties>
</file>