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0D93" w14:textId="77777777" w:rsidR="00F27E84" w:rsidRDefault="00F27E84" w:rsidP="000F23EA">
      <w:pPr>
        <w:spacing w:after="0"/>
        <w:jc w:val="center"/>
        <w:rPr>
          <w:rFonts w:ascii="Times New Roman" w:hAnsi="Times New Roman" w:cs="Times New Roman"/>
          <w:sz w:val="24"/>
          <w:szCs w:val="24"/>
        </w:rPr>
      </w:pPr>
    </w:p>
    <w:p w14:paraId="3EAD24C1" w14:textId="2FB6167A" w:rsidR="00585E43" w:rsidRDefault="007A382C" w:rsidP="000F23EA">
      <w:pPr>
        <w:spacing w:after="0"/>
        <w:jc w:val="center"/>
        <w:rPr>
          <w:rFonts w:ascii="Times New Roman" w:hAnsi="Times New Roman" w:cs="Times New Roman"/>
          <w:sz w:val="24"/>
          <w:szCs w:val="24"/>
        </w:rPr>
      </w:pPr>
      <w:r w:rsidRPr="007A382C">
        <w:rPr>
          <w:rFonts w:ascii="Times New Roman" w:hAnsi="Times New Roman" w:cs="Times New Roman"/>
          <w:sz w:val="24"/>
          <w:szCs w:val="24"/>
        </w:rPr>
        <w:t>Tiesnešu ētikas komisija</w:t>
      </w:r>
    </w:p>
    <w:p w14:paraId="1367D456" w14:textId="77777777" w:rsidR="007A382C" w:rsidRDefault="007A382C" w:rsidP="000F23EA">
      <w:pPr>
        <w:spacing w:after="0"/>
        <w:jc w:val="center"/>
        <w:rPr>
          <w:rFonts w:ascii="Times New Roman" w:hAnsi="Times New Roman" w:cs="Times New Roman"/>
          <w:sz w:val="28"/>
          <w:szCs w:val="28"/>
        </w:rPr>
      </w:pPr>
      <w:r>
        <w:rPr>
          <w:rFonts w:ascii="Times New Roman" w:hAnsi="Times New Roman" w:cs="Times New Roman"/>
          <w:b/>
          <w:sz w:val="28"/>
          <w:szCs w:val="28"/>
        </w:rPr>
        <w:t>A T Z I N U M S</w:t>
      </w:r>
    </w:p>
    <w:p w14:paraId="1149A104" w14:textId="77777777" w:rsidR="007A382C" w:rsidRDefault="007A382C" w:rsidP="000F23EA">
      <w:pPr>
        <w:spacing w:after="0"/>
        <w:rPr>
          <w:rFonts w:ascii="Times New Roman" w:hAnsi="Times New Roman" w:cs="Times New Roman"/>
          <w:sz w:val="28"/>
          <w:szCs w:val="28"/>
        </w:rPr>
      </w:pPr>
    </w:p>
    <w:p w14:paraId="50B2CBA7" w14:textId="77777777" w:rsidR="007A382C" w:rsidRDefault="007A382C" w:rsidP="000F23EA">
      <w:pPr>
        <w:spacing w:after="0"/>
        <w:rPr>
          <w:rFonts w:ascii="Times New Roman" w:hAnsi="Times New Roman" w:cs="Times New Roman"/>
          <w:sz w:val="24"/>
          <w:szCs w:val="24"/>
        </w:rPr>
      </w:pPr>
      <w:r w:rsidRPr="007A382C">
        <w:rPr>
          <w:rFonts w:ascii="Times New Roman" w:hAnsi="Times New Roman" w:cs="Times New Roman"/>
          <w:sz w:val="24"/>
          <w:szCs w:val="24"/>
        </w:rPr>
        <w:t>Rīgā</w:t>
      </w:r>
      <w:r>
        <w:rPr>
          <w:rFonts w:ascii="Times New Roman" w:hAnsi="Times New Roman" w:cs="Times New Roman"/>
          <w:sz w:val="24"/>
          <w:szCs w:val="24"/>
        </w:rPr>
        <w:t xml:space="preserve">                                                                                        </w:t>
      </w:r>
      <w:r w:rsidR="009E10A8">
        <w:rPr>
          <w:rFonts w:ascii="Times New Roman" w:hAnsi="Times New Roman" w:cs="Times New Roman"/>
          <w:sz w:val="24"/>
          <w:szCs w:val="24"/>
        </w:rPr>
        <w:t xml:space="preserve">                    </w:t>
      </w:r>
      <w:r w:rsidR="00D668D0">
        <w:rPr>
          <w:rFonts w:ascii="Times New Roman" w:hAnsi="Times New Roman" w:cs="Times New Roman"/>
          <w:sz w:val="24"/>
          <w:szCs w:val="24"/>
        </w:rPr>
        <w:t xml:space="preserve">  </w:t>
      </w:r>
      <w:r w:rsidR="009E10A8">
        <w:rPr>
          <w:rFonts w:ascii="Times New Roman" w:hAnsi="Times New Roman" w:cs="Times New Roman"/>
          <w:sz w:val="24"/>
          <w:szCs w:val="24"/>
        </w:rPr>
        <w:t xml:space="preserve">2021.gada </w:t>
      </w:r>
      <w:r w:rsidR="009E10A8" w:rsidRPr="00573BC2">
        <w:rPr>
          <w:rFonts w:ascii="Times New Roman" w:hAnsi="Times New Roman" w:cs="Times New Roman"/>
          <w:sz w:val="24"/>
          <w:szCs w:val="24"/>
        </w:rPr>
        <w:t>14</w:t>
      </w:r>
      <w:r w:rsidR="009E10A8">
        <w:rPr>
          <w:rFonts w:ascii="Times New Roman" w:hAnsi="Times New Roman" w:cs="Times New Roman"/>
          <w:sz w:val="24"/>
          <w:szCs w:val="24"/>
        </w:rPr>
        <w:t>.maijā</w:t>
      </w:r>
    </w:p>
    <w:p w14:paraId="763B9E28" w14:textId="77777777" w:rsidR="004D6235" w:rsidRDefault="002141C1" w:rsidP="000F23EA">
      <w:pPr>
        <w:spacing w:after="0"/>
        <w:jc w:val="both"/>
        <w:rPr>
          <w:rFonts w:ascii="Times New Roman" w:hAnsi="Times New Roman" w:cs="Times New Roman"/>
          <w:sz w:val="24"/>
          <w:szCs w:val="24"/>
        </w:rPr>
      </w:pPr>
      <w:r>
        <w:rPr>
          <w:rFonts w:ascii="Times New Roman" w:hAnsi="Times New Roman" w:cs="Times New Roman"/>
          <w:sz w:val="24"/>
          <w:szCs w:val="24"/>
        </w:rPr>
        <w:tab/>
      </w:r>
    </w:p>
    <w:p w14:paraId="682F5239" w14:textId="034F7A2A" w:rsidR="009E10A8" w:rsidRDefault="002141C1" w:rsidP="004D6235">
      <w:pPr>
        <w:spacing w:after="0"/>
        <w:ind w:firstLine="720"/>
        <w:jc w:val="both"/>
        <w:rPr>
          <w:rFonts w:ascii="Times New Roman" w:eastAsia="Arial Unicode MS" w:hAnsi="Times New Roman" w:cs="Times New Roman"/>
          <w:kern w:val="2"/>
          <w:sz w:val="24"/>
          <w:szCs w:val="24"/>
        </w:rPr>
      </w:pPr>
      <w:r>
        <w:rPr>
          <w:rFonts w:ascii="Times New Roman" w:hAnsi="Times New Roman" w:cs="Times New Roman"/>
          <w:sz w:val="24"/>
          <w:szCs w:val="24"/>
        </w:rPr>
        <w:t xml:space="preserve">[1] </w:t>
      </w:r>
      <w:r w:rsidR="009D0AF1">
        <w:rPr>
          <w:rFonts w:ascii="Times New Roman" w:hAnsi="Times New Roman" w:cs="Times New Roman"/>
          <w:sz w:val="24"/>
          <w:szCs w:val="24"/>
        </w:rPr>
        <w:t>Tiesnešu ētikas komisij</w:t>
      </w:r>
      <w:r w:rsidR="009E10A8">
        <w:rPr>
          <w:rFonts w:ascii="Times New Roman" w:hAnsi="Times New Roman" w:cs="Times New Roman"/>
          <w:sz w:val="24"/>
          <w:szCs w:val="24"/>
        </w:rPr>
        <w:t>a saņēmusi Tieslietu ministra</w:t>
      </w:r>
      <w:r w:rsidR="009D0AF1">
        <w:rPr>
          <w:rFonts w:ascii="Times New Roman" w:hAnsi="Times New Roman" w:cs="Times New Roman"/>
          <w:sz w:val="24"/>
          <w:szCs w:val="24"/>
        </w:rPr>
        <w:t xml:space="preserve"> </w:t>
      </w:r>
      <w:r w:rsidR="009E10A8">
        <w:rPr>
          <w:rFonts w:ascii="Times New Roman" w:hAnsi="Times New Roman" w:cs="Times New Roman"/>
          <w:sz w:val="24"/>
          <w:szCs w:val="24"/>
        </w:rPr>
        <w:t xml:space="preserve">iesniegumu </w:t>
      </w:r>
      <w:r w:rsidR="00033AD6">
        <w:rPr>
          <w:rFonts w:ascii="Times New Roman" w:hAnsi="Times New Roman" w:cs="Times New Roman"/>
          <w:sz w:val="24"/>
          <w:szCs w:val="24"/>
        </w:rPr>
        <w:t xml:space="preserve">ar lūgumu </w:t>
      </w:r>
      <w:r w:rsidR="009D0AF1">
        <w:rPr>
          <w:rFonts w:ascii="Times New Roman" w:hAnsi="Times New Roman" w:cs="Times New Roman"/>
          <w:sz w:val="24"/>
          <w:szCs w:val="24"/>
        </w:rPr>
        <w:t xml:space="preserve">izvērtēt </w:t>
      </w:r>
      <w:r w:rsidR="009E10A8">
        <w:rPr>
          <w:rFonts w:ascii="Times New Roman" w:hAnsi="Times New Roman" w:cs="Times New Roman"/>
          <w:sz w:val="24"/>
          <w:szCs w:val="24"/>
        </w:rPr>
        <w:t>tiesneses</w:t>
      </w:r>
      <w:r w:rsidR="004D1D6D">
        <w:rPr>
          <w:rFonts w:ascii="Times New Roman" w:hAnsi="Times New Roman" w:cs="Times New Roman"/>
          <w:sz w:val="24"/>
          <w:szCs w:val="24"/>
        </w:rPr>
        <w:t xml:space="preserve"> </w:t>
      </w:r>
      <w:r w:rsidR="009E10A8" w:rsidRPr="009E10A8">
        <w:rPr>
          <w:rFonts w:ascii="Times New Roman" w:eastAsia="Arial Unicode MS" w:hAnsi="Times New Roman" w:cs="Times New Roman"/>
          <w:kern w:val="2"/>
          <w:sz w:val="24"/>
          <w:szCs w:val="24"/>
        </w:rPr>
        <w:t>komen</w:t>
      </w:r>
      <w:r w:rsidR="009E10A8">
        <w:rPr>
          <w:rFonts w:ascii="Times New Roman" w:eastAsia="Arial Unicode MS" w:hAnsi="Times New Roman" w:cs="Times New Roman"/>
          <w:kern w:val="2"/>
          <w:sz w:val="24"/>
          <w:szCs w:val="24"/>
        </w:rPr>
        <w:t xml:space="preserve">tārus sociālajā tīklā </w:t>
      </w:r>
      <w:proofErr w:type="spellStart"/>
      <w:r w:rsidR="009E10A8" w:rsidRPr="009E10A8">
        <w:rPr>
          <w:rFonts w:ascii="Times New Roman" w:eastAsia="Arial Unicode MS" w:hAnsi="Times New Roman" w:cs="Times New Roman"/>
          <w:i/>
          <w:kern w:val="2"/>
          <w:sz w:val="24"/>
          <w:szCs w:val="24"/>
        </w:rPr>
        <w:t>Facebook</w:t>
      </w:r>
      <w:proofErr w:type="spellEnd"/>
      <w:r w:rsidR="009E10A8" w:rsidRPr="009E10A8">
        <w:rPr>
          <w:rFonts w:ascii="Times New Roman" w:eastAsia="Arial Unicode MS" w:hAnsi="Times New Roman" w:cs="Times New Roman"/>
          <w:kern w:val="2"/>
          <w:sz w:val="24"/>
          <w:szCs w:val="24"/>
        </w:rPr>
        <w:t xml:space="preserve"> un nepieciešamības gadījumā</w:t>
      </w:r>
      <w:r w:rsidR="009E10A8">
        <w:rPr>
          <w:rFonts w:ascii="Times New Roman" w:eastAsia="Arial Unicode MS" w:hAnsi="Times New Roman" w:cs="Times New Roman"/>
          <w:kern w:val="2"/>
          <w:sz w:val="24"/>
          <w:szCs w:val="24"/>
        </w:rPr>
        <w:t xml:space="preserve"> lemt jautājumu par disciplinārlietas ierosināšanu. Iesniegumam pievienoti komentāri </w:t>
      </w:r>
      <w:proofErr w:type="spellStart"/>
      <w:r w:rsidR="009E10A8" w:rsidRPr="009E10A8">
        <w:rPr>
          <w:rFonts w:ascii="Times New Roman" w:eastAsia="Arial Unicode MS" w:hAnsi="Times New Roman" w:cs="Times New Roman"/>
          <w:i/>
          <w:kern w:val="2"/>
          <w:sz w:val="24"/>
          <w:szCs w:val="24"/>
        </w:rPr>
        <w:t>Facebook</w:t>
      </w:r>
      <w:proofErr w:type="spellEnd"/>
      <w:r w:rsidR="009E10A8">
        <w:rPr>
          <w:rFonts w:ascii="Times New Roman" w:eastAsia="Arial Unicode MS" w:hAnsi="Times New Roman" w:cs="Times New Roman"/>
          <w:kern w:val="2"/>
          <w:sz w:val="24"/>
          <w:szCs w:val="24"/>
        </w:rPr>
        <w:t xml:space="preserve">. </w:t>
      </w:r>
    </w:p>
    <w:p w14:paraId="4A5C7443" w14:textId="77777777" w:rsidR="008D7D2B" w:rsidRDefault="008D7D2B" w:rsidP="004D6235">
      <w:pPr>
        <w:spacing w:after="0"/>
        <w:ind w:firstLine="720"/>
        <w:jc w:val="both"/>
        <w:rPr>
          <w:rFonts w:ascii="Times New Roman" w:hAnsi="Times New Roman" w:cs="Times New Roman"/>
          <w:sz w:val="24"/>
          <w:szCs w:val="24"/>
        </w:rPr>
      </w:pPr>
    </w:p>
    <w:p w14:paraId="7A7251E9" w14:textId="538D0131" w:rsidR="0082566D" w:rsidRDefault="002141C1" w:rsidP="000F23EA">
      <w:pPr>
        <w:spacing w:after="0"/>
        <w:ind w:firstLine="720"/>
        <w:jc w:val="both"/>
        <w:rPr>
          <w:rFonts w:ascii="Times New Roman" w:eastAsia="Arial Unicode MS" w:hAnsi="Times New Roman" w:cs="Times New Roman"/>
          <w:kern w:val="2"/>
          <w:sz w:val="24"/>
          <w:szCs w:val="24"/>
        </w:rPr>
      </w:pPr>
      <w:r>
        <w:rPr>
          <w:rFonts w:ascii="Times New Roman" w:hAnsi="Times New Roman" w:cs="Times New Roman"/>
          <w:sz w:val="24"/>
          <w:szCs w:val="24"/>
        </w:rPr>
        <w:t xml:space="preserve">[2] </w:t>
      </w:r>
      <w:r w:rsidR="009E10A8">
        <w:rPr>
          <w:rFonts w:ascii="Times New Roman" w:hAnsi="Times New Roman" w:cs="Times New Roman"/>
          <w:sz w:val="24"/>
          <w:szCs w:val="24"/>
        </w:rPr>
        <w:t xml:space="preserve">Iesniegumā norādīts, ka tiesnese </w:t>
      </w:r>
      <w:r w:rsidR="00B40289">
        <w:rPr>
          <w:rFonts w:ascii="Times New Roman" w:hAnsi="Times New Roman" w:cs="Times New Roman"/>
          <w:sz w:val="24"/>
          <w:szCs w:val="24"/>
        </w:rPr>
        <w:t xml:space="preserve">kā sociālā tīkla </w:t>
      </w:r>
      <w:proofErr w:type="spellStart"/>
      <w:r w:rsidR="00B40289" w:rsidRPr="00B40289">
        <w:rPr>
          <w:rFonts w:ascii="Times New Roman" w:hAnsi="Times New Roman" w:cs="Times New Roman"/>
          <w:i/>
          <w:sz w:val="24"/>
          <w:szCs w:val="24"/>
        </w:rPr>
        <w:t>Fa</w:t>
      </w:r>
      <w:r w:rsidR="009E10A8" w:rsidRPr="00B40289">
        <w:rPr>
          <w:rFonts w:ascii="Times New Roman" w:hAnsi="Times New Roman" w:cs="Times New Roman"/>
          <w:i/>
          <w:sz w:val="24"/>
          <w:szCs w:val="24"/>
        </w:rPr>
        <w:t>cebook</w:t>
      </w:r>
      <w:proofErr w:type="spellEnd"/>
      <w:r w:rsidR="009E10A8">
        <w:rPr>
          <w:rFonts w:ascii="Times New Roman" w:hAnsi="Times New Roman" w:cs="Times New Roman"/>
          <w:sz w:val="24"/>
          <w:szCs w:val="24"/>
        </w:rPr>
        <w:t xml:space="preserve"> lietotāja 2021.gada 29.martā plkst.12.46 publicējusi attēlus, kuros redzams Latvijas brīvības cīnītāja Gunāra Astras topošā pieminekļa izstrādes process pie tiesas ēkas. Publicē</w:t>
      </w:r>
      <w:r w:rsidR="00BD2B78">
        <w:rPr>
          <w:rFonts w:ascii="Times New Roman" w:hAnsi="Times New Roman" w:cs="Times New Roman"/>
          <w:sz w:val="24"/>
          <w:szCs w:val="24"/>
        </w:rPr>
        <w:t>tos attēlus</w:t>
      </w:r>
      <w:r w:rsidR="009E10A8">
        <w:rPr>
          <w:rFonts w:ascii="Times New Roman" w:hAnsi="Times New Roman" w:cs="Times New Roman"/>
          <w:sz w:val="24"/>
          <w:szCs w:val="24"/>
        </w:rPr>
        <w:t xml:space="preserve"> </w:t>
      </w:r>
      <w:r w:rsidR="00BD2B78">
        <w:rPr>
          <w:rFonts w:ascii="Times New Roman" w:hAnsi="Times New Roman" w:cs="Times New Roman"/>
          <w:sz w:val="24"/>
          <w:szCs w:val="24"/>
        </w:rPr>
        <w:t>papildina teksts</w:t>
      </w:r>
      <w:r w:rsidR="009E10A8">
        <w:rPr>
          <w:rFonts w:ascii="Times New Roman" w:hAnsi="Times New Roman" w:cs="Times New Roman"/>
          <w:sz w:val="24"/>
          <w:szCs w:val="24"/>
        </w:rPr>
        <w:t xml:space="preserve">: “Lūdzu izteikt savu viedokli! Vai atbalstāt šāda pieminekļa izveidi </w:t>
      </w:r>
      <w:r w:rsidR="002E2F22">
        <w:rPr>
          <w:rFonts w:ascii="Times New Roman" w:hAnsi="Times New Roman" w:cs="Times New Roman"/>
          <w:sz w:val="24"/>
          <w:szCs w:val="24"/>
        </w:rPr>
        <w:t>/tiesas/</w:t>
      </w:r>
      <w:r w:rsidR="0082566D">
        <w:rPr>
          <w:rFonts w:ascii="Times New Roman" w:hAnsi="Times New Roman" w:cs="Times New Roman"/>
          <w:sz w:val="24"/>
          <w:szCs w:val="24"/>
        </w:rPr>
        <w:t xml:space="preserve"> vēsturiskās ēkas priekšā?” Ieraksts sociālajā tīklā ir publisks. Tā komentāru sadaļā tiesnese </w:t>
      </w:r>
      <w:r w:rsidR="0082566D">
        <w:rPr>
          <w:rFonts w:ascii="Times New Roman" w:eastAsia="Arial Unicode MS" w:hAnsi="Times New Roman" w:cs="Times New Roman"/>
          <w:kern w:val="2"/>
          <w:sz w:val="24"/>
          <w:szCs w:val="24"/>
        </w:rPr>
        <w:t>publicējusi komentārus:</w:t>
      </w:r>
      <w:r w:rsidR="001821A9">
        <w:rPr>
          <w:rFonts w:ascii="Times New Roman" w:eastAsia="Arial Unicode MS" w:hAnsi="Times New Roman" w:cs="Times New Roman"/>
          <w:kern w:val="2"/>
          <w:sz w:val="24"/>
          <w:szCs w:val="24"/>
        </w:rPr>
        <w:t xml:space="preserve"> </w:t>
      </w:r>
      <w:r w:rsidR="0082566D">
        <w:rPr>
          <w:rFonts w:ascii="Times New Roman" w:eastAsia="Arial Unicode MS" w:hAnsi="Times New Roman" w:cs="Times New Roman"/>
          <w:kern w:val="2"/>
          <w:sz w:val="24"/>
          <w:szCs w:val="24"/>
        </w:rPr>
        <w:t>“Gunāram Astram, kurš to ir godam nopelnījis! Bet, vai šādi, varbūt vislabākais piemineklis būtu kādu brīdi atturēties no valsts naudas izzagšanas dažādiem ”gurķis” + “nazis” – “salāti” projektiem”;</w:t>
      </w:r>
      <w:r w:rsidR="001821A9">
        <w:rPr>
          <w:rFonts w:ascii="Times New Roman" w:eastAsia="Arial Unicode MS" w:hAnsi="Times New Roman" w:cs="Times New Roman"/>
          <w:kern w:val="2"/>
          <w:sz w:val="24"/>
          <w:szCs w:val="24"/>
        </w:rPr>
        <w:t xml:space="preserve"> </w:t>
      </w:r>
      <w:r w:rsidR="0082566D">
        <w:rPr>
          <w:rFonts w:ascii="Times New Roman" w:eastAsia="Arial Unicode MS" w:hAnsi="Times New Roman" w:cs="Times New Roman"/>
          <w:kern w:val="2"/>
          <w:sz w:val="24"/>
          <w:szCs w:val="24"/>
        </w:rPr>
        <w:t>“Diemžēl ministrijas plānota realitāte, “Ļeņina bikses” Nr.2</w:t>
      </w:r>
      <w:r w:rsidR="0096630A">
        <w:rPr>
          <w:rFonts w:ascii="Times New Roman" w:eastAsia="Arial Unicode MS" w:hAnsi="Times New Roman" w:cs="Times New Roman"/>
          <w:kern w:val="2"/>
          <w:sz w:val="24"/>
          <w:szCs w:val="24"/>
        </w:rPr>
        <w:t>”</w:t>
      </w:r>
      <w:r w:rsidR="0082566D">
        <w:rPr>
          <w:rFonts w:ascii="Times New Roman" w:eastAsia="Arial Unicode MS" w:hAnsi="Times New Roman" w:cs="Times New Roman"/>
          <w:kern w:val="2"/>
          <w:sz w:val="24"/>
          <w:szCs w:val="24"/>
        </w:rPr>
        <w:t>;</w:t>
      </w:r>
      <w:r w:rsidR="001821A9">
        <w:rPr>
          <w:rFonts w:ascii="Times New Roman" w:eastAsia="Arial Unicode MS" w:hAnsi="Times New Roman" w:cs="Times New Roman"/>
          <w:kern w:val="2"/>
          <w:sz w:val="24"/>
          <w:szCs w:val="24"/>
        </w:rPr>
        <w:t xml:space="preserve"> </w:t>
      </w:r>
      <w:r w:rsidR="0082566D">
        <w:rPr>
          <w:rFonts w:ascii="Times New Roman" w:eastAsia="Arial Unicode MS" w:hAnsi="Times New Roman" w:cs="Times New Roman"/>
          <w:kern w:val="2"/>
          <w:sz w:val="24"/>
          <w:szCs w:val="24"/>
        </w:rPr>
        <w:t xml:space="preserve">“Es domāju, ka piemineklis nav domāts neviena piemiņai, bet spalvu spodrināšanai un naudas “apgūšanai”. Vēlēšanas tuvojas, partijas kases jāpilda un visvisādi </w:t>
      </w:r>
      <w:proofErr w:type="spellStart"/>
      <w:r w:rsidR="0082566D" w:rsidRPr="00B40289">
        <w:rPr>
          <w:rFonts w:ascii="Times New Roman" w:eastAsia="Arial Unicode MS" w:hAnsi="Times New Roman" w:cs="Times New Roman"/>
          <w:i/>
          <w:kern w:val="2"/>
          <w:sz w:val="24"/>
          <w:szCs w:val="24"/>
        </w:rPr>
        <w:t>jāiznesās</w:t>
      </w:r>
      <w:proofErr w:type="spellEnd"/>
      <w:r w:rsidR="0082566D">
        <w:rPr>
          <w:rFonts w:ascii="Times New Roman" w:eastAsia="Arial Unicode MS" w:hAnsi="Times New Roman" w:cs="Times New Roman"/>
          <w:kern w:val="2"/>
          <w:sz w:val="24"/>
          <w:szCs w:val="24"/>
        </w:rPr>
        <w:t xml:space="preserve"> potenciālo vēlētāju priekšā. Bet tās ir manas, nespeciālista, domas”.</w:t>
      </w:r>
    </w:p>
    <w:p w14:paraId="08E1F99A" w14:textId="77777777" w:rsidR="008D7D2B" w:rsidRDefault="008D7D2B" w:rsidP="000F23EA">
      <w:pPr>
        <w:spacing w:after="0"/>
        <w:ind w:firstLine="720"/>
        <w:jc w:val="both"/>
        <w:rPr>
          <w:rFonts w:ascii="Times New Roman" w:eastAsia="Arial Unicode MS" w:hAnsi="Times New Roman" w:cs="Times New Roman"/>
          <w:kern w:val="2"/>
          <w:sz w:val="24"/>
          <w:szCs w:val="24"/>
        </w:rPr>
      </w:pPr>
    </w:p>
    <w:p w14:paraId="0EBD457E" w14:textId="5C8A2078" w:rsidR="00DF3497" w:rsidRDefault="00DF3497" w:rsidP="000F23EA">
      <w:pPr>
        <w:spacing w:after="0"/>
        <w:ind w:firstLine="720"/>
        <w:jc w:val="both"/>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[3] </w:t>
      </w:r>
      <w:r w:rsidR="00542C89">
        <w:rPr>
          <w:rFonts w:ascii="Times New Roman" w:eastAsia="Arial Unicode MS" w:hAnsi="Times New Roman" w:cs="Times New Roman"/>
          <w:kern w:val="2"/>
          <w:sz w:val="24"/>
          <w:szCs w:val="24"/>
        </w:rPr>
        <w:t xml:space="preserve">Papildus </w:t>
      </w:r>
      <w:r>
        <w:rPr>
          <w:rFonts w:ascii="Times New Roman" w:eastAsia="Arial Unicode MS" w:hAnsi="Times New Roman" w:cs="Times New Roman"/>
          <w:kern w:val="2"/>
          <w:sz w:val="24"/>
          <w:szCs w:val="24"/>
        </w:rPr>
        <w:t>Ties</w:t>
      </w:r>
      <w:r w:rsidR="00542C89">
        <w:rPr>
          <w:rFonts w:ascii="Times New Roman" w:eastAsia="Arial Unicode MS" w:hAnsi="Times New Roman" w:cs="Times New Roman"/>
          <w:kern w:val="2"/>
          <w:sz w:val="24"/>
          <w:szCs w:val="24"/>
        </w:rPr>
        <w:t>lietu ministrija</w:t>
      </w:r>
      <w:r>
        <w:rPr>
          <w:rFonts w:ascii="Times New Roman" w:eastAsia="Arial Unicode MS" w:hAnsi="Times New Roman" w:cs="Times New Roman"/>
          <w:kern w:val="2"/>
          <w:sz w:val="24"/>
          <w:szCs w:val="24"/>
        </w:rPr>
        <w:t xml:space="preserve"> iesniegusi tiesnešu un tiesas darbinieku viedokļu </w:t>
      </w:r>
      <w:r w:rsidR="00B40289">
        <w:rPr>
          <w:rFonts w:ascii="Times New Roman" w:eastAsia="Arial Unicode MS" w:hAnsi="Times New Roman" w:cs="Times New Roman"/>
          <w:kern w:val="2"/>
          <w:sz w:val="24"/>
          <w:szCs w:val="24"/>
        </w:rPr>
        <w:t xml:space="preserve">apkopojumu </w:t>
      </w:r>
      <w:r>
        <w:rPr>
          <w:rFonts w:ascii="Times New Roman" w:eastAsia="Arial Unicode MS" w:hAnsi="Times New Roman" w:cs="Times New Roman"/>
          <w:kern w:val="2"/>
          <w:sz w:val="24"/>
          <w:szCs w:val="24"/>
        </w:rPr>
        <w:t xml:space="preserve">par </w:t>
      </w:r>
      <w:r w:rsidR="00B40289">
        <w:rPr>
          <w:rFonts w:ascii="Times New Roman" w:eastAsia="Arial Unicode MS" w:hAnsi="Times New Roman" w:cs="Times New Roman"/>
          <w:kern w:val="2"/>
          <w:sz w:val="24"/>
          <w:szCs w:val="24"/>
        </w:rPr>
        <w:t>Gunāra Astra pieminekļa</w:t>
      </w:r>
      <w:r>
        <w:rPr>
          <w:rFonts w:ascii="Times New Roman" w:eastAsia="Arial Unicode MS" w:hAnsi="Times New Roman" w:cs="Times New Roman"/>
          <w:kern w:val="2"/>
          <w:sz w:val="24"/>
          <w:szCs w:val="24"/>
        </w:rPr>
        <w:t xml:space="preserve">, ko iecerēts izveidot pie tiesas ēkas, </w:t>
      </w:r>
      <w:r w:rsidR="00B40289">
        <w:rPr>
          <w:rFonts w:ascii="Times New Roman" w:eastAsia="Arial Unicode MS" w:hAnsi="Times New Roman" w:cs="Times New Roman"/>
          <w:kern w:val="2"/>
          <w:sz w:val="24"/>
          <w:szCs w:val="24"/>
        </w:rPr>
        <w:t>koncepciju. Apkopojumā</w:t>
      </w:r>
      <w:r>
        <w:rPr>
          <w:rFonts w:ascii="Times New Roman" w:eastAsia="Arial Unicode MS" w:hAnsi="Times New Roman" w:cs="Times New Roman"/>
          <w:kern w:val="2"/>
          <w:sz w:val="24"/>
          <w:szCs w:val="24"/>
        </w:rPr>
        <w:t xml:space="preserve"> redzams </w:t>
      </w:r>
      <w:r w:rsidR="00870455">
        <w:rPr>
          <w:rFonts w:ascii="Times New Roman" w:eastAsia="Arial Unicode MS" w:hAnsi="Times New Roman" w:cs="Times New Roman"/>
          <w:kern w:val="2"/>
          <w:sz w:val="24"/>
          <w:szCs w:val="24"/>
        </w:rPr>
        <w:t xml:space="preserve">arī </w:t>
      </w:r>
      <w:r>
        <w:rPr>
          <w:rFonts w:ascii="Times New Roman" w:eastAsia="Arial Unicode MS" w:hAnsi="Times New Roman" w:cs="Times New Roman"/>
          <w:kern w:val="2"/>
          <w:sz w:val="24"/>
          <w:szCs w:val="24"/>
        </w:rPr>
        <w:t xml:space="preserve">tiesneses </w:t>
      </w:r>
      <w:r w:rsidR="00075898">
        <w:rPr>
          <w:rFonts w:ascii="Times New Roman" w:eastAsia="Arial Unicode MS" w:hAnsi="Times New Roman" w:cs="Times New Roman"/>
          <w:kern w:val="2"/>
          <w:sz w:val="24"/>
          <w:szCs w:val="24"/>
        </w:rPr>
        <w:t>viedoklis, kurā t</w:t>
      </w:r>
      <w:r>
        <w:rPr>
          <w:rFonts w:ascii="Times New Roman" w:eastAsia="Arial Unicode MS" w:hAnsi="Times New Roman" w:cs="Times New Roman"/>
          <w:kern w:val="2"/>
          <w:sz w:val="24"/>
          <w:szCs w:val="24"/>
        </w:rPr>
        <w:t>iesnese norādījusi: “Nav šaubu, ka Astra ir pelnījis piemiņas vietu, bet apspriežamais jautājums nav par to. Centrā jau pietiek ar “Ļeņina biksēm”, vai tiešām obligāti nepieciešams arī izcili neglīts kapa krusts? Pat, ja budžets ir liels un “pieminekļa” idejas autori cer “bagātināties” ieceres realizācijas rezultātā, Rīgas centrs ne pie kā nav vainīgs un nebūtu jāsoda”.</w:t>
      </w:r>
    </w:p>
    <w:p w14:paraId="5BFBEC00" w14:textId="77777777" w:rsidR="008D7D2B" w:rsidRDefault="008D7D2B" w:rsidP="000F23EA">
      <w:pPr>
        <w:spacing w:after="0"/>
        <w:ind w:firstLine="720"/>
        <w:jc w:val="both"/>
        <w:rPr>
          <w:rFonts w:ascii="Times New Roman" w:eastAsia="Arial Unicode MS" w:hAnsi="Times New Roman" w:cs="Times New Roman"/>
          <w:kern w:val="2"/>
          <w:sz w:val="24"/>
          <w:szCs w:val="24"/>
        </w:rPr>
      </w:pPr>
    </w:p>
    <w:p w14:paraId="0E1FB158" w14:textId="6A999EE7" w:rsidR="004860E0" w:rsidRDefault="00F43218" w:rsidP="000F23EA">
      <w:pPr>
        <w:spacing w:after="0"/>
        <w:jc w:val="both"/>
        <w:rPr>
          <w:rFonts w:ascii="Times New Roman" w:hAnsi="Times New Roman" w:cs="Times New Roman"/>
          <w:sz w:val="24"/>
          <w:szCs w:val="24"/>
        </w:rPr>
      </w:pPr>
      <w:r>
        <w:rPr>
          <w:rFonts w:ascii="Times New Roman" w:hAnsi="Times New Roman" w:cs="Times New Roman"/>
          <w:sz w:val="24"/>
          <w:szCs w:val="24"/>
        </w:rPr>
        <w:tab/>
      </w:r>
      <w:r w:rsidR="00067B8D">
        <w:rPr>
          <w:rFonts w:ascii="Times New Roman" w:hAnsi="Times New Roman" w:cs="Times New Roman"/>
          <w:sz w:val="24"/>
          <w:szCs w:val="24"/>
        </w:rPr>
        <w:t>[4</w:t>
      </w:r>
      <w:r w:rsidR="007A2530">
        <w:rPr>
          <w:rFonts w:ascii="Times New Roman" w:hAnsi="Times New Roman" w:cs="Times New Roman"/>
          <w:sz w:val="24"/>
          <w:szCs w:val="24"/>
        </w:rPr>
        <w:t xml:space="preserve">] </w:t>
      </w:r>
      <w:r w:rsidR="004F7B15">
        <w:rPr>
          <w:rFonts w:ascii="Times New Roman" w:hAnsi="Times New Roman" w:cs="Times New Roman"/>
          <w:sz w:val="24"/>
          <w:szCs w:val="24"/>
        </w:rPr>
        <w:t xml:space="preserve">Tiesnese </w:t>
      </w:r>
      <w:r w:rsidR="00543F72">
        <w:rPr>
          <w:rFonts w:ascii="Times New Roman" w:eastAsia="Arial Unicode MS" w:hAnsi="Times New Roman" w:cs="Times New Roman"/>
          <w:kern w:val="2"/>
          <w:sz w:val="24"/>
          <w:szCs w:val="24"/>
        </w:rPr>
        <w:t xml:space="preserve">Tiesnešu ētikas komisijai </w:t>
      </w:r>
      <w:r w:rsidR="004F7B15">
        <w:rPr>
          <w:rFonts w:ascii="Times New Roman" w:hAnsi="Times New Roman" w:cs="Times New Roman"/>
          <w:sz w:val="24"/>
          <w:szCs w:val="24"/>
        </w:rPr>
        <w:t>rakstiski paskaidrojusi</w:t>
      </w:r>
      <w:r w:rsidR="00A23DB6">
        <w:rPr>
          <w:rFonts w:ascii="Times New Roman" w:hAnsi="Times New Roman" w:cs="Times New Roman"/>
          <w:sz w:val="24"/>
          <w:szCs w:val="24"/>
        </w:rPr>
        <w:t xml:space="preserve">, ka </w:t>
      </w:r>
      <w:r w:rsidR="004F7B15">
        <w:rPr>
          <w:rFonts w:ascii="Times New Roman" w:hAnsi="Times New Roman" w:cs="Times New Roman"/>
          <w:sz w:val="24"/>
          <w:szCs w:val="24"/>
        </w:rPr>
        <w:t>pie</w:t>
      </w:r>
      <w:r w:rsidR="00543F72">
        <w:rPr>
          <w:rFonts w:ascii="Times New Roman" w:hAnsi="Times New Roman" w:cs="Times New Roman"/>
          <w:sz w:val="24"/>
          <w:szCs w:val="24"/>
        </w:rPr>
        <w:t xml:space="preserve"> </w:t>
      </w:r>
      <w:r w:rsidR="00FC6E83">
        <w:rPr>
          <w:rFonts w:ascii="Times New Roman" w:hAnsi="Times New Roman" w:cs="Times New Roman"/>
          <w:sz w:val="24"/>
          <w:szCs w:val="24"/>
        </w:rPr>
        <w:t xml:space="preserve">sociālajā tīklā </w:t>
      </w:r>
      <w:proofErr w:type="spellStart"/>
      <w:r w:rsidR="00FC6E83" w:rsidRPr="00FC6E83">
        <w:rPr>
          <w:rFonts w:ascii="Times New Roman" w:hAnsi="Times New Roman" w:cs="Times New Roman"/>
          <w:i/>
          <w:sz w:val="24"/>
          <w:szCs w:val="24"/>
        </w:rPr>
        <w:t>Facebook</w:t>
      </w:r>
      <w:proofErr w:type="spellEnd"/>
      <w:r w:rsidR="00543F72">
        <w:rPr>
          <w:rFonts w:ascii="Times New Roman" w:hAnsi="Times New Roman" w:cs="Times New Roman"/>
          <w:sz w:val="24"/>
          <w:szCs w:val="24"/>
        </w:rPr>
        <w:t xml:space="preserve"> publicētā</w:t>
      </w:r>
      <w:r w:rsidR="00067B8D">
        <w:rPr>
          <w:rFonts w:ascii="Times New Roman" w:hAnsi="Times New Roman" w:cs="Times New Roman"/>
          <w:sz w:val="24"/>
          <w:szCs w:val="24"/>
        </w:rPr>
        <w:t xml:space="preserve"> </w:t>
      </w:r>
      <w:r w:rsidR="004F7B15">
        <w:rPr>
          <w:rFonts w:ascii="Times New Roman" w:hAnsi="Times New Roman" w:cs="Times New Roman"/>
          <w:sz w:val="24"/>
          <w:szCs w:val="24"/>
        </w:rPr>
        <w:t>neko piebilst nevar, tur viss ir pateikts un atbilst viņas pārliecībai, ka tādas lietas nedrīkst kārtot slepeni.</w:t>
      </w:r>
    </w:p>
    <w:p w14:paraId="2271FB22" w14:textId="77777777" w:rsidR="008D7D2B" w:rsidRDefault="008D7D2B" w:rsidP="000F23EA">
      <w:pPr>
        <w:spacing w:after="0"/>
        <w:jc w:val="both"/>
        <w:rPr>
          <w:rFonts w:ascii="Times New Roman" w:hAnsi="Times New Roman" w:cs="Times New Roman"/>
          <w:sz w:val="24"/>
          <w:szCs w:val="24"/>
        </w:rPr>
      </w:pPr>
    </w:p>
    <w:p w14:paraId="70E323C7" w14:textId="09BBFA75" w:rsidR="00942090" w:rsidRDefault="00B61BC6" w:rsidP="000F23EA">
      <w:pPr>
        <w:spacing w:after="0"/>
        <w:jc w:val="both"/>
        <w:rPr>
          <w:rFonts w:ascii="Times New Roman" w:hAnsi="Times New Roman" w:cs="Times New Roman"/>
          <w:sz w:val="24"/>
          <w:szCs w:val="24"/>
        </w:rPr>
      </w:pPr>
      <w:r>
        <w:rPr>
          <w:rFonts w:ascii="Times New Roman" w:hAnsi="Times New Roman" w:cs="Times New Roman"/>
          <w:sz w:val="24"/>
          <w:szCs w:val="24"/>
        </w:rPr>
        <w:tab/>
        <w:t>[5</w:t>
      </w:r>
      <w:r w:rsidR="00D410CF">
        <w:rPr>
          <w:rFonts w:ascii="Times New Roman" w:hAnsi="Times New Roman" w:cs="Times New Roman"/>
          <w:sz w:val="24"/>
          <w:szCs w:val="24"/>
        </w:rPr>
        <w:t>] Saskaņā ar likuma “Par tiesu varu” 91.</w:t>
      </w:r>
      <w:r w:rsidR="00D410CF">
        <w:rPr>
          <w:rFonts w:ascii="Times New Roman" w:hAnsi="Times New Roman" w:cs="Times New Roman"/>
          <w:sz w:val="24"/>
          <w:szCs w:val="24"/>
          <w:vertAlign w:val="superscript"/>
        </w:rPr>
        <w:t>2</w:t>
      </w:r>
      <w:r w:rsidR="00D410CF">
        <w:rPr>
          <w:rFonts w:ascii="Times New Roman" w:hAnsi="Times New Roman" w:cs="Times New Roman"/>
          <w:sz w:val="24"/>
          <w:szCs w:val="24"/>
        </w:rPr>
        <w:t>panta 1.punktu Tiesnešu ētikas komisija pēc tās personas pieprasījuma, kurai ir tiesības ierosināt disciplinārlietu, sniedz atzinumus par ētikas normu interpretāciju un pārkāpumiem.</w:t>
      </w:r>
      <w:r w:rsidR="00D47682">
        <w:rPr>
          <w:rFonts w:ascii="Times New Roman" w:hAnsi="Times New Roman" w:cs="Times New Roman"/>
          <w:sz w:val="24"/>
          <w:szCs w:val="24"/>
        </w:rPr>
        <w:t xml:space="preserve"> </w:t>
      </w:r>
      <w:r w:rsidR="00942090">
        <w:rPr>
          <w:rFonts w:ascii="Times New Roman" w:hAnsi="Times New Roman" w:cs="Times New Roman"/>
          <w:sz w:val="24"/>
          <w:szCs w:val="24"/>
        </w:rPr>
        <w:t>Līdz ar to komisija izvērtē</w:t>
      </w:r>
      <w:r w:rsidR="009C4454">
        <w:rPr>
          <w:rFonts w:ascii="Times New Roman" w:hAnsi="Times New Roman" w:cs="Times New Roman"/>
          <w:sz w:val="24"/>
          <w:szCs w:val="24"/>
        </w:rPr>
        <w:t>ja</w:t>
      </w:r>
      <w:r w:rsidR="00942090">
        <w:rPr>
          <w:rFonts w:ascii="Times New Roman" w:hAnsi="Times New Roman" w:cs="Times New Roman"/>
          <w:sz w:val="24"/>
          <w:szCs w:val="24"/>
        </w:rPr>
        <w:t>, vai tiesneses darbībās ir konstatējams ētikas normu pārkāpums.</w:t>
      </w:r>
    </w:p>
    <w:p w14:paraId="0B840956" w14:textId="77777777" w:rsidR="008D7D2B" w:rsidRPr="00D410CF" w:rsidRDefault="008D7D2B" w:rsidP="000F23EA">
      <w:pPr>
        <w:spacing w:after="0"/>
        <w:jc w:val="both"/>
        <w:rPr>
          <w:rFonts w:ascii="Times New Roman" w:hAnsi="Times New Roman" w:cs="Times New Roman"/>
          <w:sz w:val="24"/>
          <w:szCs w:val="24"/>
        </w:rPr>
      </w:pPr>
    </w:p>
    <w:p w14:paraId="54E08CF1" w14:textId="77777777" w:rsidR="00925B63"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7858BF">
        <w:rPr>
          <w:rFonts w:ascii="Times New Roman" w:hAnsi="Times New Roman" w:cs="Times New Roman"/>
          <w:sz w:val="24"/>
          <w:szCs w:val="24"/>
        </w:rPr>
        <w:t>] Tiesnešu ētikas kodeksā</w:t>
      </w:r>
      <w:r w:rsidR="0017120B">
        <w:rPr>
          <w:rFonts w:ascii="Times New Roman" w:hAnsi="Times New Roman" w:cs="Times New Roman"/>
          <w:sz w:val="24"/>
          <w:szCs w:val="24"/>
        </w:rPr>
        <w:t xml:space="preserve"> nostiprināts </w:t>
      </w:r>
      <w:r w:rsidR="008D22E4">
        <w:rPr>
          <w:rFonts w:ascii="Times New Roman" w:hAnsi="Times New Roman" w:cs="Times New Roman"/>
          <w:sz w:val="24"/>
          <w:szCs w:val="24"/>
        </w:rPr>
        <w:t xml:space="preserve">gan </w:t>
      </w:r>
      <w:r w:rsidR="007858BF">
        <w:rPr>
          <w:rFonts w:ascii="Times New Roman" w:hAnsi="Times New Roman" w:cs="Times New Roman"/>
          <w:sz w:val="24"/>
          <w:szCs w:val="24"/>
        </w:rPr>
        <w:t xml:space="preserve">tiesnešu </w:t>
      </w:r>
      <w:r w:rsidR="0017120B">
        <w:rPr>
          <w:rFonts w:ascii="Times New Roman" w:hAnsi="Times New Roman" w:cs="Times New Roman"/>
          <w:sz w:val="24"/>
          <w:szCs w:val="24"/>
        </w:rPr>
        <w:t>neatkarības</w:t>
      </w:r>
      <w:r w:rsidR="004221EE">
        <w:rPr>
          <w:rFonts w:ascii="Times New Roman" w:hAnsi="Times New Roman" w:cs="Times New Roman"/>
          <w:sz w:val="24"/>
          <w:szCs w:val="24"/>
        </w:rPr>
        <w:t xml:space="preserve"> un</w:t>
      </w:r>
      <w:r w:rsidR="0017120B">
        <w:rPr>
          <w:rFonts w:ascii="Times New Roman" w:hAnsi="Times New Roman" w:cs="Times New Roman"/>
          <w:sz w:val="24"/>
          <w:szCs w:val="24"/>
        </w:rPr>
        <w:t xml:space="preserve"> </w:t>
      </w:r>
      <w:r w:rsidR="004221EE">
        <w:rPr>
          <w:rFonts w:ascii="Times New Roman" w:hAnsi="Times New Roman" w:cs="Times New Roman"/>
          <w:sz w:val="24"/>
          <w:szCs w:val="24"/>
        </w:rPr>
        <w:t xml:space="preserve">objektivitātes </w:t>
      </w:r>
      <w:r w:rsidR="0017120B">
        <w:rPr>
          <w:rFonts w:ascii="Times New Roman" w:hAnsi="Times New Roman" w:cs="Times New Roman"/>
          <w:sz w:val="24"/>
          <w:szCs w:val="24"/>
        </w:rPr>
        <w:t xml:space="preserve">princips, </w:t>
      </w:r>
      <w:r w:rsidR="004221EE">
        <w:rPr>
          <w:rFonts w:ascii="Times New Roman" w:hAnsi="Times New Roman" w:cs="Times New Roman"/>
          <w:sz w:val="24"/>
          <w:szCs w:val="24"/>
        </w:rPr>
        <w:t xml:space="preserve">gan </w:t>
      </w:r>
      <w:r w:rsidR="00603B05">
        <w:rPr>
          <w:rFonts w:ascii="Times New Roman" w:hAnsi="Times New Roman" w:cs="Times New Roman"/>
          <w:sz w:val="24"/>
          <w:szCs w:val="24"/>
        </w:rPr>
        <w:t>godprātī</w:t>
      </w:r>
      <w:r w:rsidR="00954FE1">
        <w:rPr>
          <w:rFonts w:ascii="Times New Roman" w:hAnsi="Times New Roman" w:cs="Times New Roman"/>
          <w:sz w:val="24"/>
          <w:szCs w:val="24"/>
        </w:rPr>
        <w:t>bas un cieņas princips</w:t>
      </w:r>
      <w:r w:rsidR="006B0950">
        <w:rPr>
          <w:rFonts w:ascii="Times New Roman" w:hAnsi="Times New Roman" w:cs="Times New Roman"/>
          <w:sz w:val="24"/>
          <w:szCs w:val="24"/>
        </w:rPr>
        <w:t>.</w:t>
      </w:r>
      <w:r w:rsidR="00603B05">
        <w:rPr>
          <w:rFonts w:ascii="Times New Roman" w:hAnsi="Times New Roman" w:cs="Times New Roman"/>
          <w:sz w:val="24"/>
          <w:szCs w:val="24"/>
        </w:rPr>
        <w:t xml:space="preserve"> </w:t>
      </w:r>
      <w:r w:rsidR="006B0950">
        <w:rPr>
          <w:rFonts w:ascii="Times New Roman" w:hAnsi="Times New Roman" w:cs="Times New Roman"/>
          <w:sz w:val="24"/>
          <w:szCs w:val="24"/>
        </w:rPr>
        <w:t>Tiesnešu uzvedībai visā savā darbībā jābūt tādai, lai stiprinātu tiesu varas autoritāti</w:t>
      </w:r>
      <w:r w:rsidR="00482F1F">
        <w:rPr>
          <w:rFonts w:ascii="Times New Roman" w:hAnsi="Times New Roman" w:cs="Times New Roman"/>
          <w:sz w:val="24"/>
          <w:szCs w:val="24"/>
        </w:rPr>
        <w:t xml:space="preserve"> un vairotu sabiedrības uzticēšanos tiesu varai</w:t>
      </w:r>
      <w:r w:rsidR="006B0950">
        <w:rPr>
          <w:rFonts w:ascii="Times New Roman" w:hAnsi="Times New Roman" w:cs="Times New Roman"/>
          <w:sz w:val="24"/>
          <w:szCs w:val="24"/>
        </w:rPr>
        <w:t>. T</w:t>
      </w:r>
      <w:r w:rsidR="007858BF">
        <w:rPr>
          <w:rFonts w:ascii="Times New Roman" w:hAnsi="Times New Roman" w:cs="Times New Roman"/>
          <w:sz w:val="24"/>
          <w:szCs w:val="24"/>
        </w:rPr>
        <w:t>iesnesim</w:t>
      </w:r>
      <w:r w:rsidR="00603B05">
        <w:rPr>
          <w:rFonts w:ascii="Times New Roman" w:hAnsi="Times New Roman" w:cs="Times New Roman"/>
          <w:sz w:val="24"/>
          <w:szCs w:val="24"/>
        </w:rPr>
        <w:t xml:space="preserve"> ar savu stāju </w:t>
      </w:r>
      <w:r w:rsidR="007858BF">
        <w:rPr>
          <w:rFonts w:ascii="Times New Roman" w:hAnsi="Times New Roman" w:cs="Times New Roman"/>
          <w:sz w:val="24"/>
          <w:szCs w:val="24"/>
        </w:rPr>
        <w:t>jā</w:t>
      </w:r>
      <w:r w:rsidR="00603B05">
        <w:rPr>
          <w:rFonts w:ascii="Times New Roman" w:hAnsi="Times New Roman" w:cs="Times New Roman"/>
          <w:sz w:val="24"/>
          <w:szCs w:val="24"/>
        </w:rPr>
        <w:t xml:space="preserve">apliecina un </w:t>
      </w:r>
      <w:r w:rsidR="007858BF">
        <w:rPr>
          <w:rFonts w:ascii="Times New Roman" w:hAnsi="Times New Roman" w:cs="Times New Roman"/>
          <w:sz w:val="24"/>
          <w:szCs w:val="24"/>
        </w:rPr>
        <w:t>jāveicina augsti tiesnešu ētikas standarti</w:t>
      </w:r>
      <w:r w:rsidR="00603B05">
        <w:rPr>
          <w:rFonts w:ascii="Times New Roman" w:hAnsi="Times New Roman" w:cs="Times New Roman"/>
          <w:sz w:val="24"/>
          <w:szCs w:val="24"/>
        </w:rPr>
        <w:t xml:space="preserve"> ne tikai tiesas spriešanas laikā, bet</w:t>
      </w:r>
      <w:r w:rsidR="00925B63">
        <w:rPr>
          <w:rFonts w:ascii="Times New Roman" w:hAnsi="Times New Roman" w:cs="Times New Roman"/>
          <w:sz w:val="24"/>
          <w:szCs w:val="24"/>
        </w:rPr>
        <w:t xml:space="preserve"> arī veicot ārpustiesas darbību.</w:t>
      </w:r>
      <w:r w:rsidR="00603B05">
        <w:rPr>
          <w:rFonts w:ascii="Times New Roman" w:hAnsi="Times New Roman" w:cs="Times New Roman"/>
          <w:sz w:val="24"/>
          <w:szCs w:val="24"/>
        </w:rPr>
        <w:t xml:space="preserve"> </w:t>
      </w:r>
    </w:p>
    <w:p w14:paraId="458BD8EF" w14:textId="77777777" w:rsidR="00603B05" w:rsidRPr="00F12BF3"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[6</w:t>
      </w:r>
      <w:r w:rsidR="0088046D">
        <w:rPr>
          <w:rFonts w:ascii="Times New Roman" w:hAnsi="Times New Roman" w:cs="Times New Roman"/>
          <w:sz w:val="24"/>
          <w:szCs w:val="24"/>
        </w:rPr>
        <w:t xml:space="preserve">.1] </w:t>
      </w:r>
      <w:r w:rsidR="0017120B">
        <w:rPr>
          <w:rFonts w:ascii="Times New Roman" w:hAnsi="Times New Roman" w:cs="Times New Roman"/>
          <w:sz w:val="24"/>
          <w:szCs w:val="24"/>
        </w:rPr>
        <w:t xml:space="preserve">Tiesnešu ētikas kodeksa 1.kanona 5.punktā noteikts, ka </w:t>
      </w:r>
      <w:r w:rsidR="0017120B" w:rsidRPr="00F12BF3">
        <w:rPr>
          <w:rFonts w:ascii="Times New Roman" w:hAnsi="Times New Roman" w:cs="Times New Roman"/>
          <w:sz w:val="24"/>
          <w:szCs w:val="24"/>
        </w:rPr>
        <w:t xml:space="preserve">tiesnesis ar savu stāju apliecina un veicina augstus tiesnešu ētikas standartus, lai stiprinātu sabiedrības uzticēšanos tiesu varai. </w:t>
      </w:r>
    </w:p>
    <w:p w14:paraId="210E2B6F" w14:textId="77777777" w:rsidR="00D25D32" w:rsidRPr="00F12BF3"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88046D">
        <w:rPr>
          <w:rFonts w:ascii="Times New Roman" w:hAnsi="Times New Roman" w:cs="Times New Roman"/>
          <w:sz w:val="24"/>
          <w:szCs w:val="24"/>
        </w:rPr>
        <w:t xml:space="preserve">.2] </w:t>
      </w:r>
      <w:r w:rsidR="005D29EE">
        <w:rPr>
          <w:rFonts w:ascii="Times New Roman" w:hAnsi="Times New Roman" w:cs="Times New Roman"/>
          <w:sz w:val="24"/>
          <w:szCs w:val="24"/>
        </w:rPr>
        <w:t>Tiesnešu ētikas kodeksa 2.kan</w:t>
      </w:r>
      <w:r w:rsidR="009A7219">
        <w:rPr>
          <w:rFonts w:ascii="Times New Roman" w:hAnsi="Times New Roman" w:cs="Times New Roman"/>
          <w:sz w:val="24"/>
          <w:szCs w:val="24"/>
        </w:rPr>
        <w:t>ona</w:t>
      </w:r>
      <w:r w:rsidR="00D25D32">
        <w:rPr>
          <w:rFonts w:ascii="Times New Roman" w:hAnsi="Times New Roman" w:cs="Times New Roman"/>
          <w:sz w:val="24"/>
          <w:szCs w:val="24"/>
        </w:rPr>
        <w:t xml:space="preserve"> </w:t>
      </w:r>
      <w:r w:rsidR="005D29EE">
        <w:rPr>
          <w:rFonts w:ascii="Times New Roman" w:hAnsi="Times New Roman" w:cs="Times New Roman"/>
          <w:sz w:val="24"/>
          <w:szCs w:val="24"/>
        </w:rPr>
        <w:t xml:space="preserve">1.punktā noteikts, ka </w:t>
      </w:r>
      <w:r w:rsidR="005D29EE" w:rsidRPr="00F12BF3">
        <w:rPr>
          <w:rFonts w:ascii="Times New Roman" w:hAnsi="Times New Roman" w:cs="Times New Roman"/>
          <w:sz w:val="24"/>
          <w:szCs w:val="24"/>
        </w:rPr>
        <w:t xml:space="preserve">tiesnesis </w:t>
      </w:r>
      <w:r w:rsidR="009A7219" w:rsidRPr="00F12BF3">
        <w:rPr>
          <w:rFonts w:ascii="Times New Roman" w:hAnsi="Times New Roman" w:cs="Times New Roman"/>
          <w:sz w:val="24"/>
          <w:szCs w:val="24"/>
        </w:rPr>
        <w:t xml:space="preserve">ciena un ievēro likumu, godprātīgi un </w:t>
      </w:r>
      <w:r w:rsidR="00D25D32" w:rsidRPr="00F12BF3">
        <w:rPr>
          <w:rFonts w:ascii="Times New Roman" w:hAnsi="Times New Roman" w:cs="Times New Roman"/>
          <w:sz w:val="24"/>
          <w:szCs w:val="24"/>
        </w:rPr>
        <w:t xml:space="preserve">ar cieņu attiecas pret </w:t>
      </w:r>
      <w:r w:rsidR="007C3E67">
        <w:rPr>
          <w:rFonts w:ascii="Times New Roman" w:hAnsi="Times New Roman" w:cs="Times New Roman"/>
          <w:sz w:val="24"/>
          <w:szCs w:val="24"/>
        </w:rPr>
        <w:t>savu amatu</w:t>
      </w:r>
      <w:r w:rsidR="009A7219" w:rsidRPr="00F12BF3">
        <w:rPr>
          <w:rFonts w:ascii="Times New Roman" w:hAnsi="Times New Roman" w:cs="Times New Roman"/>
          <w:sz w:val="24"/>
          <w:szCs w:val="24"/>
        </w:rPr>
        <w:t>, amata pienākumiem, procesa dalībniekiem</w:t>
      </w:r>
      <w:r w:rsidR="00511666">
        <w:rPr>
          <w:rFonts w:ascii="Times New Roman" w:hAnsi="Times New Roman" w:cs="Times New Roman"/>
          <w:sz w:val="24"/>
          <w:szCs w:val="24"/>
        </w:rPr>
        <w:t>, kolēģiem un sabiedrību kopumā;</w:t>
      </w:r>
      <w:r w:rsidR="009A7219" w:rsidRPr="00F12BF3">
        <w:rPr>
          <w:rFonts w:ascii="Times New Roman" w:hAnsi="Times New Roman" w:cs="Times New Roman"/>
          <w:sz w:val="24"/>
          <w:szCs w:val="24"/>
        </w:rPr>
        <w:t xml:space="preserve"> </w:t>
      </w:r>
      <w:r w:rsidR="00D25D32" w:rsidRPr="00F12BF3">
        <w:rPr>
          <w:rFonts w:ascii="Times New Roman" w:hAnsi="Times New Roman" w:cs="Times New Roman"/>
          <w:sz w:val="24"/>
          <w:szCs w:val="24"/>
        </w:rPr>
        <w:t>2.kanona 2.punktā noteikts, ka tiesnesis, gan veicot amata pienākumus, gan darbojoties ārpus tiem, rīkojas tā, lai veicinātu sabi</w:t>
      </w:r>
      <w:r w:rsidR="009953BD">
        <w:rPr>
          <w:rFonts w:ascii="Times New Roman" w:hAnsi="Times New Roman" w:cs="Times New Roman"/>
          <w:sz w:val="24"/>
          <w:szCs w:val="24"/>
        </w:rPr>
        <w:t xml:space="preserve">edrības uzticēšanos tiesu varai. Savukārt </w:t>
      </w:r>
      <w:r w:rsidR="009A7219" w:rsidRPr="00F12BF3">
        <w:rPr>
          <w:rFonts w:ascii="Times New Roman" w:hAnsi="Times New Roman" w:cs="Times New Roman"/>
          <w:sz w:val="24"/>
          <w:szCs w:val="24"/>
        </w:rPr>
        <w:t>2.kanona 3.punktā noteikts, ka tiesnesis nodrošina, lai viņa rīcība saprātīga, informēta un no aizspriedumiem brīva vērotāja ieskatā ir saprotama.</w:t>
      </w:r>
    </w:p>
    <w:p w14:paraId="37A4F64D" w14:textId="77777777" w:rsidR="00107FD1" w:rsidRPr="00F12BF3"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107FD1">
        <w:rPr>
          <w:rFonts w:ascii="Times New Roman" w:hAnsi="Times New Roman" w:cs="Times New Roman"/>
          <w:sz w:val="24"/>
          <w:szCs w:val="24"/>
        </w:rPr>
        <w:t>.3] Tiesnešu ētikas kodeksa 3.kanona 2.punktā</w:t>
      </w:r>
      <w:r w:rsidR="00F00864">
        <w:rPr>
          <w:rFonts w:ascii="Times New Roman" w:hAnsi="Times New Roman" w:cs="Times New Roman"/>
          <w:sz w:val="24"/>
          <w:szCs w:val="24"/>
        </w:rPr>
        <w:t xml:space="preserve"> atzīts</w:t>
      </w:r>
      <w:r w:rsidR="00107FD1">
        <w:rPr>
          <w:rFonts w:ascii="Times New Roman" w:hAnsi="Times New Roman" w:cs="Times New Roman"/>
          <w:sz w:val="24"/>
          <w:szCs w:val="24"/>
        </w:rPr>
        <w:t xml:space="preserve">, ka </w:t>
      </w:r>
      <w:r w:rsidR="00107FD1" w:rsidRPr="00F12BF3">
        <w:rPr>
          <w:rFonts w:ascii="Times New Roman" w:hAnsi="Times New Roman" w:cs="Times New Roman"/>
          <w:sz w:val="24"/>
          <w:szCs w:val="24"/>
        </w:rPr>
        <w:t>tiesnesis izvairās no vārdiem un runas, žestiem vai citas darbības, kuru varētu uztvert kā neobjektiv</w:t>
      </w:r>
      <w:r w:rsidR="0028535F">
        <w:rPr>
          <w:rFonts w:ascii="Times New Roman" w:hAnsi="Times New Roman" w:cs="Times New Roman"/>
          <w:sz w:val="24"/>
          <w:szCs w:val="24"/>
        </w:rPr>
        <w:t xml:space="preserve">itāti vai aizspriedumu izpausmi, bet </w:t>
      </w:r>
      <w:r w:rsidR="00107FD1" w:rsidRPr="00F12BF3">
        <w:rPr>
          <w:rFonts w:ascii="Times New Roman" w:hAnsi="Times New Roman" w:cs="Times New Roman"/>
          <w:sz w:val="24"/>
          <w:szCs w:val="24"/>
        </w:rPr>
        <w:t xml:space="preserve">3.kanona 3.punktā </w:t>
      </w:r>
      <w:r w:rsidR="0028535F">
        <w:rPr>
          <w:rFonts w:ascii="Times New Roman" w:hAnsi="Times New Roman" w:cs="Times New Roman"/>
          <w:sz w:val="24"/>
          <w:szCs w:val="24"/>
        </w:rPr>
        <w:t xml:space="preserve">– </w:t>
      </w:r>
      <w:r w:rsidR="00107FD1" w:rsidRPr="00F12BF3">
        <w:rPr>
          <w:rFonts w:ascii="Times New Roman" w:hAnsi="Times New Roman" w:cs="Times New Roman"/>
          <w:sz w:val="24"/>
          <w:szCs w:val="24"/>
        </w:rPr>
        <w:t>ka tiesnesis nav nošķirts no sabiedrības, kurā viņš dzīvo. Tiesnesis veic ārpustiesas darbību tā, lai neradītu pamatu šaubām par tiesneša spēju objektīvi veikt tiesneša pienākumus.</w:t>
      </w:r>
    </w:p>
    <w:p w14:paraId="4E89AB8F" w14:textId="77777777" w:rsidR="0088046D" w:rsidRPr="00F12BF3"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976F3A">
        <w:rPr>
          <w:rFonts w:ascii="Times New Roman" w:hAnsi="Times New Roman" w:cs="Times New Roman"/>
          <w:sz w:val="24"/>
          <w:szCs w:val="24"/>
        </w:rPr>
        <w:t>.4</w:t>
      </w:r>
      <w:r w:rsidR="0088046D">
        <w:rPr>
          <w:rFonts w:ascii="Times New Roman" w:hAnsi="Times New Roman" w:cs="Times New Roman"/>
          <w:sz w:val="24"/>
          <w:szCs w:val="24"/>
        </w:rPr>
        <w:t xml:space="preserve">] </w:t>
      </w:r>
      <w:r w:rsidR="002818F8">
        <w:rPr>
          <w:rFonts w:ascii="Times New Roman" w:hAnsi="Times New Roman" w:cs="Times New Roman"/>
          <w:sz w:val="24"/>
          <w:szCs w:val="24"/>
        </w:rPr>
        <w:t>Tiesnešu ētikas kodeksa</w:t>
      </w:r>
      <w:r w:rsidR="00C32F7C">
        <w:rPr>
          <w:rFonts w:ascii="Times New Roman" w:hAnsi="Times New Roman" w:cs="Times New Roman"/>
          <w:sz w:val="24"/>
          <w:szCs w:val="24"/>
        </w:rPr>
        <w:t xml:space="preserve"> </w:t>
      </w:r>
      <w:r w:rsidR="002818F8">
        <w:rPr>
          <w:rFonts w:ascii="Times New Roman" w:hAnsi="Times New Roman" w:cs="Times New Roman"/>
          <w:sz w:val="24"/>
          <w:szCs w:val="24"/>
        </w:rPr>
        <w:t xml:space="preserve">5.kanona 1.punktā noteikts, </w:t>
      </w:r>
      <w:r w:rsidR="002818F8" w:rsidRPr="00F12BF3">
        <w:rPr>
          <w:rFonts w:ascii="Times New Roman" w:hAnsi="Times New Roman" w:cs="Times New Roman"/>
          <w:sz w:val="24"/>
          <w:szCs w:val="24"/>
        </w:rPr>
        <w:t>ka tiesnesis ir pakļauts pastāvīgai sabiedrības uzmanībai, tādēļ viņam jāpieņem tādi uzvedības ierobežojumi, kas jebkurai citai personai varētu šķist apgrūtinoši. Aizliegums neatbilstoši uzvesties attiecas gan uz tiesneša profesionālo darbību, gan uz privāto dzīvi.</w:t>
      </w:r>
    </w:p>
    <w:p w14:paraId="128760A6" w14:textId="6366EFDF" w:rsidR="00D25D32"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[6</w:t>
      </w:r>
      <w:r w:rsidR="00976F3A">
        <w:rPr>
          <w:rFonts w:ascii="Times New Roman" w:hAnsi="Times New Roman" w:cs="Times New Roman"/>
          <w:sz w:val="24"/>
          <w:szCs w:val="24"/>
        </w:rPr>
        <w:t xml:space="preserve">.5] Arī </w:t>
      </w:r>
      <w:r w:rsidR="00182C21">
        <w:rPr>
          <w:rFonts w:ascii="Times New Roman" w:hAnsi="Times New Roman" w:cs="Times New Roman"/>
          <w:sz w:val="24"/>
          <w:szCs w:val="24"/>
        </w:rPr>
        <w:t xml:space="preserve">ANO Ekonomisko un sociālo lietu padomes pieņemto – </w:t>
      </w:r>
      <w:r w:rsidR="00976F3A">
        <w:rPr>
          <w:rFonts w:ascii="Times New Roman" w:hAnsi="Times New Roman" w:cs="Times New Roman"/>
          <w:sz w:val="24"/>
          <w:szCs w:val="24"/>
        </w:rPr>
        <w:t>Tiesnešu uzvedība</w:t>
      </w:r>
      <w:r w:rsidR="00182C21">
        <w:rPr>
          <w:rFonts w:ascii="Times New Roman" w:hAnsi="Times New Roman" w:cs="Times New Roman"/>
          <w:sz w:val="24"/>
          <w:szCs w:val="24"/>
        </w:rPr>
        <w:t xml:space="preserve">s </w:t>
      </w:r>
      <w:proofErr w:type="spellStart"/>
      <w:r w:rsidR="00182C21">
        <w:rPr>
          <w:rFonts w:ascii="Times New Roman" w:hAnsi="Times New Roman" w:cs="Times New Roman"/>
          <w:sz w:val="24"/>
          <w:szCs w:val="24"/>
        </w:rPr>
        <w:t>Bangaloras</w:t>
      </w:r>
      <w:proofErr w:type="spellEnd"/>
      <w:r w:rsidR="00182C21">
        <w:rPr>
          <w:rFonts w:ascii="Times New Roman" w:hAnsi="Times New Roman" w:cs="Times New Roman"/>
          <w:sz w:val="24"/>
          <w:szCs w:val="24"/>
        </w:rPr>
        <w:t xml:space="preserve"> principu 2.2.punkts noteic tiesneša pienākumu nodrošināt</w:t>
      </w:r>
      <w:r w:rsidR="00976F3A">
        <w:rPr>
          <w:rFonts w:ascii="Times New Roman" w:hAnsi="Times New Roman" w:cs="Times New Roman"/>
          <w:sz w:val="24"/>
          <w:szCs w:val="24"/>
        </w:rPr>
        <w:t>, ka viņa rīcība – gan tiesā, gan ārpus tiesas – veicina un nostiprina sabiedrības, juristu un tiesvedības dalībnieku uzticēšanos tiesneša un tiesu sis</w:t>
      </w:r>
      <w:r w:rsidR="00182C21">
        <w:rPr>
          <w:rFonts w:ascii="Times New Roman" w:hAnsi="Times New Roman" w:cs="Times New Roman"/>
          <w:sz w:val="24"/>
          <w:szCs w:val="24"/>
        </w:rPr>
        <w:t>tēmas objektivitātei; 3.1.punkts noteic:</w:t>
      </w:r>
      <w:r w:rsidR="00976F3A">
        <w:rPr>
          <w:rFonts w:ascii="Times New Roman" w:hAnsi="Times New Roman" w:cs="Times New Roman"/>
          <w:sz w:val="24"/>
          <w:szCs w:val="24"/>
        </w:rPr>
        <w:t xml:space="preserve"> tiesnesis nodrošina, lai viņa rīcību sabiedrība vē</w:t>
      </w:r>
      <w:r w:rsidR="00182C21">
        <w:rPr>
          <w:rFonts w:ascii="Times New Roman" w:hAnsi="Times New Roman" w:cs="Times New Roman"/>
          <w:sz w:val="24"/>
          <w:szCs w:val="24"/>
        </w:rPr>
        <w:t xml:space="preserve">rtētu kā nevainojamu; 4.6.punkts noteic: </w:t>
      </w:r>
      <w:r w:rsidR="00976F3A">
        <w:rPr>
          <w:rFonts w:ascii="Times New Roman" w:hAnsi="Times New Roman" w:cs="Times New Roman"/>
          <w:sz w:val="24"/>
          <w:szCs w:val="24"/>
        </w:rPr>
        <w:t xml:space="preserve">tiesnesim tāpat kā visiem citiem pilsoņiem ir tiesības uz vārda, uzskatu, asociācijas un biedrošanās brīvību, taču, īstenojot šādas tiesības, tiesnesim vienmēr jārīkojas tā, lai neapkaunotu tiesneša amatu un aizsargātu tiesu varas objektivitāti un neatkarību. </w:t>
      </w:r>
    </w:p>
    <w:p w14:paraId="7F0D30B9" w14:textId="77777777" w:rsidR="008D7D2B" w:rsidRDefault="008D7D2B" w:rsidP="000F23EA">
      <w:pPr>
        <w:spacing w:after="0"/>
        <w:ind w:firstLine="720"/>
        <w:jc w:val="both"/>
        <w:rPr>
          <w:rFonts w:ascii="Times New Roman" w:hAnsi="Times New Roman" w:cs="Times New Roman"/>
          <w:sz w:val="24"/>
          <w:szCs w:val="24"/>
        </w:rPr>
      </w:pPr>
    </w:p>
    <w:p w14:paraId="6E936FA8" w14:textId="3E313053" w:rsidR="007150F5" w:rsidRDefault="00B61BC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DB03D5">
        <w:rPr>
          <w:rFonts w:ascii="Times New Roman" w:hAnsi="Times New Roman" w:cs="Times New Roman"/>
          <w:sz w:val="24"/>
          <w:szCs w:val="24"/>
        </w:rPr>
        <w:t>] Tiesnešu ētikas komisija, vērtējot tiesneses rīcību, konstatēja, ka tiesnese</w:t>
      </w:r>
      <w:r w:rsidR="00635B62">
        <w:rPr>
          <w:rFonts w:ascii="Times New Roman" w:hAnsi="Times New Roman" w:cs="Times New Roman"/>
          <w:sz w:val="24"/>
          <w:szCs w:val="24"/>
        </w:rPr>
        <w:t>,</w:t>
      </w:r>
      <w:r w:rsidR="00DB03D5">
        <w:rPr>
          <w:rFonts w:ascii="Times New Roman" w:hAnsi="Times New Roman" w:cs="Times New Roman"/>
          <w:sz w:val="24"/>
          <w:szCs w:val="24"/>
        </w:rPr>
        <w:t xml:space="preserve"> </w:t>
      </w:r>
      <w:r w:rsidR="007C3E67">
        <w:rPr>
          <w:rFonts w:ascii="Times New Roman" w:hAnsi="Times New Roman" w:cs="Times New Roman"/>
          <w:sz w:val="24"/>
          <w:szCs w:val="24"/>
        </w:rPr>
        <w:t xml:space="preserve">paužot savus uzskatus par topošo pieminekli, </w:t>
      </w:r>
      <w:r w:rsidR="00772BFA">
        <w:rPr>
          <w:rFonts w:ascii="Times New Roman" w:eastAsia="Arial Unicode MS" w:hAnsi="Times New Roman" w:cs="Times New Roman"/>
          <w:kern w:val="2"/>
          <w:sz w:val="24"/>
          <w:szCs w:val="24"/>
        </w:rPr>
        <w:t xml:space="preserve">sociālajā tīklā </w:t>
      </w:r>
      <w:proofErr w:type="spellStart"/>
      <w:r w:rsidR="00772BFA" w:rsidRPr="009E10A8">
        <w:rPr>
          <w:rFonts w:ascii="Times New Roman" w:eastAsia="Arial Unicode MS" w:hAnsi="Times New Roman" w:cs="Times New Roman"/>
          <w:i/>
          <w:kern w:val="2"/>
          <w:sz w:val="24"/>
          <w:szCs w:val="24"/>
        </w:rPr>
        <w:t>Facebook</w:t>
      </w:r>
      <w:proofErr w:type="spellEnd"/>
      <w:r w:rsidR="00772BFA" w:rsidRPr="009E10A8">
        <w:rPr>
          <w:rFonts w:ascii="Times New Roman" w:eastAsia="Arial Unicode MS" w:hAnsi="Times New Roman" w:cs="Times New Roman"/>
          <w:kern w:val="2"/>
          <w:sz w:val="24"/>
          <w:szCs w:val="24"/>
        </w:rPr>
        <w:t xml:space="preserve"> </w:t>
      </w:r>
      <w:r w:rsidR="007C3E67">
        <w:rPr>
          <w:rFonts w:ascii="Times New Roman" w:eastAsia="Arial Unicode MS" w:hAnsi="Times New Roman" w:cs="Times New Roman"/>
          <w:kern w:val="2"/>
          <w:sz w:val="24"/>
          <w:szCs w:val="24"/>
        </w:rPr>
        <w:t>publiski izteik</w:t>
      </w:r>
      <w:r w:rsidR="00771B6B">
        <w:rPr>
          <w:rFonts w:ascii="Times New Roman" w:eastAsia="Arial Unicode MS" w:hAnsi="Times New Roman" w:cs="Times New Roman"/>
          <w:kern w:val="2"/>
          <w:sz w:val="24"/>
          <w:szCs w:val="24"/>
        </w:rPr>
        <w:t>usi aizskarošus komentārus, tādē</w:t>
      </w:r>
      <w:r w:rsidR="007C3E67">
        <w:rPr>
          <w:rFonts w:ascii="Times New Roman" w:eastAsia="Arial Unicode MS" w:hAnsi="Times New Roman" w:cs="Times New Roman"/>
          <w:kern w:val="2"/>
          <w:sz w:val="24"/>
          <w:szCs w:val="24"/>
        </w:rPr>
        <w:t xml:space="preserve">jādi </w:t>
      </w:r>
      <w:r w:rsidR="007C3E67">
        <w:rPr>
          <w:rFonts w:ascii="Times New Roman" w:hAnsi="Times New Roman" w:cs="Times New Roman"/>
          <w:sz w:val="24"/>
          <w:szCs w:val="24"/>
        </w:rPr>
        <w:t>pārkāpjot</w:t>
      </w:r>
      <w:r w:rsidR="006470A1">
        <w:rPr>
          <w:rFonts w:ascii="Times New Roman" w:hAnsi="Times New Roman" w:cs="Times New Roman"/>
          <w:sz w:val="24"/>
          <w:szCs w:val="24"/>
        </w:rPr>
        <w:t xml:space="preserve"> ētikas normas</w:t>
      </w:r>
      <w:r w:rsidR="00DB03D5">
        <w:rPr>
          <w:rFonts w:ascii="Times New Roman" w:hAnsi="Times New Roman" w:cs="Times New Roman"/>
          <w:sz w:val="24"/>
          <w:szCs w:val="24"/>
        </w:rPr>
        <w:t xml:space="preserve">. </w:t>
      </w:r>
    </w:p>
    <w:p w14:paraId="0017B6B3" w14:textId="77777777" w:rsidR="008D7D2B" w:rsidRDefault="008D7D2B" w:rsidP="000F23EA">
      <w:pPr>
        <w:spacing w:after="0"/>
        <w:ind w:firstLine="720"/>
        <w:jc w:val="both"/>
        <w:rPr>
          <w:rFonts w:ascii="Times New Roman" w:hAnsi="Times New Roman" w:cs="Times New Roman"/>
          <w:sz w:val="24"/>
          <w:szCs w:val="24"/>
        </w:rPr>
      </w:pPr>
    </w:p>
    <w:p w14:paraId="292F7871" w14:textId="73CD60D9" w:rsidR="007150F5" w:rsidRDefault="007C3E67"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D7D2B">
        <w:rPr>
          <w:rFonts w:ascii="Times New Roman" w:hAnsi="Times New Roman" w:cs="Times New Roman"/>
          <w:sz w:val="24"/>
          <w:szCs w:val="24"/>
        </w:rPr>
        <w:t>8</w:t>
      </w:r>
      <w:r>
        <w:rPr>
          <w:rFonts w:ascii="Times New Roman" w:hAnsi="Times New Roman" w:cs="Times New Roman"/>
          <w:sz w:val="24"/>
          <w:szCs w:val="24"/>
        </w:rPr>
        <w:t xml:space="preserve">] </w:t>
      </w:r>
      <w:r w:rsidR="00635B62">
        <w:rPr>
          <w:rFonts w:ascii="Times New Roman" w:hAnsi="Times New Roman" w:cs="Times New Roman"/>
          <w:sz w:val="24"/>
          <w:szCs w:val="24"/>
        </w:rPr>
        <w:t xml:space="preserve">Tiesnesim </w:t>
      </w:r>
      <w:r w:rsidR="007150F5">
        <w:rPr>
          <w:rFonts w:ascii="Times New Roman" w:hAnsi="Times New Roman" w:cs="Times New Roman"/>
          <w:sz w:val="24"/>
          <w:szCs w:val="24"/>
        </w:rPr>
        <w:t>kā jebkuram sabiedrības loceklim ir tiesības uz vārda brīvību</w:t>
      </w:r>
      <w:r w:rsidR="003138A7">
        <w:rPr>
          <w:rFonts w:ascii="Times New Roman" w:hAnsi="Times New Roman" w:cs="Times New Roman"/>
          <w:sz w:val="24"/>
          <w:szCs w:val="24"/>
        </w:rPr>
        <w:t xml:space="preserve">, kas ietver tiesības uz saviem uzskatiem, tiesības iegūt un izplatīt informāciju, tiesības uz </w:t>
      </w:r>
      <w:r w:rsidR="007150F5">
        <w:rPr>
          <w:rFonts w:ascii="Times New Roman" w:hAnsi="Times New Roman" w:cs="Times New Roman"/>
          <w:sz w:val="24"/>
          <w:szCs w:val="24"/>
        </w:rPr>
        <w:t>sava atšķirīga viedokļa paušanu publiski, kritizējot kādu objektu, ideju, tēlu. Vie</w:t>
      </w:r>
      <w:r w:rsidR="0095760F">
        <w:rPr>
          <w:rFonts w:ascii="Times New Roman" w:hAnsi="Times New Roman" w:cs="Times New Roman"/>
          <w:sz w:val="24"/>
          <w:szCs w:val="24"/>
        </w:rPr>
        <w:t>dokļi sabiedrībā var atšķirties, t</w:t>
      </w:r>
      <w:r w:rsidR="00911BD5">
        <w:rPr>
          <w:rFonts w:ascii="Times New Roman" w:hAnsi="Times New Roman" w:cs="Times New Roman"/>
          <w:sz w:val="24"/>
          <w:szCs w:val="24"/>
        </w:rPr>
        <w:t>omēr kritikai jā</w:t>
      </w:r>
      <w:r w:rsidR="003138A7">
        <w:rPr>
          <w:rFonts w:ascii="Times New Roman" w:hAnsi="Times New Roman" w:cs="Times New Roman"/>
          <w:sz w:val="24"/>
          <w:szCs w:val="24"/>
        </w:rPr>
        <w:t xml:space="preserve">būt konstruktīvai un cieņpilnai, bez visatļautības, nepārbaudītiem apgalvojumiem par kādas politiskās partijas finanšu lietām. </w:t>
      </w:r>
      <w:r w:rsidR="0095760F">
        <w:rPr>
          <w:rFonts w:ascii="Times New Roman" w:hAnsi="Times New Roman" w:cs="Times New Roman"/>
          <w:sz w:val="24"/>
          <w:szCs w:val="24"/>
        </w:rPr>
        <w:t>Turklāt jebkuram tiesnesim jāpatur prātā tiesneša amatam piemītošie ierobežojumi paust savus uzskatus gadījumos, kad varētu tikt mazināta tiesu varas autoritāte.</w:t>
      </w:r>
    </w:p>
    <w:p w14:paraId="2CAE7D4B" w14:textId="77777777" w:rsidR="008D7D2B" w:rsidRDefault="008D7D2B" w:rsidP="000F23EA">
      <w:pPr>
        <w:spacing w:after="0"/>
        <w:ind w:firstLine="720"/>
        <w:jc w:val="both"/>
        <w:rPr>
          <w:rFonts w:ascii="Times New Roman" w:hAnsi="Times New Roman" w:cs="Times New Roman"/>
          <w:sz w:val="24"/>
          <w:szCs w:val="24"/>
        </w:rPr>
      </w:pPr>
    </w:p>
    <w:p w14:paraId="1D2C5CFF" w14:textId="29095D78" w:rsidR="00DB03D5" w:rsidRDefault="00911BD5"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D7D2B">
        <w:rPr>
          <w:rFonts w:ascii="Times New Roman" w:hAnsi="Times New Roman" w:cs="Times New Roman"/>
          <w:sz w:val="24"/>
          <w:szCs w:val="24"/>
        </w:rPr>
        <w:t>9</w:t>
      </w:r>
      <w:r>
        <w:rPr>
          <w:rFonts w:ascii="Times New Roman" w:hAnsi="Times New Roman" w:cs="Times New Roman"/>
          <w:sz w:val="24"/>
          <w:szCs w:val="24"/>
        </w:rPr>
        <w:t>]</w:t>
      </w:r>
      <w:r w:rsidR="00635B62">
        <w:rPr>
          <w:rFonts w:ascii="Times New Roman" w:hAnsi="Times New Roman" w:cs="Times New Roman"/>
          <w:sz w:val="24"/>
          <w:szCs w:val="24"/>
        </w:rPr>
        <w:t xml:space="preserve"> </w:t>
      </w:r>
      <w:r w:rsidR="004922D0">
        <w:rPr>
          <w:rFonts w:ascii="Times New Roman" w:hAnsi="Times New Roman" w:cs="Times New Roman"/>
          <w:sz w:val="24"/>
          <w:szCs w:val="24"/>
        </w:rPr>
        <w:t xml:space="preserve">Konkrētajā gadījumā </w:t>
      </w:r>
      <w:r w:rsidR="007C12D7">
        <w:rPr>
          <w:rFonts w:ascii="Times New Roman" w:hAnsi="Times New Roman" w:cs="Times New Roman"/>
          <w:sz w:val="24"/>
          <w:szCs w:val="24"/>
        </w:rPr>
        <w:t xml:space="preserve">Tiesnešu </w:t>
      </w:r>
      <w:r w:rsidR="004922D0">
        <w:rPr>
          <w:rFonts w:ascii="Times New Roman" w:hAnsi="Times New Roman" w:cs="Times New Roman"/>
          <w:sz w:val="24"/>
          <w:szCs w:val="24"/>
        </w:rPr>
        <w:t>ētikas komisija uzskata, ka t</w:t>
      </w:r>
      <w:r w:rsidR="00635B62">
        <w:rPr>
          <w:rFonts w:ascii="Times New Roman" w:hAnsi="Times New Roman" w:cs="Times New Roman"/>
          <w:sz w:val="24"/>
          <w:szCs w:val="24"/>
        </w:rPr>
        <w:t xml:space="preserve">iesneses komentāri neatbilst cieņpilnai un neitrālai attieksmei. </w:t>
      </w:r>
      <w:r w:rsidR="00BB4843">
        <w:rPr>
          <w:rFonts w:ascii="Times New Roman" w:hAnsi="Times New Roman" w:cs="Times New Roman"/>
          <w:sz w:val="24"/>
          <w:szCs w:val="24"/>
        </w:rPr>
        <w:t xml:space="preserve">No </w:t>
      </w:r>
      <w:r w:rsidR="00C66F5E">
        <w:rPr>
          <w:rFonts w:ascii="Times New Roman" w:hAnsi="Times New Roman" w:cs="Times New Roman"/>
          <w:sz w:val="24"/>
          <w:szCs w:val="24"/>
        </w:rPr>
        <w:t>t</w:t>
      </w:r>
      <w:r w:rsidR="00635B62">
        <w:rPr>
          <w:rFonts w:ascii="Times New Roman" w:hAnsi="Times New Roman" w:cs="Times New Roman"/>
          <w:sz w:val="24"/>
          <w:szCs w:val="24"/>
        </w:rPr>
        <w:t>iesnese</w:t>
      </w:r>
      <w:r w:rsidR="00C66F5E">
        <w:rPr>
          <w:rFonts w:ascii="Times New Roman" w:hAnsi="Times New Roman" w:cs="Times New Roman"/>
          <w:sz w:val="24"/>
          <w:szCs w:val="24"/>
        </w:rPr>
        <w:t>s izteicieniem secināms, ka viņa</w:t>
      </w:r>
      <w:r w:rsidR="00635B62">
        <w:rPr>
          <w:rFonts w:ascii="Times New Roman" w:hAnsi="Times New Roman" w:cs="Times New Roman"/>
          <w:sz w:val="24"/>
          <w:szCs w:val="24"/>
        </w:rPr>
        <w:t xml:space="preserve"> izteikusi</w:t>
      </w:r>
      <w:r w:rsidR="00DB03D5">
        <w:rPr>
          <w:rFonts w:ascii="Times New Roman" w:hAnsi="Times New Roman" w:cs="Times New Roman"/>
          <w:sz w:val="24"/>
          <w:szCs w:val="24"/>
        </w:rPr>
        <w:t xml:space="preserve"> </w:t>
      </w:r>
      <w:r w:rsidR="00453523">
        <w:rPr>
          <w:rFonts w:ascii="Times New Roman" w:hAnsi="Times New Roman" w:cs="Times New Roman"/>
          <w:sz w:val="24"/>
          <w:szCs w:val="24"/>
        </w:rPr>
        <w:t xml:space="preserve">viedokli </w:t>
      </w:r>
      <w:r w:rsidR="00DB03D5">
        <w:rPr>
          <w:rFonts w:ascii="Times New Roman" w:hAnsi="Times New Roman" w:cs="Times New Roman"/>
          <w:sz w:val="24"/>
          <w:szCs w:val="24"/>
        </w:rPr>
        <w:t xml:space="preserve">nevis par topošā pieminekļa </w:t>
      </w:r>
      <w:r w:rsidR="008B64F1">
        <w:rPr>
          <w:rFonts w:ascii="Times New Roman" w:hAnsi="Times New Roman" w:cs="Times New Roman"/>
          <w:sz w:val="24"/>
          <w:szCs w:val="24"/>
        </w:rPr>
        <w:t xml:space="preserve">formu </w:t>
      </w:r>
      <w:r w:rsidR="00DB03D5">
        <w:rPr>
          <w:rFonts w:ascii="Times New Roman" w:hAnsi="Times New Roman" w:cs="Times New Roman"/>
          <w:sz w:val="24"/>
          <w:szCs w:val="24"/>
        </w:rPr>
        <w:t xml:space="preserve">un atrašanās vietu, bet </w:t>
      </w:r>
      <w:r w:rsidR="004922D0">
        <w:rPr>
          <w:rFonts w:ascii="Times New Roman" w:hAnsi="Times New Roman" w:cs="Times New Roman"/>
          <w:sz w:val="24"/>
          <w:szCs w:val="24"/>
        </w:rPr>
        <w:t xml:space="preserve">paudusi savus uzskatus </w:t>
      </w:r>
      <w:r w:rsidR="00B915B5">
        <w:rPr>
          <w:rFonts w:ascii="Times New Roman" w:hAnsi="Times New Roman" w:cs="Times New Roman"/>
          <w:sz w:val="24"/>
          <w:szCs w:val="24"/>
        </w:rPr>
        <w:t xml:space="preserve">par </w:t>
      </w:r>
      <w:r w:rsidR="00DB03D5">
        <w:rPr>
          <w:rFonts w:ascii="Times New Roman" w:hAnsi="Times New Roman" w:cs="Times New Roman"/>
          <w:sz w:val="24"/>
          <w:szCs w:val="24"/>
        </w:rPr>
        <w:t>pie</w:t>
      </w:r>
      <w:r w:rsidR="00B915B5">
        <w:rPr>
          <w:rFonts w:ascii="Times New Roman" w:hAnsi="Times New Roman" w:cs="Times New Roman"/>
          <w:sz w:val="24"/>
          <w:szCs w:val="24"/>
        </w:rPr>
        <w:t>minekļa veidošanas nolūkiem.</w:t>
      </w:r>
      <w:r w:rsidR="00DB03D5">
        <w:rPr>
          <w:rFonts w:ascii="Times New Roman" w:hAnsi="Times New Roman" w:cs="Times New Roman"/>
          <w:sz w:val="24"/>
          <w:szCs w:val="24"/>
        </w:rPr>
        <w:t xml:space="preserve"> </w:t>
      </w:r>
      <w:r w:rsidR="007C12D7">
        <w:rPr>
          <w:rFonts w:ascii="Times New Roman" w:hAnsi="Times New Roman" w:cs="Times New Roman"/>
          <w:sz w:val="24"/>
          <w:szCs w:val="24"/>
        </w:rPr>
        <w:t>Tiesnešu ē</w:t>
      </w:r>
      <w:r w:rsidR="006410B3">
        <w:rPr>
          <w:rFonts w:ascii="Times New Roman" w:hAnsi="Times New Roman" w:cs="Times New Roman"/>
          <w:sz w:val="24"/>
          <w:szCs w:val="24"/>
        </w:rPr>
        <w:t>tikas komisijas ieskatā v</w:t>
      </w:r>
      <w:r w:rsidR="00635B62">
        <w:rPr>
          <w:rFonts w:ascii="Times New Roman" w:hAnsi="Times New Roman" w:cs="Times New Roman"/>
          <w:sz w:val="24"/>
          <w:szCs w:val="24"/>
        </w:rPr>
        <w:t xml:space="preserve">iedoklis izteikts aizskarošā veidā, </w:t>
      </w:r>
      <w:r w:rsidR="006410B3">
        <w:rPr>
          <w:rFonts w:ascii="Times New Roman" w:hAnsi="Times New Roman" w:cs="Times New Roman"/>
          <w:sz w:val="24"/>
          <w:szCs w:val="24"/>
        </w:rPr>
        <w:t xml:space="preserve">jo </w:t>
      </w:r>
      <w:r w:rsidR="00791BA6">
        <w:rPr>
          <w:rFonts w:ascii="Times New Roman" w:hAnsi="Times New Roman" w:cs="Times New Roman"/>
          <w:sz w:val="24"/>
          <w:szCs w:val="24"/>
        </w:rPr>
        <w:t xml:space="preserve">tajā paustas aizdomas </w:t>
      </w:r>
      <w:r w:rsidR="00635B62">
        <w:rPr>
          <w:rFonts w:ascii="Times New Roman" w:hAnsi="Times New Roman" w:cs="Times New Roman"/>
          <w:sz w:val="24"/>
          <w:szCs w:val="24"/>
        </w:rPr>
        <w:t>par pieminekļa veidošanas un uzstādīšanas iniciatoru savtīgiem nolūkiem</w:t>
      </w:r>
      <w:r w:rsidR="00715EBC">
        <w:rPr>
          <w:rFonts w:ascii="Times New Roman" w:hAnsi="Times New Roman" w:cs="Times New Roman"/>
          <w:sz w:val="24"/>
          <w:szCs w:val="24"/>
        </w:rPr>
        <w:t>,</w:t>
      </w:r>
      <w:r w:rsidR="00BE786B">
        <w:rPr>
          <w:rFonts w:ascii="Times New Roman" w:hAnsi="Times New Roman" w:cs="Times New Roman"/>
          <w:sz w:val="24"/>
          <w:szCs w:val="24"/>
        </w:rPr>
        <w:t xml:space="preserve"> un </w:t>
      </w:r>
      <w:r w:rsidR="00791BA6">
        <w:rPr>
          <w:rFonts w:ascii="Times New Roman" w:hAnsi="Times New Roman" w:cs="Times New Roman"/>
          <w:sz w:val="24"/>
          <w:szCs w:val="24"/>
        </w:rPr>
        <w:t>secināma tiesneses attieksme</w:t>
      </w:r>
      <w:r w:rsidR="00BE786B">
        <w:rPr>
          <w:rFonts w:ascii="Times New Roman" w:hAnsi="Times New Roman" w:cs="Times New Roman"/>
          <w:sz w:val="24"/>
          <w:szCs w:val="24"/>
        </w:rPr>
        <w:t xml:space="preserve"> pret </w:t>
      </w:r>
      <w:r w:rsidR="003417A9">
        <w:rPr>
          <w:rFonts w:ascii="Times New Roman" w:hAnsi="Times New Roman" w:cs="Times New Roman"/>
          <w:sz w:val="24"/>
          <w:szCs w:val="24"/>
        </w:rPr>
        <w:t xml:space="preserve">politisko </w:t>
      </w:r>
      <w:r w:rsidR="00BE786B">
        <w:rPr>
          <w:rFonts w:ascii="Times New Roman" w:hAnsi="Times New Roman" w:cs="Times New Roman"/>
          <w:sz w:val="24"/>
          <w:szCs w:val="24"/>
        </w:rPr>
        <w:t xml:space="preserve">partiju, kas </w:t>
      </w:r>
      <w:r w:rsidR="00BE786B">
        <w:rPr>
          <w:rFonts w:ascii="Times New Roman" w:hAnsi="Times New Roman" w:cs="Times New Roman"/>
          <w:sz w:val="24"/>
          <w:szCs w:val="24"/>
        </w:rPr>
        <w:lastRenderedPageBreak/>
        <w:t>ierosinājusi/atbal</w:t>
      </w:r>
      <w:r w:rsidR="00C771FE">
        <w:rPr>
          <w:rFonts w:ascii="Times New Roman" w:hAnsi="Times New Roman" w:cs="Times New Roman"/>
          <w:sz w:val="24"/>
          <w:szCs w:val="24"/>
        </w:rPr>
        <w:t xml:space="preserve">stījusi šāda pieminekļa izveidi, par ko liecina komentāri: “Vēlēšanas tuvojas, partijas kases jāpilda un visvisādi </w:t>
      </w:r>
      <w:proofErr w:type="spellStart"/>
      <w:r w:rsidR="0078624B">
        <w:rPr>
          <w:rFonts w:ascii="Times New Roman" w:hAnsi="Times New Roman" w:cs="Times New Roman"/>
          <w:i/>
          <w:sz w:val="24"/>
          <w:szCs w:val="24"/>
        </w:rPr>
        <w:t>jāiznesā</w:t>
      </w:r>
      <w:r w:rsidR="00C771FE" w:rsidRPr="00C05EE9">
        <w:rPr>
          <w:rFonts w:ascii="Times New Roman" w:hAnsi="Times New Roman" w:cs="Times New Roman"/>
          <w:i/>
          <w:sz w:val="24"/>
          <w:szCs w:val="24"/>
        </w:rPr>
        <w:t>s</w:t>
      </w:r>
      <w:proofErr w:type="spellEnd"/>
      <w:r w:rsidR="00C771FE">
        <w:rPr>
          <w:rFonts w:ascii="Times New Roman" w:hAnsi="Times New Roman" w:cs="Times New Roman"/>
          <w:sz w:val="24"/>
          <w:szCs w:val="24"/>
        </w:rPr>
        <w:t xml:space="preserve"> potenciālo vēlētāju priekšā”.</w:t>
      </w:r>
    </w:p>
    <w:p w14:paraId="74601B77" w14:textId="77777777" w:rsidR="008D7D2B" w:rsidRDefault="008D7D2B" w:rsidP="000F23EA">
      <w:pPr>
        <w:spacing w:after="0"/>
        <w:ind w:firstLine="720"/>
        <w:jc w:val="both"/>
        <w:rPr>
          <w:rFonts w:ascii="Times New Roman" w:hAnsi="Times New Roman" w:cs="Times New Roman"/>
          <w:sz w:val="24"/>
          <w:szCs w:val="24"/>
        </w:rPr>
      </w:pPr>
    </w:p>
    <w:p w14:paraId="49F8633A" w14:textId="67538927" w:rsidR="00457656" w:rsidRDefault="00911BD5"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D7D2B">
        <w:rPr>
          <w:rFonts w:ascii="Times New Roman" w:hAnsi="Times New Roman" w:cs="Times New Roman"/>
          <w:sz w:val="24"/>
          <w:szCs w:val="24"/>
        </w:rPr>
        <w:t>10</w:t>
      </w:r>
      <w:r>
        <w:rPr>
          <w:rFonts w:ascii="Times New Roman" w:hAnsi="Times New Roman" w:cs="Times New Roman"/>
          <w:sz w:val="24"/>
          <w:szCs w:val="24"/>
        </w:rPr>
        <w:t xml:space="preserve">] </w:t>
      </w:r>
      <w:r w:rsidR="00457656">
        <w:rPr>
          <w:rFonts w:ascii="Times New Roman" w:hAnsi="Times New Roman" w:cs="Times New Roman"/>
          <w:sz w:val="24"/>
          <w:szCs w:val="24"/>
        </w:rPr>
        <w:t xml:space="preserve">No tiesnešu ētikas normām un uzvedības principiem izriet, ka tiesnešu </w:t>
      </w:r>
      <w:r w:rsidR="003826BD">
        <w:rPr>
          <w:rFonts w:ascii="Times New Roman" w:hAnsi="Times New Roman" w:cs="Times New Roman"/>
          <w:sz w:val="24"/>
          <w:szCs w:val="24"/>
        </w:rPr>
        <w:t xml:space="preserve">ētiskajai </w:t>
      </w:r>
      <w:r w:rsidR="00960A7C">
        <w:rPr>
          <w:rFonts w:ascii="Times New Roman" w:hAnsi="Times New Roman" w:cs="Times New Roman"/>
          <w:sz w:val="24"/>
          <w:szCs w:val="24"/>
        </w:rPr>
        <w:t>uzvedībai</w:t>
      </w:r>
      <w:r w:rsidR="00457656">
        <w:rPr>
          <w:rFonts w:ascii="Times New Roman" w:hAnsi="Times New Roman" w:cs="Times New Roman"/>
          <w:sz w:val="24"/>
          <w:szCs w:val="24"/>
        </w:rPr>
        <w:t xml:space="preserve"> ir izvirzītas augstākas prasības, ne</w:t>
      </w:r>
      <w:r w:rsidR="00A11D6F">
        <w:rPr>
          <w:rFonts w:ascii="Times New Roman" w:hAnsi="Times New Roman" w:cs="Times New Roman"/>
          <w:sz w:val="24"/>
          <w:szCs w:val="24"/>
        </w:rPr>
        <w:t>kā citiem sabiedrības locekļiem.</w:t>
      </w:r>
      <w:r w:rsidR="00235C82">
        <w:rPr>
          <w:rFonts w:ascii="Times New Roman" w:hAnsi="Times New Roman" w:cs="Times New Roman"/>
          <w:sz w:val="24"/>
          <w:szCs w:val="24"/>
        </w:rPr>
        <w:t xml:space="preserve"> Jāatceras</w:t>
      </w:r>
      <w:r w:rsidR="00A11D6F">
        <w:rPr>
          <w:rFonts w:ascii="Times New Roman" w:hAnsi="Times New Roman" w:cs="Times New Roman"/>
          <w:sz w:val="24"/>
          <w:szCs w:val="24"/>
        </w:rPr>
        <w:t>,</w:t>
      </w:r>
      <w:r w:rsidR="00457656">
        <w:rPr>
          <w:rFonts w:ascii="Times New Roman" w:hAnsi="Times New Roman" w:cs="Times New Roman"/>
          <w:sz w:val="24"/>
          <w:szCs w:val="24"/>
        </w:rPr>
        <w:t xml:space="preserve"> ka sabiedrība arī pēc viena konkrēta tiesneša rīcības vērtē tiesu varu kopumā.</w:t>
      </w:r>
    </w:p>
    <w:p w14:paraId="59037193" w14:textId="331CA3BC" w:rsidR="003824AB" w:rsidRDefault="003824AB"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Tiesnesei, ņemot vērā amatam izvirzītās augstās ētikas prasības, bija jāparedz sekas, kā</w:t>
      </w:r>
      <w:r w:rsidR="005D3C3A">
        <w:rPr>
          <w:rFonts w:ascii="Times New Roman" w:hAnsi="Times New Roman" w:cs="Times New Roman"/>
          <w:sz w:val="24"/>
          <w:szCs w:val="24"/>
        </w:rPr>
        <w:t>das var</w:t>
      </w:r>
      <w:r w:rsidR="00CF5DE9">
        <w:rPr>
          <w:rFonts w:ascii="Times New Roman" w:hAnsi="Times New Roman" w:cs="Times New Roman"/>
          <w:sz w:val="24"/>
          <w:szCs w:val="24"/>
        </w:rPr>
        <w:t>ētu</w:t>
      </w:r>
      <w:r w:rsidR="005D3C3A">
        <w:rPr>
          <w:rFonts w:ascii="Times New Roman" w:hAnsi="Times New Roman" w:cs="Times New Roman"/>
          <w:sz w:val="24"/>
          <w:szCs w:val="24"/>
        </w:rPr>
        <w:t xml:space="preserve"> radīt viņas publiski izteiktie, bet neargumentētie komentāri,</w:t>
      </w:r>
      <w:r>
        <w:rPr>
          <w:rFonts w:ascii="Times New Roman" w:hAnsi="Times New Roman" w:cs="Times New Roman"/>
          <w:sz w:val="24"/>
          <w:szCs w:val="24"/>
        </w:rPr>
        <w:t xml:space="preserve"> minot</w:t>
      </w:r>
      <w:r w:rsidR="001B7B2B">
        <w:rPr>
          <w:rFonts w:ascii="Times New Roman" w:hAnsi="Times New Roman" w:cs="Times New Roman"/>
          <w:sz w:val="24"/>
          <w:szCs w:val="24"/>
        </w:rPr>
        <w:t xml:space="preserve"> izteicienus:</w:t>
      </w:r>
      <w:r>
        <w:rPr>
          <w:rFonts w:ascii="Times New Roman" w:hAnsi="Times New Roman" w:cs="Times New Roman"/>
          <w:sz w:val="24"/>
          <w:szCs w:val="24"/>
        </w:rPr>
        <w:t xml:space="preserve"> “valsts naudas iz</w:t>
      </w:r>
      <w:r w:rsidR="001B7B2B">
        <w:rPr>
          <w:rFonts w:ascii="Times New Roman" w:hAnsi="Times New Roman" w:cs="Times New Roman"/>
          <w:sz w:val="24"/>
          <w:szCs w:val="24"/>
        </w:rPr>
        <w:t>zagšana</w:t>
      </w:r>
      <w:r>
        <w:rPr>
          <w:rFonts w:ascii="Times New Roman" w:hAnsi="Times New Roman" w:cs="Times New Roman"/>
          <w:sz w:val="24"/>
          <w:szCs w:val="24"/>
        </w:rPr>
        <w:t>”, “</w:t>
      </w:r>
      <w:r w:rsidR="001B7B2B">
        <w:rPr>
          <w:rFonts w:ascii="Times New Roman" w:hAnsi="Times New Roman" w:cs="Times New Roman"/>
          <w:sz w:val="24"/>
          <w:szCs w:val="24"/>
        </w:rPr>
        <w:t>naudas apgūšana</w:t>
      </w:r>
      <w:r>
        <w:rPr>
          <w:rFonts w:ascii="Times New Roman" w:hAnsi="Times New Roman" w:cs="Times New Roman"/>
          <w:sz w:val="24"/>
          <w:szCs w:val="24"/>
        </w:rPr>
        <w:t>”, “</w:t>
      </w:r>
      <w:r w:rsidR="001B7B2B">
        <w:rPr>
          <w:rFonts w:ascii="Times New Roman" w:hAnsi="Times New Roman" w:cs="Times New Roman"/>
          <w:sz w:val="24"/>
          <w:szCs w:val="24"/>
        </w:rPr>
        <w:t>partijas kases pildīšana</w:t>
      </w:r>
      <w:r>
        <w:rPr>
          <w:rFonts w:ascii="Times New Roman" w:hAnsi="Times New Roman" w:cs="Times New Roman"/>
          <w:sz w:val="24"/>
          <w:szCs w:val="24"/>
        </w:rPr>
        <w:t>”.</w:t>
      </w:r>
      <w:r w:rsidR="00FF716A">
        <w:rPr>
          <w:rFonts w:ascii="Times New Roman" w:hAnsi="Times New Roman" w:cs="Times New Roman"/>
          <w:sz w:val="24"/>
          <w:szCs w:val="24"/>
        </w:rPr>
        <w:t xml:space="preserve"> </w:t>
      </w:r>
    </w:p>
    <w:p w14:paraId="7428F582" w14:textId="77777777" w:rsidR="00893CE6" w:rsidRDefault="00C60818"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Neatkarīga un objektīva tiesa ir ti</w:t>
      </w:r>
      <w:r w:rsidR="00F03051">
        <w:rPr>
          <w:rFonts w:ascii="Times New Roman" w:hAnsi="Times New Roman" w:cs="Times New Roman"/>
          <w:sz w:val="24"/>
          <w:szCs w:val="24"/>
        </w:rPr>
        <w:t>esiskas valsts būtisks elements. T</w:t>
      </w:r>
      <w:r>
        <w:rPr>
          <w:rFonts w:ascii="Times New Roman" w:hAnsi="Times New Roman" w:cs="Times New Roman"/>
          <w:sz w:val="24"/>
          <w:szCs w:val="24"/>
        </w:rPr>
        <w:t>iesu vara sekmīgi var darboties tikai tad, j</w:t>
      </w:r>
      <w:r w:rsidR="00F03051">
        <w:rPr>
          <w:rFonts w:ascii="Times New Roman" w:hAnsi="Times New Roman" w:cs="Times New Roman"/>
          <w:sz w:val="24"/>
          <w:szCs w:val="24"/>
        </w:rPr>
        <w:t>a tā bauda sabiedrības uzticību, un sekmīgas tiesu darbības pamat</w:t>
      </w:r>
      <w:r w:rsidR="00716982">
        <w:rPr>
          <w:rFonts w:ascii="Times New Roman" w:hAnsi="Times New Roman" w:cs="Times New Roman"/>
          <w:sz w:val="24"/>
          <w:szCs w:val="24"/>
        </w:rPr>
        <w:t>ā cita starpā ir arī attiecības</w:t>
      </w:r>
      <w:r w:rsidR="00F03051">
        <w:rPr>
          <w:rFonts w:ascii="Times New Roman" w:hAnsi="Times New Roman" w:cs="Times New Roman"/>
          <w:sz w:val="24"/>
          <w:szCs w:val="24"/>
        </w:rPr>
        <w:t>, kas balst</w:t>
      </w:r>
      <w:r w:rsidR="00716982">
        <w:rPr>
          <w:rFonts w:ascii="Times New Roman" w:hAnsi="Times New Roman" w:cs="Times New Roman"/>
          <w:sz w:val="24"/>
          <w:szCs w:val="24"/>
        </w:rPr>
        <w:t>ī</w:t>
      </w:r>
      <w:r w:rsidR="00F03051">
        <w:rPr>
          <w:rFonts w:ascii="Times New Roman" w:hAnsi="Times New Roman" w:cs="Times New Roman"/>
          <w:sz w:val="24"/>
          <w:szCs w:val="24"/>
        </w:rPr>
        <w:t>tas uz cieņu starp</w:t>
      </w:r>
      <w:r w:rsidR="0021599F">
        <w:rPr>
          <w:rFonts w:ascii="Times New Roman" w:hAnsi="Times New Roman" w:cs="Times New Roman"/>
          <w:sz w:val="24"/>
          <w:szCs w:val="24"/>
        </w:rPr>
        <w:t xml:space="preserve"> tiesu varu un izpildvaru. </w:t>
      </w:r>
      <w:r>
        <w:rPr>
          <w:rFonts w:ascii="Times New Roman" w:hAnsi="Times New Roman" w:cs="Times New Roman"/>
          <w:sz w:val="24"/>
          <w:szCs w:val="24"/>
        </w:rPr>
        <w:t xml:space="preserve">Uzticēšanos tiesu varai ietekmē katra tiesneša rīcība. </w:t>
      </w:r>
      <w:r w:rsidR="0064670D">
        <w:rPr>
          <w:rFonts w:ascii="Times New Roman" w:hAnsi="Times New Roman" w:cs="Times New Roman"/>
          <w:sz w:val="24"/>
          <w:szCs w:val="24"/>
        </w:rPr>
        <w:t>K</w:t>
      </w:r>
      <w:r w:rsidR="00457656">
        <w:rPr>
          <w:rFonts w:ascii="Times New Roman" w:hAnsi="Times New Roman" w:cs="Times New Roman"/>
          <w:sz w:val="24"/>
          <w:szCs w:val="24"/>
        </w:rPr>
        <w:t xml:space="preserve">omentējot </w:t>
      </w:r>
      <w:r w:rsidR="009F182E">
        <w:rPr>
          <w:rFonts w:ascii="Times New Roman" w:hAnsi="Times New Roman" w:cs="Times New Roman"/>
          <w:sz w:val="24"/>
          <w:szCs w:val="24"/>
        </w:rPr>
        <w:t xml:space="preserve">brīvības cīnītāja Gunāra Astras topošā pieminekļa izstrādes procesu pie </w:t>
      </w:r>
      <w:r w:rsidR="00716982">
        <w:rPr>
          <w:rFonts w:ascii="Times New Roman" w:hAnsi="Times New Roman" w:cs="Times New Roman"/>
          <w:sz w:val="24"/>
          <w:szCs w:val="24"/>
        </w:rPr>
        <w:t xml:space="preserve">tiesas </w:t>
      </w:r>
      <w:r w:rsidR="009F182E">
        <w:rPr>
          <w:rFonts w:ascii="Times New Roman" w:hAnsi="Times New Roman" w:cs="Times New Roman"/>
          <w:sz w:val="24"/>
          <w:szCs w:val="24"/>
        </w:rPr>
        <w:t xml:space="preserve">ēkas, </w:t>
      </w:r>
      <w:r w:rsidR="00954406">
        <w:rPr>
          <w:rFonts w:ascii="Times New Roman" w:hAnsi="Times New Roman" w:cs="Times New Roman"/>
          <w:sz w:val="24"/>
          <w:szCs w:val="24"/>
        </w:rPr>
        <w:t xml:space="preserve">tiesnese </w:t>
      </w:r>
      <w:r w:rsidR="00235C82">
        <w:rPr>
          <w:rFonts w:ascii="Times New Roman" w:hAnsi="Times New Roman" w:cs="Times New Roman"/>
          <w:sz w:val="24"/>
          <w:szCs w:val="24"/>
        </w:rPr>
        <w:t xml:space="preserve">ļauj </w:t>
      </w:r>
      <w:r w:rsidR="00CD0E3C">
        <w:rPr>
          <w:rFonts w:ascii="Times New Roman" w:hAnsi="Times New Roman" w:cs="Times New Roman"/>
          <w:sz w:val="24"/>
          <w:szCs w:val="24"/>
        </w:rPr>
        <w:t xml:space="preserve">nojaust, ka </w:t>
      </w:r>
      <w:r w:rsidR="00954406">
        <w:rPr>
          <w:rFonts w:ascii="Times New Roman" w:hAnsi="Times New Roman" w:cs="Times New Roman"/>
          <w:sz w:val="24"/>
          <w:szCs w:val="24"/>
        </w:rPr>
        <w:t xml:space="preserve">viņai </w:t>
      </w:r>
      <w:r w:rsidR="00CD0E3C">
        <w:rPr>
          <w:rFonts w:ascii="Times New Roman" w:hAnsi="Times New Roman" w:cs="Times New Roman"/>
          <w:sz w:val="24"/>
          <w:szCs w:val="24"/>
        </w:rPr>
        <w:t>ir zināmi fa</w:t>
      </w:r>
      <w:r w:rsidR="00954406">
        <w:rPr>
          <w:rFonts w:ascii="Times New Roman" w:hAnsi="Times New Roman" w:cs="Times New Roman"/>
          <w:sz w:val="24"/>
          <w:szCs w:val="24"/>
        </w:rPr>
        <w:t>kti par valsts naudas izzagšanu.</w:t>
      </w:r>
      <w:r w:rsidR="005226A8">
        <w:rPr>
          <w:rFonts w:ascii="Times New Roman" w:hAnsi="Times New Roman" w:cs="Times New Roman"/>
          <w:sz w:val="24"/>
          <w:szCs w:val="24"/>
        </w:rPr>
        <w:t xml:space="preserve"> </w:t>
      </w:r>
      <w:r w:rsidR="00936461">
        <w:rPr>
          <w:rFonts w:ascii="Times New Roman" w:hAnsi="Times New Roman" w:cs="Times New Roman"/>
          <w:sz w:val="24"/>
          <w:szCs w:val="24"/>
        </w:rPr>
        <w:t xml:space="preserve">Tiesnešu ētikas komisijas ieskatā tiesneses rīcība, </w:t>
      </w:r>
      <w:r w:rsidR="005226A8">
        <w:rPr>
          <w:rFonts w:ascii="Times New Roman" w:hAnsi="Times New Roman" w:cs="Times New Roman"/>
          <w:sz w:val="24"/>
          <w:szCs w:val="24"/>
        </w:rPr>
        <w:t xml:space="preserve">nevēršoties ar šo informāciju kompetentās tiesību aizsardzības iestādēs, bet izsakot vispārīgas frāzes, </w:t>
      </w:r>
      <w:r>
        <w:rPr>
          <w:rFonts w:ascii="Times New Roman" w:hAnsi="Times New Roman" w:cs="Times New Roman"/>
          <w:sz w:val="24"/>
          <w:szCs w:val="24"/>
        </w:rPr>
        <w:t xml:space="preserve">neveicina </w:t>
      </w:r>
      <w:r w:rsidR="004E0E45">
        <w:rPr>
          <w:rFonts w:ascii="Times New Roman" w:hAnsi="Times New Roman" w:cs="Times New Roman"/>
          <w:sz w:val="24"/>
          <w:szCs w:val="24"/>
        </w:rPr>
        <w:t xml:space="preserve">sabiedrības uzticēšanos </w:t>
      </w:r>
      <w:r w:rsidR="00B71F01">
        <w:rPr>
          <w:rFonts w:ascii="Times New Roman" w:hAnsi="Times New Roman" w:cs="Times New Roman"/>
          <w:sz w:val="24"/>
          <w:szCs w:val="24"/>
        </w:rPr>
        <w:t>t</w:t>
      </w:r>
      <w:r>
        <w:rPr>
          <w:rFonts w:ascii="Times New Roman" w:hAnsi="Times New Roman" w:cs="Times New Roman"/>
          <w:sz w:val="24"/>
          <w:szCs w:val="24"/>
        </w:rPr>
        <w:t xml:space="preserve">iesu varai. </w:t>
      </w:r>
      <w:r w:rsidR="00820D91">
        <w:rPr>
          <w:rFonts w:ascii="Times New Roman" w:hAnsi="Times New Roman" w:cs="Times New Roman"/>
          <w:sz w:val="24"/>
          <w:szCs w:val="24"/>
        </w:rPr>
        <w:t xml:space="preserve">Tiesneses neargumentētie izteicieni </w:t>
      </w:r>
      <w:r w:rsidR="00235C82">
        <w:rPr>
          <w:rFonts w:ascii="Times New Roman" w:hAnsi="Times New Roman" w:cs="Times New Roman"/>
          <w:sz w:val="24"/>
          <w:szCs w:val="24"/>
        </w:rPr>
        <w:t xml:space="preserve">vērtējami kā </w:t>
      </w:r>
      <w:r w:rsidR="00820D91">
        <w:rPr>
          <w:rFonts w:ascii="Times New Roman" w:hAnsi="Times New Roman" w:cs="Times New Roman"/>
          <w:sz w:val="24"/>
          <w:szCs w:val="24"/>
        </w:rPr>
        <w:t xml:space="preserve">aizskaroši un </w:t>
      </w:r>
      <w:r w:rsidR="00235C82">
        <w:rPr>
          <w:rFonts w:ascii="Times New Roman" w:hAnsi="Times New Roman" w:cs="Times New Roman"/>
          <w:sz w:val="24"/>
          <w:szCs w:val="24"/>
        </w:rPr>
        <w:t xml:space="preserve">ir pārsniegta robeža </w:t>
      </w:r>
      <w:r w:rsidR="00820D91">
        <w:rPr>
          <w:rFonts w:ascii="Times New Roman" w:hAnsi="Times New Roman" w:cs="Times New Roman"/>
          <w:sz w:val="24"/>
          <w:szCs w:val="24"/>
        </w:rPr>
        <w:t xml:space="preserve">starp viedokļa </w:t>
      </w:r>
      <w:r w:rsidR="00235C82">
        <w:rPr>
          <w:rFonts w:ascii="Times New Roman" w:hAnsi="Times New Roman" w:cs="Times New Roman"/>
          <w:sz w:val="24"/>
          <w:szCs w:val="24"/>
        </w:rPr>
        <w:t xml:space="preserve">paušanu </w:t>
      </w:r>
      <w:r w:rsidR="00820D91">
        <w:rPr>
          <w:rFonts w:ascii="Times New Roman" w:hAnsi="Times New Roman" w:cs="Times New Roman"/>
          <w:sz w:val="24"/>
          <w:szCs w:val="24"/>
        </w:rPr>
        <w:t xml:space="preserve">un aizvainojošu publisku komentāru </w:t>
      </w:r>
      <w:r w:rsidR="00235C82">
        <w:rPr>
          <w:rFonts w:ascii="Times New Roman" w:hAnsi="Times New Roman" w:cs="Times New Roman"/>
          <w:sz w:val="24"/>
          <w:szCs w:val="24"/>
        </w:rPr>
        <w:t>izteikšanu</w:t>
      </w:r>
      <w:r w:rsidR="00820D91">
        <w:rPr>
          <w:rFonts w:ascii="Times New Roman" w:hAnsi="Times New Roman" w:cs="Times New Roman"/>
          <w:sz w:val="24"/>
          <w:szCs w:val="24"/>
        </w:rPr>
        <w:t>, kas nav tiesneša cienīga rīcība.</w:t>
      </w:r>
      <w:r w:rsidR="0064670D" w:rsidRPr="0064670D">
        <w:rPr>
          <w:rFonts w:ascii="Times New Roman" w:hAnsi="Times New Roman" w:cs="Times New Roman"/>
          <w:sz w:val="24"/>
          <w:szCs w:val="24"/>
        </w:rPr>
        <w:t xml:space="preserve"> </w:t>
      </w:r>
    </w:p>
    <w:p w14:paraId="625F65A6" w14:textId="3C276C14" w:rsidR="00893CE6" w:rsidRDefault="00893CE6"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Tiesnese nav ņēmusi vērā, ka jebkuriem komentāriem jābūt cieņpilniem, ar neitrālu attieksmi pret jebkuru </w:t>
      </w:r>
      <w:r w:rsidR="00530F61">
        <w:rPr>
          <w:rFonts w:ascii="Times New Roman" w:hAnsi="Times New Roman" w:cs="Times New Roman"/>
          <w:sz w:val="24"/>
          <w:szCs w:val="24"/>
        </w:rPr>
        <w:t xml:space="preserve">personu, arī </w:t>
      </w:r>
      <w:r>
        <w:rPr>
          <w:rFonts w:ascii="Times New Roman" w:hAnsi="Times New Roman" w:cs="Times New Roman"/>
          <w:sz w:val="24"/>
          <w:szCs w:val="24"/>
        </w:rPr>
        <w:t>politisko partiju</w:t>
      </w:r>
      <w:r w:rsidR="00530F61">
        <w:rPr>
          <w:rFonts w:ascii="Times New Roman" w:hAnsi="Times New Roman" w:cs="Times New Roman"/>
          <w:sz w:val="24"/>
          <w:szCs w:val="24"/>
        </w:rPr>
        <w:t>, ka jāiz</w:t>
      </w:r>
      <w:r w:rsidR="001D12B7">
        <w:rPr>
          <w:rFonts w:ascii="Times New Roman" w:hAnsi="Times New Roman" w:cs="Times New Roman"/>
          <w:sz w:val="24"/>
          <w:szCs w:val="24"/>
        </w:rPr>
        <w:t>vairās no vārdiem un runas, ko</w:t>
      </w:r>
      <w:r w:rsidR="00530F61">
        <w:rPr>
          <w:rFonts w:ascii="Times New Roman" w:hAnsi="Times New Roman" w:cs="Times New Roman"/>
          <w:sz w:val="24"/>
          <w:szCs w:val="24"/>
        </w:rPr>
        <w:t xml:space="preserve"> varētu uztvert kā aizspriedumu izpausmi.</w:t>
      </w:r>
      <w:r>
        <w:rPr>
          <w:rFonts w:ascii="Times New Roman" w:hAnsi="Times New Roman" w:cs="Times New Roman"/>
          <w:sz w:val="24"/>
          <w:szCs w:val="24"/>
        </w:rPr>
        <w:t xml:space="preserve"> Turklāt tiesnese rakstiski paskaidrojusi, ka pie publicētā neko piebilst nevar, tur viss ir pateikts un atbilst viņas pārliecībai</w:t>
      </w:r>
      <w:r w:rsidR="001D12B7">
        <w:rPr>
          <w:rFonts w:ascii="Times New Roman" w:hAnsi="Times New Roman" w:cs="Times New Roman"/>
          <w:sz w:val="24"/>
          <w:szCs w:val="24"/>
        </w:rPr>
        <w:t xml:space="preserve"> un</w:t>
      </w:r>
      <w:r>
        <w:rPr>
          <w:rFonts w:ascii="Times New Roman" w:hAnsi="Times New Roman" w:cs="Times New Roman"/>
          <w:sz w:val="24"/>
          <w:szCs w:val="24"/>
        </w:rPr>
        <w:t xml:space="preserve"> ka tādas lietas nedrīkst kārtot slepeni.</w:t>
      </w:r>
      <w:r w:rsidR="007867CB">
        <w:rPr>
          <w:rFonts w:ascii="Times New Roman" w:hAnsi="Times New Roman" w:cs="Times New Roman"/>
          <w:sz w:val="24"/>
          <w:szCs w:val="24"/>
        </w:rPr>
        <w:t xml:space="preserve"> </w:t>
      </w:r>
      <w:r w:rsidR="00224758">
        <w:rPr>
          <w:rFonts w:ascii="Times New Roman" w:hAnsi="Times New Roman" w:cs="Times New Roman"/>
          <w:sz w:val="24"/>
          <w:szCs w:val="24"/>
        </w:rPr>
        <w:t>No p</w:t>
      </w:r>
      <w:r w:rsidR="007867CB">
        <w:rPr>
          <w:rFonts w:ascii="Times New Roman" w:hAnsi="Times New Roman" w:cs="Times New Roman"/>
          <w:sz w:val="24"/>
          <w:szCs w:val="24"/>
        </w:rPr>
        <w:t>askaidro</w:t>
      </w:r>
      <w:r w:rsidR="00820D91">
        <w:rPr>
          <w:rFonts w:ascii="Times New Roman" w:hAnsi="Times New Roman" w:cs="Times New Roman"/>
          <w:sz w:val="24"/>
          <w:szCs w:val="24"/>
        </w:rPr>
        <w:t>jumi</w:t>
      </w:r>
      <w:r w:rsidR="00224758">
        <w:rPr>
          <w:rFonts w:ascii="Times New Roman" w:hAnsi="Times New Roman" w:cs="Times New Roman"/>
          <w:sz w:val="24"/>
          <w:szCs w:val="24"/>
        </w:rPr>
        <w:t>em secināms</w:t>
      </w:r>
      <w:r w:rsidR="00820D91">
        <w:rPr>
          <w:rFonts w:ascii="Times New Roman" w:hAnsi="Times New Roman" w:cs="Times New Roman"/>
          <w:sz w:val="24"/>
          <w:szCs w:val="24"/>
        </w:rPr>
        <w:t>, ka tiesnese nav iz</w:t>
      </w:r>
      <w:r w:rsidR="007867CB">
        <w:rPr>
          <w:rFonts w:ascii="Times New Roman" w:hAnsi="Times New Roman" w:cs="Times New Roman"/>
          <w:sz w:val="24"/>
          <w:szCs w:val="24"/>
        </w:rPr>
        <w:t xml:space="preserve">pratusi savas </w:t>
      </w:r>
      <w:r w:rsidR="00CF45C7">
        <w:rPr>
          <w:rFonts w:ascii="Times New Roman" w:hAnsi="Times New Roman" w:cs="Times New Roman"/>
          <w:sz w:val="24"/>
          <w:szCs w:val="24"/>
        </w:rPr>
        <w:t>rīcības iespējamās sekas</w:t>
      </w:r>
      <w:r w:rsidR="00764640">
        <w:rPr>
          <w:rFonts w:ascii="Times New Roman" w:hAnsi="Times New Roman" w:cs="Times New Roman"/>
          <w:sz w:val="24"/>
          <w:szCs w:val="24"/>
        </w:rPr>
        <w:t>,</w:t>
      </w:r>
      <w:r w:rsidR="00BA3900">
        <w:rPr>
          <w:rFonts w:ascii="Times New Roman" w:hAnsi="Times New Roman" w:cs="Times New Roman"/>
          <w:sz w:val="24"/>
          <w:szCs w:val="24"/>
        </w:rPr>
        <w:t xml:space="preserve"> </w:t>
      </w:r>
      <w:r w:rsidR="005E29EB">
        <w:rPr>
          <w:rFonts w:ascii="Times New Roman" w:hAnsi="Times New Roman" w:cs="Times New Roman"/>
          <w:sz w:val="24"/>
          <w:szCs w:val="24"/>
        </w:rPr>
        <w:t xml:space="preserve">un </w:t>
      </w:r>
      <w:r w:rsidR="007867CB">
        <w:rPr>
          <w:rFonts w:ascii="Times New Roman" w:hAnsi="Times New Roman" w:cs="Times New Roman"/>
          <w:sz w:val="24"/>
          <w:szCs w:val="24"/>
        </w:rPr>
        <w:t xml:space="preserve">viņas publiskie komentāri </w:t>
      </w:r>
      <w:r w:rsidR="005E29EB">
        <w:rPr>
          <w:rFonts w:ascii="Times New Roman" w:hAnsi="Times New Roman" w:cs="Times New Roman"/>
          <w:sz w:val="24"/>
          <w:szCs w:val="24"/>
        </w:rPr>
        <w:t xml:space="preserve">var </w:t>
      </w:r>
      <w:r w:rsidR="00CF45C7">
        <w:rPr>
          <w:rFonts w:ascii="Times New Roman" w:hAnsi="Times New Roman" w:cs="Times New Roman"/>
          <w:sz w:val="24"/>
          <w:szCs w:val="24"/>
        </w:rPr>
        <w:t xml:space="preserve">ietekmēt </w:t>
      </w:r>
      <w:r w:rsidR="007867CB">
        <w:rPr>
          <w:rFonts w:ascii="Times New Roman" w:hAnsi="Times New Roman" w:cs="Times New Roman"/>
          <w:sz w:val="24"/>
          <w:szCs w:val="24"/>
        </w:rPr>
        <w:t>tiesu varas prestižu.</w:t>
      </w:r>
    </w:p>
    <w:p w14:paraId="52AF8CE3" w14:textId="77777777" w:rsidR="008D7D2B" w:rsidRDefault="008D7D2B" w:rsidP="000F23EA">
      <w:pPr>
        <w:spacing w:after="0"/>
        <w:ind w:firstLine="720"/>
        <w:jc w:val="both"/>
        <w:rPr>
          <w:rFonts w:ascii="Times New Roman" w:hAnsi="Times New Roman" w:cs="Times New Roman"/>
          <w:sz w:val="24"/>
          <w:szCs w:val="24"/>
        </w:rPr>
      </w:pPr>
    </w:p>
    <w:p w14:paraId="00CB8107" w14:textId="4F6A122F" w:rsidR="00181AA2" w:rsidRDefault="00911BD5"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D7D2B">
        <w:rPr>
          <w:rFonts w:ascii="Times New Roman" w:hAnsi="Times New Roman" w:cs="Times New Roman"/>
          <w:sz w:val="24"/>
          <w:szCs w:val="24"/>
        </w:rPr>
        <w:t>11</w:t>
      </w:r>
      <w:r>
        <w:rPr>
          <w:rFonts w:ascii="Times New Roman" w:hAnsi="Times New Roman" w:cs="Times New Roman"/>
          <w:sz w:val="24"/>
          <w:szCs w:val="24"/>
        </w:rPr>
        <w:t xml:space="preserve">] </w:t>
      </w:r>
      <w:r w:rsidR="0078158F">
        <w:rPr>
          <w:rFonts w:ascii="Times New Roman" w:hAnsi="Times New Roman" w:cs="Times New Roman"/>
          <w:sz w:val="24"/>
          <w:szCs w:val="24"/>
        </w:rPr>
        <w:t>Tiesnešu ētikas komisija atzina, ka tiesnese ir pārkāpusi</w:t>
      </w:r>
      <w:r w:rsidR="00181AA2">
        <w:rPr>
          <w:rFonts w:ascii="Times New Roman" w:hAnsi="Times New Roman" w:cs="Times New Roman"/>
          <w:sz w:val="24"/>
          <w:szCs w:val="24"/>
        </w:rPr>
        <w:t xml:space="preserve"> Tiesnešu ētikas kodeksa </w:t>
      </w:r>
      <w:r w:rsidR="0078158F">
        <w:rPr>
          <w:rFonts w:ascii="Times New Roman" w:hAnsi="Times New Roman" w:cs="Times New Roman"/>
          <w:sz w:val="24"/>
          <w:szCs w:val="24"/>
        </w:rPr>
        <w:t xml:space="preserve">1.kanona 5.punktu, 2.kanona 1.punktu, 2.punktu un 3.punktu, 3.kanona 2.punktu un 3.punktu, 5.kanona 1.punktu. </w:t>
      </w:r>
    </w:p>
    <w:p w14:paraId="6C019FF6" w14:textId="77777777" w:rsidR="008D7D2B" w:rsidRDefault="008D7D2B" w:rsidP="000F23EA">
      <w:pPr>
        <w:spacing w:after="0"/>
        <w:ind w:firstLine="720"/>
        <w:jc w:val="both"/>
        <w:rPr>
          <w:rFonts w:ascii="Times New Roman" w:hAnsi="Times New Roman" w:cs="Times New Roman"/>
          <w:sz w:val="24"/>
          <w:szCs w:val="24"/>
        </w:rPr>
      </w:pPr>
    </w:p>
    <w:p w14:paraId="1A21965A" w14:textId="3A0C835F" w:rsidR="00C274C9" w:rsidRDefault="00A96B49"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D7D2B">
        <w:rPr>
          <w:rFonts w:ascii="Times New Roman" w:hAnsi="Times New Roman" w:cs="Times New Roman"/>
          <w:sz w:val="24"/>
          <w:szCs w:val="24"/>
        </w:rPr>
        <w:t>12</w:t>
      </w:r>
      <w:r>
        <w:rPr>
          <w:rFonts w:ascii="Times New Roman" w:hAnsi="Times New Roman" w:cs="Times New Roman"/>
          <w:sz w:val="24"/>
          <w:szCs w:val="24"/>
        </w:rPr>
        <w:t xml:space="preserve">] </w:t>
      </w:r>
      <w:r w:rsidR="00C274C9">
        <w:rPr>
          <w:rFonts w:ascii="Times New Roman" w:hAnsi="Times New Roman" w:cs="Times New Roman"/>
          <w:sz w:val="24"/>
          <w:szCs w:val="24"/>
        </w:rPr>
        <w:t xml:space="preserve">Ētikas komisija atzina, ka tiesneses </w:t>
      </w:r>
      <w:r w:rsidR="00C274C9">
        <w:rPr>
          <w:rFonts w:ascii="Times New Roman" w:eastAsia="Arial Unicode MS" w:hAnsi="Times New Roman" w:cs="Times New Roman"/>
          <w:kern w:val="2"/>
          <w:sz w:val="24"/>
          <w:szCs w:val="24"/>
        </w:rPr>
        <w:t>ētikas normu pārkāpums nav vērtējams kā rupjš.</w:t>
      </w:r>
    </w:p>
    <w:p w14:paraId="1591C601" w14:textId="6C5D8538" w:rsidR="000D3E48" w:rsidRDefault="007C7B55"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T</w:t>
      </w:r>
      <w:r w:rsidR="00531AD3">
        <w:rPr>
          <w:rFonts w:ascii="Times New Roman" w:hAnsi="Times New Roman" w:cs="Times New Roman"/>
          <w:sz w:val="24"/>
          <w:szCs w:val="24"/>
        </w:rPr>
        <w:t xml:space="preserve">iesnese ir iesaistījusies topošā pieminekļa </w:t>
      </w:r>
      <w:r w:rsidR="00010E09">
        <w:rPr>
          <w:rFonts w:ascii="Times New Roman" w:hAnsi="Times New Roman" w:cs="Times New Roman"/>
          <w:sz w:val="24"/>
          <w:szCs w:val="24"/>
        </w:rPr>
        <w:t xml:space="preserve">publiskā </w:t>
      </w:r>
      <w:r w:rsidR="00531AD3">
        <w:rPr>
          <w:rFonts w:ascii="Times New Roman" w:hAnsi="Times New Roman" w:cs="Times New Roman"/>
          <w:sz w:val="24"/>
          <w:szCs w:val="24"/>
        </w:rPr>
        <w:t>apspriešanā</w:t>
      </w:r>
      <w:r w:rsidR="00F66556">
        <w:rPr>
          <w:rFonts w:ascii="Times New Roman" w:hAnsi="Times New Roman" w:cs="Times New Roman"/>
          <w:sz w:val="24"/>
          <w:szCs w:val="24"/>
        </w:rPr>
        <w:t xml:space="preserve"> </w:t>
      </w:r>
      <w:r w:rsidR="00F66556">
        <w:rPr>
          <w:rFonts w:ascii="Times New Roman" w:eastAsia="Arial Unicode MS" w:hAnsi="Times New Roman" w:cs="Times New Roman"/>
          <w:kern w:val="2"/>
          <w:sz w:val="24"/>
          <w:szCs w:val="24"/>
        </w:rPr>
        <w:t xml:space="preserve">sociālajā tīklā </w:t>
      </w:r>
      <w:proofErr w:type="spellStart"/>
      <w:r w:rsidR="00F66556" w:rsidRPr="009E10A8">
        <w:rPr>
          <w:rFonts w:ascii="Times New Roman" w:eastAsia="Arial Unicode MS" w:hAnsi="Times New Roman" w:cs="Times New Roman"/>
          <w:i/>
          <w:kern w:val="2"/>
          <w:sz w:val="24"/>
          <w:szCs w:val="24"/>
        </w:rPr>
        <w:t>Facebook</w:t>
      </w:r>
      <w:proofErr w:type="spellEnd"/>
      <w:r w:rsidR="00CF5DE9">
        <w:rPr>
          <w:rFonts w:ascii="Times New Roman" w:eastAsia="Arial Unicode MS" w:hAnsi="Times New Roman" w:cs="Times New Roman"/>
          <w:i/>
          <w:kern w:val="2"/>
          <w:sz w:val="24"/>
          <w:szCs w:val="24"/>
        </w:rPr>
        <w:t xml:space="preserve"> </w:t>
      </w:r>
      <w:r w:rsidR="00A96B49">
        <w:rPr>
          <w:rFonts w:ascii="Times New Roman" w:hAnsi="Times New Roman" w:cs="Times New Roman"/>
          <w:sz w:val="24"/>
          <w:szCs w:val="24"/>
        </w:rPr>
        <w:t xml:space="preserve">pēc tam, kad iekšējā sarakstē </w:t>
      </w:r>
      <w:r w:rsidR="00531AD3">
        <w:rPr>
          <w:rFonts w:ascii="Times New Roman" w:hAnsi="Times New Roman" w:cs="Times New Roman"/>
          <w:sz w:val="24"/>
          <w:szCs w:val="24"/>
        </w:rPr>
        <w:t xml:space="preserve">mēģināts noskaidrot visu tiesnešu un darbinieku viedokli </w:t>
      </w:r>
      <w:r w:rsidR="000D3E48">
        <w:rPr>
          <w:rFonts w:ascii="Times New Roman" w:hAnsi="Times New Roman" w:cs="Times New Roman"/>
          <w:sz w:val="24"/>
          <w:szCs w:val="24"/>
        </w:rPr>
        <w:t xml:space="preserve">par pieminekļa koncepciju. Tiesnese izteikusi savu viedokli, ka nevajadzētu valsts naudas līdzekļus tērēt šādam projektam, bet darījusi to aizskarošā </w:t>
      </w:r>
      <w:r w:rsidR="006650EA">
        <w:rPr>
          <w:rFonts w:ascii="Times New Roman" w:hAnsi="Times New Roman" w:cs="Times New Roman"/>
          <w:sz w:val="24"/>
          <w:szCs w:val="24"/>
        </w:rPr>
        <w:t>veidā</w:t>
      </w:r>
      <w:r w:rsidR="000D3E48">
        <w:rPr>
          <w:rFonts w:ascii="Times New Roman" w:hAnsi="Times New Roman" w:cs="Times New Roman"/>
          <w:sz w:val="24"/>
          <w:szCs w:val="24"/>
        </w:rPr>
        <w:t>.</w:t>
      </w:r>
      <w:r w:rsidR="00531AD3">
        <w:rPr>
          <w:rFonts w:ascii="Times New Roman" w:hAnsi="Times New Roman" w:cs="Times New Roman"/>
          <w:sz w:val="24"/>
          <w:szCs w:val="24"/>
        </w:rPr>
        <w:t xml:space="preserve"> </w:t>
      </w:r>
    </w:p>
    <w:p w14:paraId="7FE85E8C" w14:textId="77777777" w:rsidR="008D7D2B" w:rsidRDefault="008D7D2B" w:rsidP="000F23EA">
      <w:pPr>
        <w:spacing w:after="0"/>
        <w:ind w:firstLine="720"/>
        <w:jc w:val="both"/>
        <w:rPr>
          <w:rFonts w:ascii="Times New Roman" w:hAnsi="Times New Roman" w:cs="Times New Roman"/>
          <w:sz w:val="24"/>
          <w:szCs w:val="24"/>
        </w:rPr>
      </w:pPr>
    </w:p>
    <w:p w14:paraId="20D439DE" w14:textId="5ACC976C" w:rsidR="008D7D2B" w:rsidRDefault="00181AA2">
      <w:pPr>
        <w:spacing w:after="0"/>
        <w:ind w:firstLine="720"/>
        <w:jc w:val="both"/>
        <w:rPr>
          <w:rFonts w:ascii="Times New Roman" w:hAnsi="Times New Roman" w:cs="Times New Roman"/>
          <w:sz w:val="24"/>
          <w:szCs w:val="24"/>
        </w:rPr>
      </w:pPr>
      <w:r>
        <w:rPr>
          <w:rFonts w:ascii="Times New Roman" w:hAnsi="Times New Roman" w:cs="Times New Roman"/>
          <w:sz w:val="24"/>
          <w:szCs w:val="24"/>
        </w:rPr>
        <w:t>Ņemot vērā minēto</w:t>
      </w:r>
      <w:r w:rsidR="00C60818">
        <w:rPr>
          <w:rFonts w:ascii="Times New Roman" w:hAnsi="Times New Roman" w:cs="Times New Roman"/>
          <w:sz w:val="24"/>
          <w:szCs w:val="24"/>
        </w:rPr>
        <w:t>,</w:t>
      </w:r>
      <w:r>
        <w:rPr>
          <w:rFonts w:ascii="Times New Roman" w:hAnsi="Times New Roman" w:cs="Times New Roman"/>
          <w:sz w:val="24"/>
          <w:szCs w:val="24"/>
        </w:rPr>
        <w:t xml:space="preserve"> Tiesnešu ētikas komisija </w:t>
      </w:r>
    </w:p>
    <w:p w14:paraId="1ED18ECD" w14:textId="75DA0198" w:rsidR="00181AA2" w:rsidRDefault="00E83AFB" w:rsidP="000F23EA">
      <w:pPr>
        <w:spacing w:after="0"/>
        <w:ind w:firstLine="720"/>
        <w:jc w:val="center"/>
        <w:rPr>
          <w:rFonts w:ascii="Times New Roman" w:hAnsi="Times New Roman" w:cs="Times New Roman"/>
          <w:b/>
          <w:sz w:val="24"/>
          <w:szCs w:val="24"/>
        </w:rPr>
      </w:pPr>
      <w:r w:rsidRPr="00E83AFB">
        <w:rPr>
          <w:rFonts w:ascii="Times New Roman" w:hAnsi="Times New Roman" w:cs="Times New Roman"/>
          <w:b/>
          <w:sz w:val="24"/>
          <w:szCs w:val="24"/>
        </w:rPr>
        <w:t>a</w:t>
      </w:r>
      <w:r w:rsidR="0078158F">
        <w:rPr>
          <w:rFonts w:ascii="Times New Roman" w:hAnsi="Times New Roman" w:cs="Times New Roman"/>
          <w:b/>
          <w:sz w:val="24"/>
          <w:szCs w:val="24"/>
        </w:rPr>
        <w:t>tzina</w:t>
      </w:r>
    </w:p>
    <w:p w14:paraId="49F40EAB" w14:textId="77777777" w:rsidR="008D7D2B" w:rsidRPr="00E83AFB" w:rsidRDefault="008D7D2B" w:rsidP="000F23EA">
      <w:pPr>
        <w:spacing w:after="0"/>
        <w:ind w:firstLine="720"/>
        <w:jc w:val="center"/>
        <w:rPr>
          <w:rFonts w:ascii="Times New Roman" w:hAnsi="Times New Roman" w:cs="Times New Roman"/>
          <w:b/>
          <w:sz w:val="24"/>
          <w:szCs w:val="24"/>
        </w:rPr>
      </w:pPr>
    </w:p>
    <w:p w14:paraId="68602127" w14:textId="0D189CF2" w:rsidR="00181AA2" w:rsidRDefault="0078158F" w:rsidP="000F23E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Tiesneses </w:t>
      </w:r>
      <w:r w:rsidR="00181AA2">
        <w:rPr>
          <w:rFonts w:ascii="Times New Roman" w:hAnsi="Times New Roman" w:cs="Times New Roman"/>
          <w:sz w:val="24"/>
          <w:szCs w:val="24"/>
        </w:rPr>
        <w:t xml:space="preserve"> </w:t>
      </w:r>
      <w:r>
        <w:rPr>
          <w:rFonts w:ascii="Times New Roman" w:hAnsi="Times New Roman" w:cs="Times New Roman"/>
          <w:sz w:val="24"/>
          <w:szCs w:val="24"/>
        </w:rPr>
        <w:t xml:space="preserve">rīcībā ir konstatējams Tiesnešu ētikas kodeksa 1.kanona 5.punkta, 2.kanona 1.punkta, 2.punkta un 3.punkta, 3.kanona 2.punkta un 3.punkta, 5.kanona 1.punkta </w:t>
      </w:r>
      <w:r w:rsidR="00D50937">
        <w:rPr>
          <w:rFonts w:ascii="Times New Roman" w:hAnsi="Times New Roman" w:cs="Times New Roman"/>
          <w:sz w:val="24"/>
          <w:szCs w:val="24"/>
        </w:rPr>
        <w:t>pārkāpums</w:t>
      </w:r>
      <w:r w:rsidR="00E83AFB">
        <w:rPr>
          <w:rFonts w:ascii="Times New Roman" w:hAnsi="Times New Roman" w:cs="Times New Roman"/>
          <w:sz w:val="24"/>
          <w:szCs w:val="24"/>
        </w:rPr>
        <w:t>.</w:t>
      </w:r>
    </w:p>
    <w:p w14:paraId="556C1D3D" w14:textId="77777777" w:rsidR="0062576A" w:rsidRDefault="0062576A" w:rsidP="000F23EA">
      <w:pPr>
        <w:spacing w:after="0"/>
        <w:ind w:firstLine="720"/>
        <w:jc w:val="both"/>
        <w:rPr>
          <w:rFonts w:ascii="Times New Roman" w:hAnsi="Times New Roman" w:cs="Times New Roman"/>
          <w:sz w:val="24"/>
          <w:szCs w:val="24"/>
        </w:rPr>
      </w:pPr>
    </w:p>
    <w:tbl>
      <w:tblPr>
        <w:tblW w:w="0" w:type="auto"/>
        <w:tblLook w:val="04A0" w:firstRow="1" w:lastRow="0" w:firstColumn="1" w:lastColumn="0" w:noHBand="0" w:noVBand="1"/>
      </w:tblPr>
      <w:tblGrid>
        <w:gridCol w:w="7054"/>
        <w:gridCol w:w="2126"/>
      </w:tblGrid>
      <w:tr w:rsidR="0062576A" w14:paraId="0C8292F7" w14:textId="77777777" w:rsidTr="0068395D">
        <w:tc>
          <w:tcPr>
            <w:tcW w:w="7054" w:type="dxa"/>
            <w:shd w:val="clear" w:color="auto" w:fill="auto"/>
            <w:hideMark/>
          </w:tcPr>
          <w:p w14:paraId="1E38B34B" w14:textId="77777777" w:rsidR="0062576A" w:rsidRDefault="0062576A" w:rsidP="00AB0875">
            <w:pPr>
              <w:pStyle w:val="Standard"/>
              <w:spacing w:line="276" w:lineRule="auto"/>
              <w:jc w:val="both"/>
            </w:pPr>
            <w:r>
              <w:t>Komisijas priekšsēdētāja</w:t>
            </w:r>
          </w:p>
        </w:tc>
        <w:tc>
          <w:tcPr>
            <w:tcW w:w="2126" w:type="dxa"/>
            <w:shd w:val="clear" w:color="auto" w:fill="auto"/>
            <w:hideMark/>
          </w:tcPr>
          <w:p w14:paraId="0043037D" w14:textId="77777777" w:rsidR="0062576A" w:rsidRDefault="0062576A" w:rsidP="00AB0875">
            <w:pPr>
              <w:pStyle w:val="Standard"/>
              <w:spacing w:line="276" w:lineRule="auto"/>
              <w:jc w:val="both"/>
            </w:pPr>
            <w:r>
              <w:t>Dace Skrauple</w:t>
            </w:r>
          </w:p>
          <w:p w14:paraId="25E99194" w14:textId="77777777" w:rsidR="0062576A" w:rsidRDefault="0062576A" w:rsidP="00AB0875">
            <w:pPr>
              <w:pStyle w:val="Standard"/>
              <w:spacing w:line="276" w:lineRule="auto"/>
              <w:jc w:val="both"/>
            </w:pPr>
          </w:p>
        </w:tc>
      </w:tr>
      <w:tr w:rsidR="0062576A" w14:paraId="5D28C411" w14:textId="77777777" w:rsidTr="0068395D">
        <w:tc>
          <w:tcPr>
            <w:tcW w:w="7054" w:type="dxa"/>
            <w:shd w:val="clear" w:color="auto" w:fill="auto"/>
          </w:tcPr>
          <w:p w14:paraId="2FB6887F" w14:textId="77777777" w:rsidR="0062576A" w:rsidRDefault="0062576A" w:rsidP="00AB0875">
            <w:pPr>
              <w:pStyle w:val="Standard"/>
              <w:spacing w:line="276" w:lineRule="auto"/>
              <w:jc w:val="both"/>
            </w:pPr>
            <w:r>
              <w:t>Komisijas locekles</w:t>
            </w:r>
          </w:p>
        </w:tc>
        <w:tc>
          <w:tcPr>
            <w:tcW w:w="2126" w:type="dxa"/>
            <w:shd w:val="clear" w:color="auto" w:fill="auto"/>
          </w:tcPr>
          <w:p w14:paraId="089F2A5C" w14:textId="7D84D24C" w:rsidR="000D344E" w:rsidRDefault="0062576A" w:rsidP="00AB0875">
            <w:pPr>
              <w:pStyle w:val="Standard"/>
              <w:spacing w:line="276" w:lineRule="auto"/>
              <w:jc w:val="both"/>
            </w:pPr>
            <w:r>
              <w:t>Iveta Andžāne</w:t>
            </w:r>
          </w:p>
        </w:tc>
      </w:tr>
      <w:tr w:rsidR="0062576A" w14:paraId="14345A76" w14:textId="77777777" w:rsidTr="0068395D">
        <w:tc>
          <w:tcPr>
            <w:tcW w:w="7054" w:type="dxa"/>
            <w:shd w:val="clear" w:color="auto" w:fill="auto"/>
          </w:tcPr>
          <w:p w14:paraId="0C61DF07" w14:textId="77777777" w:rsidR="0062576A" w:rsidRDefault="0062576A" w:rsidP="00AB0875">
            <w:pPr>
              <w:pStyle w:val="Standard"/>
              <w:spacing w:line="276" w:lineRule="auto"/>
              <w:jc w:val="both"/>
            </w:pPr>
          </w:p>
        </w:tc>
        <w:tc>
          <w:tcPr>
            <w:tcW w:w="2126" w:type="dxa"/>
            <w:shd w:val="clear" w:color="auto" w:fill="auto"/>
            <w:vAlign w:val="center"/>
            <w:hideMark/>
          </w:tcPr>
          <w:p w14:paraId="4B99197D" w14:textId="6B849B74" w:rsidR="000D344E" w:rsidRPr="00C424C4" w:rsidRDefault="0062576A" w:rsidP="00AB0875">
            <w:pPr>
              <w:pStyle w:val="Standard"/>
              <w:spacing w:line="276" w:lineRule="auto"/>
              <w:jc w:val="both"/>
              <w:rPr>
                <w:color w:val="000000"/>
              </w:rPr>
            </w:pPr>
            <w:r w:rsidRPr="00C424C4">
              <w:rPr>
                <w:color w:val="000000"/>
              </w:rPr>
              <w:t>Adrija Kasakovska</w:t>
            </w:r>
          </w:p>
          <w:p w14:paraId="55AE20FD" w14:textId="77777777" w:rsidR="0062576A" w:rsidRDefault="0062576A" w:rsidP="00AB0875">
            <w:pPr>
              <w:pStyle w:val="Standard"/>
              <w:spacing w:line="276" w:lineRule="auto"/>
              <w:jc w:val="both"/>
            </w:pPr>
          </w:p>
        </w:tc>
      </w:tr>
      <w:tr w:rsidR="0062576A" w14:paraId="5553ACB1" w14:textId="77777777" w:rsidTr="0068395D">
        <w:tc>
          <w:tcPr>
            <w:tcW w:w="7054" w:type="dxa"/>
            <w:shd w:val="clear" w:color="auto" w:fill="auto"/>
          </w:tcPr>
          <w:p w14:paraId="377F1E76" w14:textId="77777777" w:rsidR="0062576A" w:rsidRDefault="0062576A" w:rsidP="00AB0875">
            <w:pPr>
              <w:pStyle w:val="Standard"/>
              <w:spacing w:line="276" w:lineRule="auto"/>
              <w:jc w:val="both"/>
            </w:pPr>
          </w:p>
        </w:tc>
        <w:tc>
          <w:tcPr>
            <w:tcW w:w="2126" w:type="dxa"/>
            <w:shd w:val="clear" w:color="auto" w:fill="auto"/>
            <w:vAlign w:val="center"/>
            <w:hideMark/>
          </w:tcPr>
          <w:p w14:paraId="1A090FB8" w14:textId="594C9611" w:rsidR="000D344E" w:rsidRPr="00C424C4" w:rsidRDefault="0062576A" w:rsidP="00AB0875">
            <w:pPr>
              <w:pStyle w:val="Standard"/>
              <w:spacing w:line="276" w:lineRule="auto"/>
              <w:jc w:val="both"/>
              <w:rPr>
                <w:color w:val="000000"/>
              </w:rPr>
            </w:pPr>
            <w:r w:rsidRPr="00C424C4">
              <w:rPr>
                <w:color w:val="000000"/>
              </w:rPr>
              <w:t>Anda Kraukle</w:t>
            </w:r>
          </w:p>
          <w:p w14:paraId="476A5535" w14:textId="77777777" w:rsidR="0062576A" w:rsidRDefault="0062576A" w:rsidP="00AB0875">
            <w:pPr>
              <w:pStyle w:val="Standard"/>
              <w:spacing w:line="276" w:lineRule="auto"/>
              <w:jc w:val="both"/>
            </w:pPr>
          </w:p>
        </w:tc>
      </w:tr>
      <w:tr w:rsidR="0062576A" w14:paraId="77E8313E" w14:textId="77777777" w:rsidTr="0068395D">
        <w:tc>
          <w:tcPr>
            <w:tcW w:w="7054" w:type="dxa"/>
            <w:shd w:val="clear" w:color="auto" w:fill="auto"/>
          </w:tcPr>
          <w:p w14:paraId="0614E55C" w14:textId="77777777" w:rsidR="0062576A" w:rsidRDefault="0062576A" w:rsidP="00AB0875">
            <w:pPr>
              <w:pStyle w:val="Standard"/>
              <w:spacing w:line="276" w:lineRule="auto"/>
              <w:jc w:val="both"/>
            </w:pPr>
          </w:p>
        </w:tc>
        <w:tc>
          <w:tcPr>
            <w:tcW w:w="2126" w:type="dxa"/>
            <w:shd w:val="clear" w:color="auto" w:fill="auto"/>
            <w:vAlign w:val="center"/>
            <w:hideMark/>
          </w:tcPr>
          <w:p w14:paraId="45B8AF20" w14:textId="6A25FDCA" w:rsidR="000D344E" w:rsidRPr="00C424C4" w:rsidRDefault="0062576A" w:rsidP="00AB0875">
            <w:pPr>
              <w:pStyle w:val="Standard"/>
              <w:spacing w:line="276" w:lineRule="auto"/>
              <w:jc w:val="both"/>
              <w:rPr>
                <w:color w:val="000000"/>
              </w:rPr>
            </w:pPr>
            <w:r w:rsidRPr="00C424C4">
              <w:rPr>
                <w:color w:val="000000"/>
              </w:rPr>
              <w:t>Baiba Lielpētere</w:t>
            </w:r>
          </w:p>
          <w:p w14:paraId="716CD9B0" w14:textId="77777777" w:rsidR="0062576A" w:rsidRDefault="0062576A" w:rsidP="00AB0875">
            <w:pPr>
              <w:pStyle w:val="Standard"/>
              <w:spacing w:line="276" w:lineRule="auto"/>
              <w:jc w:val="both"/>
            </w:pPr>
          </w:p>
        </w:tc>
      </w:tr>
      <w:tr w:rsidR="0062576A" w14:paraId="21B027FF" w14:textId="77777777" w:rsidTr="0068395D">
        <w:tc>
          <w:tcPr>
            <w:tcW w:w="7054" w:type="dxa"/>
            <w:shd w:val="clear" w:color="auto" w:fill="auto"/>
          </w:tcPr>
          <w:p w14:paraId="21B5FE8D" w14:textId="77777777" w:rsidR="0062576A" w:rsidRDefault="0062576A" w:rsidP="00AB0875">
            <w:pPr>
              <w:pStyle w:val="Standard"/>
              <w:spacing w:line="276" w:lineRule="auto"/>
              <w:jc w:val="both"/>
            </w:pPr>
          </w:p>
        </w:tc>
        <w:tc>
          <w:tcPr>
            <w:tcW w:w="2126" w:type="dxa"/>
            <w:shd w:val="clear" w:color="auto" w:fill="auto"/>
            <w:vAlign w:val="center"/>
            <w:hideMark/>
          </w:tcPr>
          <w:p w14:paraId="0F46FC11" w14:textId="4E8612A3" w:rsidR="000D344E" w:rsidRPr="00C424C4" w:rsidRDefault="0062576A" w:rsidP="00AB0875">
            <w:pPr>
              <w:pStyle w:val="Standard"/>
              <w:spacing w:line="276" w:lineRule="auto"/>
              <w:jc w:val="both"/>
              <w:rPr>
                <w:color w:val="000000"/>
              </w:rPr>
            </w:pPr>
            <w:r w:rsidRPr="00C424C4">
              <w:rPr>
                <w:color w:val="000000"/>
              </w:rPr>
              <w:t>Dace Mita</w:t>
            </w:r>
          </w:p>
          <w:p w14:paraId="56AF6485" w14:textId="77777777" w:rsidR="0062576A" w:rsidRDefault="0062576A" w:rsidP="00AB0875">
            <w:pPr>
              <w:pStyle w:val="Standard"/>
              <w:spacing w:line="276" w:lineRule="auto"/>
              <w:jc w:val="both"/>
            </w:pPr>
          </w:p>
        </w:tc>
      </w:tr>
      <w:tr w:rsidR="0062576A" w14:paraId="6CB72F86" w14:textId="77777777" w:rsidTr="0068395D">
        <w:tc>
          <w:tcPr>
            <w:tcW w:w="7054" w:type="dxa"/>
            <w:shd w:val="clear" w:color="auto" w:fill="auto"/>
          </w:tcPr>
          <w:p w14:paraId="7DFB27C4" w14:textId="77777777" w:rsidR="0062576A" w:rsidRDefault="0062576A" w:rsidP="00AB0875">
            <w:pPr>
              <w:pStyle w:val="Standard"/>
              <w:spacing w:line="276" w:lineRule="auto"/>
              <w:jc w:val="both"/>
            </w:pPr>
          </w:p>
        </w:tc>
        <w:tc>
          <w:tcPr>
            <w:tcW w:w="2126" w:type="dxa"/>
            <w:shd w:val="clear" w:color="auto" w:fill="auto"/>
            <w:vAlign w:val="center"/>
            <w:hideMark/>
          </w:tcPr>
          <w:p w14:paraId="5B86BA02" w14:textId="0885D268" w:rsidR="000D344E" w:rsidRPr="00C424C4" w:rsidRDefault="0062576A" w:rsidP="00AB0875">
            <w:pPr>
              <w:pStyle w:val="Standard"/>
              <w:spacing w:line="276" w:lineRule="auto"/>
              <w:jc w:val="both"/>
              <w:rPr>
                <w:color w:val="000000"/>
              </w:rPr>
            </w:pPr>
            <w:r w:rsidRPr="00C424C4">
              <w:rPr>
                <w:color w:val="000000"/>
              </w:rPr>
              <w:t xml:space="preserve">Lauma Paegļkalna </w:t>
            </w:r>
          </w:p>
          <w:p w14:paraId="32AE887F" w14:textId="77777777" w:rsidR="0062576A" w:rsidRPr="00C424C4" w:rsidRDefault="0062576A" w:rsidP="00AB0875">
            <w:pPr>
              <w:pStyle w:val="Standard"/>
              <w:spacing w:line="276" w:lineRule="auto"/>
              <w:jc w:val="both"/>
              <w:rPr>
                <w:color w:val="000000"/>
              </w:rPr>
            </w:pPr>
          </w:p>
        </w:tc>
      </w:tr>
      <w:tr w:rsidR="0062576A" w14:paraId="4C6345C7" w14:textId="77777777" w:rsidTr="0068395D">
        <w:tc>
          <w:tcPr>
            <w:tcW w:w="7054" w:type="dxa"/>
            <w:shd w:val="clear" w:color="auto" w:fill="auto"/>
          </w:tcPr>
          <w:p w14:paraId="4AA71B25" w14:textId="77777777" w:rsidR="0062576A" w:rsidRDefault="0062576A" w:rsidP="00AB0875">
            <w:pPr>
              <w:pStyle w:val="Standard"/>
              <w:spacing w:line="276" w:lineRule="auto"/>
              <w:jc w:val="both"/>
            </w:pPr>
          </w:p>
        </w:tc>
        <w:tc>
          <w:tcPr>
            <w:tcW w:w="2126" w:type="dxa"/>
            <w:shd w:val="clear" w:color="auto" w:fill="auto"/>
            <w:vAlign w:val="center"/>
            <w:hideMark/>
          </w:tcPr>
          <w:p w14:paraId="636F95B7" w14:textId="10E5956F" w:rsidR="000D344E" w:rsidRDefault="0062576A" w:rsidP="00AB0875">
            <w:pPr>
              <w:pStyle w:val="Standard"/>
              <w:spacing w:line="276" w:lineRule="auto"/>
              <w:jc w:val="both"/>
              <w:rPr>
                <w:color w:val="000000"/>
              </w:rPr>
            </w:pPr>
            <w:r w:rsidRPr="00C424C4">
              <w:rPr>
                <w:color w:val="000000"/>
              </w:rPr>
              <w:t>Inese Laura Zemīte</w:t>
            </w:r>
          </w:p>
          <w:p w14:paraId="07C930D6" w14:textId="5FD7589E" w:rsidR="000D344E" w:rsidRPr="00C424C4" w:rsidRDefault="000D344E" w:rsidP="00AB0875">
            <w:pPr>
              <w:pStyle w:val="Standard"/>
              <w:spacing w:line="276" w:lineRule="auto"/>
              <w:jc w:val="both"/>
              <w:rPr>
                <w:color w:val="000000"/>
              </w:rPr>
            </w:pPr>
          </w:p>
        </w:tc>
      </w:tr>
    </w:tbl>
    <w:p w14:paraId="3E04E486" w14:textId="77777777" w:rsidR="00F27E84" w:rsidRDefault="00F27E84" w:rsidP="00F27E84">
      <w:pPr>
        <w:jc w:val="center"/>
        <w:rPr>
          <w:rFonts w:ascii="Times New Roman" w:hAnsi="Times New Roman" w:cs="Times New Roman"/>
          <w:sz w:val="24"/>
          <w:szCs w:val="24"/>
          <w:lang w:eastAsia="ar-SA"/>
        </w:rPr>
      </w:pPr>
    </w:p>
    <w:p w14:paraId="6EAE0DE1" w14:textId="77777777" w:rsidR="00F27E84" w:rsidRPr="00F27E84" w:rsidRDefault="00F27E84" w:rsidP="00F27E84">
      <w:pPr>
        <w:spacing w:line="360" w:lineRule="auto"/>
        <w:rPr>
          <w:rFonts w:ascii="Times New Roman" w:hAnsi="Times New Roman" w:cs="Times New Roman"/>
          <w:sz w:val="24"/>
          <w:szCs w:val="24"/>
        </w:rPr>
      </w:pPr>
    </w:p>
    <w:p w14:paraId="4AE4D316" w14:textId="77777777" w:rsidR="000F23EA" w:rsidRDefault="000F23EA" w:rsidP="000F23EA">
      <w:pPr>
        <w:spacing w:after="0"/>
        <w:ind w:firstLine="720"/>
        <w:jc w:val="both"/>
        <w:rPr>
          <w:rFonts w:ascii="Times New Roman" w:hAnsi="Times New Roman" w:cs="Times New Roman"/>
          <w:sz w:val="24"/>
          <w:szCs w:val="24"/>
        </w:rPr>
      </w:pPr>
    </w:p>
    <w:sectPr w:rsidR="000F23EA" w:rsidSect="000D344E">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FB3C" w14:textId="77777777" w:rsidR="00DF0DEE" w:rsidRDefault="00DF0DEE" w:rsidP="000D344E">
      <w:pPr>
        <w:spacing w:after="0" w:line="240" w:lineRule="auto"/>
      </w:pPr>
      <w:r>
        <w:separator/>
      </w:r>
    </w:p>
  </w:endnote>
  <w:endnote w:type="continuationSeparator" w:id="0">
    <w:p w14:paraId="02BFF8AD" w14:textId="77777777" w:rsidR="00DF0DEE" w:rsidRDefault="00DF0DEE" w:rsidP="000D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538203"/>
      <w:docPartObj>
        <w:docPartGallery w:val="Page Numbers (Bottom of Page)"/>
        <w:docPartUnique/>
      </w:docPartObj>
    </w:sdtPr>
    <w:sdtEndPr/>
    <w:sdtContent>
      <w:p w14:paraId="686858B0" w14:textId="785D7316" w:rsidR="000D344E" w:rsidRDefault="000D344E">
        <w:pPr>
          <w:pStyle w:val="Kjene"/>
          <w:jc w:val="center"/>
        </w:pPr>
        <w:r>
          <w:fldChar w:fldCharType="begin"/>
        </w:r>
        <w:r>
          <w:instrText>PAGE   \* MERGEFORMAT</w:instrText>
        </w:r>
        <w:r>
          <w:fldChar w:fldCharType="separate"/>
        </w:r>
        <w:r>
          <w:t>2</w:t>
        </w:r>
        <w:r>
          <w:fldChar w:fldCharType="end"/>
        </w:r>
      </w:p>
    </w:sdtContent>
  </w:sdt>
  <w:p w14:paraId="2F4A4F4B" w14:textId="77777777" w:rsidR="000D344E" w:rsidRDefault="000D34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4623" w14:textId="77777777" w:rsidR="00DF0DEE" w:rsidRDefault="00DF0DEE" w:rsidP="000D344E">
      <w:pPr>
        <w:spacing w:after="0" w:line="240" w:lineRule="auto"/>
      </w:pPr>
      <w:r>
        <w:separator/>
      </w:r>
    </w:p>
  </w:footnote>
  <w:footnote w:type="continuationSeparator" w:id="0">
    <w:p w14:paraId="371BCF6C" w14:textId="77777777" w:rsidR="00DF0DEE" w:rsidRDefault="00DF0DEE" w:rsidP="000D34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82C"/>
    <w:rsid w:val="0000355D"/>
    <w:rsid w:val="00010E09"/>
    <w:rsid w:val="00033AD6"/>
    <w:rsid w:val="00037314"/>
    <w:rsid w:val="00042A54"/>
    <w:rsid w:val="00067B8D"/>
    <w:rsid w:val="00075898"/>
    <w:rsid w:val="00093EE1"/>
    <w:rsid w:val="000C11BB"/>
    <w:rsid w:val="000D344E"/>
    <w:rsid w:val="000D3E48"/>
    <w:rsid w:val="000D4B9E"/>
    <w:rsid w:val="000E5741"/>
    <w:rsid w:val="000F23EA"/>
    <w:rsid w:val="00107FD1"/>
    <w:rsid w:val="001444AF"/>
    <w:rsid w:val="00147D84"/>
    <w:rsid w:val="00151509"/>
    <w:rsid w:val="00157993"/>
    <w:rsid w:val="0017120B"/>
    <w:rsid w:val="00181AA2"/>
    <w:rsid w:val="001821A9"/>
    <w:rsid w:val="00182C21"/>
    <w:rsid w:val="00182CDF"/>
    <w:rsid w:val="001945FD"/>
    <w:rsid w:val="001B7B2B"/>
    <w:rsid w:val="001D12B7"/>
    <w:rsid w:val="001E3E36"/>
    <w:rsid w:val="002141C1"/>
    <w:rsid w:val="0021599F"/>
    <w:rsid w:val="00224758"/>
    <w:rsid w:val="00235C82"/>
    <w:rsid w:val="00243AA1"/>
    <w:rsid w:val="00257C9A"/>
    <w:rsid w:val="00271A1B"/>
    <w:rsid w:val="00271AA8"/>
    <w:rsid w:val="002818F8"/>
    <w:rsid w:val="0028535F"/>
    <w:rsid w:val="00293734"/>
    <w:rsid w:val="002A0698"/>
    <w:rsid w:val="002B5CDE"/>
    <w:rsid w:val="002E2F22"/>
    <w:rsid w:val="003026AA"/>
    <w:rsid w:val="00311073"/>
    <w:rsid w:val="003138A7"/>
    <w:rsid w:val="00341274"/>
    <w:rsid w:val="003417A9"/>
    <w:rsid w:val="00355B42"/>
    <w:rsid w:val="00366A64"/>
    <w:rsid w:val="00380F46"/>
    <w:rsid w:val="003824AB"/>
    <w:rsid w:val="003826BD"/>
    <w:rsid w:val="003843D1"/>
    <w:rsid w:val="003A1913"/>
    <w:rsid w:val="00420CA7"/>
    <w:rsid w:val="004221EE"/>
    <w:rsid w:val="00423BC8"/>
    <w:rsid w:val="0044513D"/>
    <w:rsid w:val="00453523"/>
    <w:rsid w:val="00457656"/>
    <w:rsid w:val="004735AB"/>
    <w:rsid w:val="00482F1F"/>
    <w:rsid w:val="004860E0"/>
    <w:rsid w:val="00492072"/>
    <w:rsid w:val="004922D0"/>
    <w:rsid w:val="004B72B3"/>
    <w:rsid w:val="004D0F68"/>
    <w:rsid w:val="004D1D6D"/>
    <w:rsid w:val="004D6235"/>
    <w:rsid w:val="004E0E45"/>
    <w:rsid w:val="004F7B15"/>
    <w:rsid w:val="005052F7"/>
    <w:rsid w:val="00511666"/>
    <w:rsid w:val="00514BDE"/>
    <w:rsid w:val="005226A8"/>
    <w:rsid w:val="005256C5"/>
    <w:rsid w:val="00530F61"/>
    <w:rsid w:val="00531AD3"/>
    <w:rsid w:val="00536EF4"/>
    <w:rsid w:val="00542C89"/>
    <w:rsid w:val="00543F72"/>
    <w:rsid w:val="00571BE0"/>
    <w:rsid w:val="00573BC2"/>
    <w:rsid w:val="00585E43"/>
    <w:rsid w:val="0059095B"/>
    <w:rsid w:val="005A10EC"/>
    <w:rsid w:val="005D29EE"/>
    <w:rsid w:val="005D3C3A"/>
    <w:rsid w:val="005E29EB"/>
    <w:rsid w:val="005E419F"/>
    <w:rsid w:val="005F38CC"/>
    <w:rsid w:val="00603B05"/>
    <w:rsid w:val="0062576A"/>
    <w:rsid w:val="0062675C"/>
    <w:rsid w:val="00635B62"/>
    <w:rsid w:val="00635E62"/>
    <w:rsid w:val="006410B3"/>
    <w:rsid w:val="0064670D"/>
    <w:rsid w:val="006470A1"/>
    <w:rsid w:val="0064784B"/>
    <w:rsid w:val="00660AA9"/>
    <w:rsid w:val="006650EA"/>
    <w:rsid w:val="0067055E"/>
    <w:rsid w:val="0067176E"/>
    <w:rsid w:val="0068395D"/>
    <w:rsid w:val="006B0950"/>
    <w:rsid w:val="006B3F98"/>
    <w:rsid w:val="006B6516"/>
    <w:rsid w:val="006E13FF"/>
    <w:rsid w:val="007150F5"/>
    <w:rsid w:val="00715EBC"/>
    <w:rsid w:val="00716982"/>
    <w:rsid w:val="00717D48"/>
    <w:rsid w:val="00732BE4"/>
    <w:rsid w:val="0075299E"/>
    <w:rsid w:val="00764640"/>
    <w:rsid w:val="0076504A"/>
    <w:rsid w:val="00771B6B"/>
    <w:rsid w:val="00772BFA"/>
    <w:rsid w:val="0078158F"/>
    <w:rsid w:val="00783CC4"/>
    <w:rsid w:val="007858BF"/>
    <w:rsid w:val="0078624B"/>
    <w:rsid w:val="007867CB"/>
    <w:rsid w:val="00790DD3"/>
    <w:rsid w:val="00791BA6"/>
    <w:rsid w:val="007A2530"/>
    <w:rsid w:val="007A382C"/>
    <w:rsid w:val="007C12D7"/>
    <w:rsid w:val="007C332C"/>
    <w:rsid w:val="007C3BDB"/>
    <w:rsid w:val="007C3E67"/>
    <w:rsid w:val="007C7B55"/>
    <w:rsid w:val="007D4BA1"/>
    <w:rsid w:val="007E4EC3"/>
    <w:rsid w:val="007F3577"/>
    <w:rsid w:val="008009D3"/>
    <w:rsid w:val="00820D91"/>
    <w:rsid w:val="00821527"/>
    <w:rsid w:val="0082566D"/>
    <w:rsid w:val="008358B2"/>
    <w:rsid w:val="008377DB"/>
    <w:rsid w:val="00866D89"/>
    <w:rsid w:val="00870455"/>
    <w:rsid w:val="0088046D"/>
    <w:rsid w:val="00893CE6"/>
    <w:rsid w:val="008A2A34"/>
    <w:rsid w:val="008B64F1"/>
    <w:rsid w:val="008D22E4"/>
    <w:rsid w:val="008D7D2B"/>
    <w:rsid w:val="009005C9"/>
    <w:rsid w:val="00901193"/>
    <w:rsid w:val="00905AFB"/>
    <w:rsid w:val="00907861"/>
    <w:rsid w:val="00911BD5"/>
    <w:rsid w:val="00911F39"/>
    <w:rsid w:val="00921E3F"/>
    <w:rsid w:val="00924925"/>
    <w:rsid w:val="00925B63"/>
    <w:rsid w:val="009345A4"/>
    <w:rsid w:val="00936461"/>
    <w:rsid w:val="00942090"/>
    <w:rsid w:val="00954406"/>
    <w:rsid w:val="00954FE1"/>
    <w:rsid w:val="0095760F"/>
    <w:rsid w:val="00960A7C"/>
    <w:rsid w:val="0096630A"/>
    <w:rsid w:val="00976F3A"/>
    <w:rsid w:val="009953BD"/>
    <w:rsid w:val="009A7219"/>
    <w:rsid w:val="009C4454"/>
    <w:rsid w:val="009D0AF1"/>
    <w:rsid w:val="009E10A8"/>
    <w:rsid w:val="009F182E"/>
    <w:rsid w:val="00A11D6F"/>
    <w:rsid w:val="00A23DB6"/>
    <w:rsid w:val="00A36E6C"/>
    <w:rsid w:val="00A94914"/>
    <w:rsid w:val="00A94CEB"/>
    <w:rsid w:val="00A96B49"/>
    <w:rsid w:val="00AA6381"/>
    <w:rsid w:val="00AB2097"/>
    <w:rsid w:val="00AD1BF7"/>
    <w:rsid w:val="00B06162"/>
    <w:rsid w:val="00B11817"/>
    <w:rsid w:val="00B13588"/>
    <w:rsid w:val="00B40289"/>
    <w:rsid w:val="00B52FDE"/>
    <w:rsid w:val="00B61BC6"/>
    <w:rsid w:val="00B71F01"/>
    <w:rsid w:val="00B915B5"/>
    <w:rsid w:val="00B91F31"/>
    <w:rsid w:val="00BA3900"/>
    <w:rsid w:val="00BB4843"/>
    <w:rsid w:val="00BB5F55"/>
    <w:rsid w:val="00BD2B78"/>
    <w:rsid w:val="00BD3184"/>
    <w:rsid w:val="00BD6A9C"/>
    <w:rsid w:val="00BE786B"/>
    <w:rsid w:val="00C05EE9"/>
    <w:rsid w:val="00C07E52"/>
    <w:rsid w:val="00C274C9"/>
    <w:rsid w:val="00C315F8"/>
    <w:rsid w:val="00C32F7C"/>
    <w:rsid w:val="00C60818"/>
    <w:rsid w:val="00C66F5E"/>
    <w:rsid w:val="00C771FE"/>
    <w:rsid w:val="00CC0489"/>
    <w:rsid w:val="00CD0E3C"/>
    <w:rsid w:val="00CE7C4C"/>
    <w:rsid w:val="00CF1C15"/>
    <w:rsid w:val="00CF45C7"/>
    <w:rsid w:val="00CF5DE9"/>
    <w:rsid w:val="00D02AC1"/>
    <w:rsid w:val="00D06E68"/>
    <w:rsid w:val="00D22684"/>
    <w:rsid w:val="00D25D32"/>
    <w:rsid w:val="00D410CF"/>
    <w:rsid w:val="00D47682"/>
    <w:rsid w:val="00D50937"/>
    <w:rsid w:val="00D668D0"/>
    <w:rsid w:val="00D732CB"/>
    <w:rsid w:val="00DA0E1D"/>
    <w:rsid w:val="00DA5B13"/>
    <w:rsid w:val="00DB03D5"/>
    <w:rsid w:val="00DC4040"/>
    <w:rsid w:val="00DE5A49"/>
    <w:rsid w:val="00DF0DEE"/>
    <w:rsid w:val="00DF2FA1"/>
    <w:rsid w:val="00DF3497"/>
    <w:rsid w:val="00E2082D"/>
    <w:rsid w:val="00E24394"/>
    <w:rsid w:val="00E374E3"/>
    <w:rsid w:val="00E83AFB"/>
    <w:rsid w:val="00EA40D3"/>
    <w:rsid w:val="00EA4EEB"/>
    <w:rsid w:val="00F00864"/>
    <w:rsid w:val="00F03051"/>
    <w:rsid w:val="00F12BF3"/>
    <w:rsid w:val="00F21480"/>
    <w:rsid w:val="00F218A8"/>
    <w:rsid w:val="00F27E84"/>
    <w:rsid w:val="00F43218"/>
    <w:rsid w:val="00F66556"/>
    <w:rsid w:val="00F72B6F"/>
    <w:rsid w:val="00F751B7"/>
    <w:rsid w:val="00F83B51"/>
    <w:rsid w:val="00FB068E"/>
    <w:rsid w:val="00FB5AD6"/>
    <w:rsid w:val="00FB607C"/>
    <w:rsid w:val="00FC6E83"/>
    <w:rsid w:val="00FF716A"/>
    <w:rsid w:val="00FF765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0FE2"/>
  <w15:docId w15:val="{7BE2D53D-7AF2-41D1-A23C-4AFF14F5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3A1913"/>
    <w:pPr>
      <w:spacing w:after="120"/>
    </w:pPr>
  </w:style>
  <w:style w:type="character" w:customStyle="1" w:styleId="PamattekstsRakstz">
    <w:name w:val="Pamatteksts Rakstz."/>
    <w:basedOn w:val="Noklusjumarindkopasfonts"/>
    <w:link w:val="Pamatteksts"/>
    <w:uiPriority w:val="99"/>
    <w:semiHidden/>
    <w:rsid w:val="003A1913"/>
  </w:style>
  <w:style w:type="paragraph" w:styleId="Pamattekstapirmatkpe">
    <w:name w:val="Body Text First Indent"/>
    <w:basedOn w:val="Pamatteksts"/>
    <w:link w:val="PamattekstapirmatkpeRakstz"/>
    <w:semiHidden/>
    <w:unhideWhenUsed/>
    <w:rsid w:val="003A1913"/>
    <w:pPr>
      <w:spacing w:line="276" w:lineRule="auto"/>
      <w:ind w:firstLine="210"/>
    </w:pPr>
    <w:rPr>
      <w:rFonts w:ascii="Calibri" w:eastAsia="Calibri" w:hAnsi="Calibri" w:cs="Times New Roman"/>
      <w:lang w:val="x-none"/>
    </w:rPr>
  </w:style>
  <w:style w:type="character" w:customStyle="1" w:styleId="PamattekstapirmatkpeRakstz">
    <w:name w:val="Pamatteksta pirmā atkāpe Rakstz."/>
    <w:basedOn w:val="PamattekstsRakstz"/>
    <w:link w:val="Pamattekstapirmatkpe"/>
    <w:semiHidden/>
    <w:rsid w:val="003A1913"/>
    <w:rPr>
      <w:rFonts w:ascii="Calibri" w:eastAsia="Calibri" w:hAnsi="Calibri" w:cs="Times New Roman"/>
      <w:lang w:val="x-none"/>
    </w:rPr>
  </w:style>
  <w:style w:type="paragraph" w:styleId="Sarakstaaizzme2">
    <w:name w:val="List Bullet 2"/>
    <w:basedOn w:val="Parasts"/>
    <w:autoRedefine/>
    <w:rsid w:val="003A1913"/>
    <w:pPr>
      <w:spacing w:after="0" w:line="360" w:lineRule="auto"/>
      <w:ind w:firstLine="709"/>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AB209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2097"/>
    <w:rPr>
      <w:rFonts w:ascii="Segoe UI" w:hAnsi="Segoe UI" w:cs="Segoe UI"/>
      <w:sz w:val="18"/>
      <w:szCs w:val="18"/>
    </w:rPr>
  </w:style>
  <w:style w:type="paragraph" w:customStyle="1" w:styleId="Standard">
    <w:name w:val="Standard"/>
    <w:uiPriority w:val="99"/>
    <w:rsid w:val="0062576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Galvene">
    <w:name w:val="header"/>
    <w:basedOn w:val="Parasts"/>
    <w:link w:val="GalveneRakstz"/>
    <w:uiPriority w:val="99"/>
    <w:unhideWhenUsed/>
    <w:rsid w:val="000D344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D344E"/>
  </w:style>
  <w:style w:type="paragraph" w:styleId="Kjene">
    <w:name w:val="footer"/>
    <w:basedOn w:val="Parasts"/>
    <w:link w:val="KjeneRakstz"/>
    <w:uiPriority w:val="99"/>
    <w:unhideWhenUsed/>
    <w:rsid w:val="000D344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D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DDB8-2989-42A9-B982-2AB5D84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6128</Words>
  <Characters>3494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Andžāne</dc:creator>
  <cp:lastModifiedBy>Liene Jākobsone</cp:lastModifiedBy>
  <cp:revision>2</cp:revision>
  <cp:lastPrinted>2021-05-28T08:14:00Z</cp:lastPrinted>
  <dcterms:created xsi:type="dcterms:W3CDTF">2021-06-01T10:50:00Z</dcterms:created>
  <dcterms:modified xsi:type="dcterms:W3CDTF">2021-06-01T10:50:00Z</dcterms:modified>
</cp:coreProperties>
</file>