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359C" w14:textId="57B5C584" w:rsidR="000574BC" w:rsidRPr="00922310" w:rsidRDefault="006E3FC5" w:rsidP="0025317F">
      <w:pPr>
        <w:tabs>
          <w:tab w:val="left" w:pos="2461"/>
        </w:tabs>
        <w:spacing w:after="120"/>
        <w:ind w:right="-483"/>
        <w:rPr>
          <w:b/>
          <w:sz w:val="24"/>
          <w:szCs w:val="24"/>
        </w:rPr>
      </w:pPr>
      <w:r w:rsidRPr="00922310">
        <w:rPr>
          <w:b/>
          <w:sz w:val="24"/>
          <w:szCs w:val="24"/>
        </w:rPr>
        <w:t>SATURA RĀDĪTĀJS</w:t>
      </w:r>
      <w:r w:rsidRPr="00922310">
        <w:rPr>
          <w:b/>
          <w:sz w:val="24"/>
          <w:szCs w:val="24"/>
        </w:rPr>
        <w:tab/>
      </w:r>
    </w:p>
    <w:p w14:paraId="1BD3CA8C" w14:textId="77777777" w:rsidR="006949D1" w:rsidRDefault="006A2DE6">
      <w:pPr>
        <w:pStyle w:val="TOC1"/>
        <w:tabs>
          <w:tab w:val="right" w:leader="dot" w:pos="8302"/>
        </w:tabs>
        <w:rPr>
          <w:rFonts w:asciiTheme="minorHAnsi" w:eastAsiaTheme="minorEastAsia" w:hAnsiTheme="minorHAnsi" w:cstheme="minorBidi"/>
          <w:noProof/>
          <w:sz w:val="22"/>
          <w:szCs w:val="22"/>
        </w:rPr>
      </w:pPr>
      <w:r w:rsidRPr="00922310">
        <w:rPr>
          <w:sz w:val="24"/>
          <w:szCs w:val="24"/>
        </w:rPr>
        <w:fldChar w:fldCharType="begin"/>
      </w:r>
      <w:r w:rsidRPr="00922310">
        <w:rPr>
          <w:sz w:val="24"/>
          <w:szCs w:val="24"/>
        </w:rPr>
        <w:instrText xml:space="preserve"> TOC \o "1-4" \h \z \u </w:instrText>
      </w:r>
      <w:r w:rsidRPr="00922310">
        <w:rPr>
          <w:sz w:val="24"/>
          <w:szCs w:val="24"/>
        </w:rPr>
        <w:fldChar w:fldCharType="separate"/>
      </w:r>
      <w:hyperlink w:anchor="_Toc522527476" w:history="1">
        <w:r w:rsidR="006949D1" w:rsidRPr="003E3C2B">
          <w:rPr>
            <w:rStyle w:val="Hyperlink"/>
            <w:noProof/>
          </w:rPr>
          <w:t>IEVADS</w:t>
        </w:r>
        <w:r w:rsidR="006949D1">
          <w:rPr>
            <w:noProof/>
            <w:webHidden/>
          </w:rPr>
          <w:tab/>
        </w:r>
        <w:r w:rsidR="006949D1">
          <w:rPr>
            <w:noProof/>
            <w:webHidden/>
          </w:rPr>
          <w:fldChar w:fldCharType="begin"/>
        </w:r>
        <w:r w:rsidR="006949D1">
          <w:rPr>
            <w:noProof/>
            <w:webHidden/>
          </w:rPr>
          <w:instrText xml:space="preserve"> PAGEREF _Toc522527476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14:paraId="270E1A87"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77" w:history="1">
        <w:r w:rsidR="006949D1" w:rsidRPr="003E3C2B">
          <w:rPr>
            <w:rStyle w:val="Hyperlink"/>
            <w:noProof/>
            <w:lang w:eastAsia="en-US"/>
          </w:rPr>
          <w:t>Ziņojuma uzbūve</w:t>
        </w:r>
        <w:r w:rsidR="006949D1">
          <w:rPr>
            <w:noProof/>
            <w:webHidden/>
          </w:rPr>
          <w:tab/>
        </w:r>
        <w:r w:rsidR="006949D1">
          <w:rPr>
            <w:noProof/>
            <w:webHidden/>
          </w:rPr>
          <w:fldChar w:fldCharType="begin"/>
        </w:r>
        <w:r w:rsidR="006949D1">
          <w:rPr>
            <w:noProof/>
            <w:webHidden/>
          </w:rPr>
          <w:instrText xml:space="preserve"> PAGEREF _Toc522527477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14:paraId="631C7353"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78" w:history="1">
        <w:r w:rsidR="006949D1" w:rsidRPr="003E3C2B">
          <w:rPr>
            <w:rStyle w:val="Hyperlink"/>
            <w:noProof/>
            <w:lang w:eastAsia="en-US"/>
          </w:rPr>
          <w:t>Darba grupas izveidošana, sastāvs, mērķi</w:t>
        </w:r>
        <w:r w:rsidR="006949D1">
          <w:rPr>
            <w:noProof/>
            <w:webHidden/>
          </w:rPr>
          <w:tab/>
        </w:r>
        <w:r w:rsidR="006949D1">
          <w:rPr>
            <w:noProof/>
            <w:webHidden/>
          </w:rPr>
          <w:fldChar w:fldCharType="begin"/>
        </w:r>
        <w:r w:rsidR="006949D1">
          <w:rPr>
            <w:noProof/>
            <w:webHidden/>
          </w:rPr>
          <w:instrText xml:space="preserve"> PAGEREF _Toc522527478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14:paraId="55811F87"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79" w:history="1">
        <w:r w:rsidR="006949D1" w:rsidRPr="003E3C2B">
          <w:rPr>
            <w:rStyle w:val="Hyperlink"/>
            <w:noProof/>
            <w:lang w:eastAsia="en-US"/>
          </w:rPr>
          <w:t>Darba principi un metodes</w:t>
        </w:r>
        <w:r w:rsidR="006949D1">
          <w:rPr>
            <w:noProof/>
            <w:webHidden/>
          </w:rPr>
          <w:tab/>
        </w:r>
        <w:r w:rsidR="006949D1">
          <w:rPr>
            <w:noProof/>
            <w:webHidden/>
          </w:rPr>
          <w:fldChar w:fldCharType="begin"/>
        </w:r>
        <w:r w:rsidR="006949D1">
          <w:rPr>
            <w:noProof/>
            <w:webHidden/>
          </w:rPr>
          <w:instrText xml:space="preserve"> PAGEREF _Toc522527479 \h </w:instrText>
        </w:r>
        <w:r w:rsidR="006949D1">
          <w:rPr>
            <w:noProof/>
            <w:webHidden/>
          </w:rPr>
        </w:r>
        <w:r w:rsidR="006949D1">
          <w:rPr>
            <w:noProof/>
            <w:webHidden/>
          </w:rPr>
          <w:fldChar w:fldCharType="separate"/>
        </w:r>
        <w:r w:rsidR="006949D1">
          <w:rPr>
            <w:noProof/>
            <w:webHidden/>
          </w:rPr>
          <w:t>4</w:t>
        </w:r>
        <w:r w:rsidR="006949D1">
          <w:rPr>
            <w:noProof/>
            <w:webHidden/>
          </w:rPr>
          <w:fldChar w:fldCharType="end"/>
        </w:r>
      </w:hyperlink>
    </w:p>
    <w:p w14:paraId="55A358DB"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0" w:history="1">
        <w:r w:rsidR="006949D1" w:rsidRPr="003E3C2B">
          <w:rPr>
            <w:rStyle w:val="Hyperlink"/>
            <w:noProof/>
          </w:rPr>
          <w:t>Izmantotie saīsinājumi</w:t>
        </w:r>
        <w:r w:rsidR="006949D1">
          <w:rPr>
            <w:noProof/>
            <w:webHidden/>
          </w:rPr>
          <w:tab/>
        </w:r>
        <w:r w:rsidR="006949D1">
          <w:rPr>
            <w:noProof/>
            <w:webHidden/>
          </w:rPr>
          <w:fldChar w:fldCharType="begin"/>
        </w:r>
        <w:r w:rsidR="006949D1">
          <w:rPr>
            <w:noProof/>
            <w:webHidden/>
          </w:rPr>
          <w:instrText xml:space="preserve"> PAGEREF _Toc522527480 \h </w:instrText>
        </w:r>
        <w:r w:rsidR="006949D1">
          <w:rPr>
            <w:noProof/>
            <w:webHidden/>
          </w:rPr>
        </w:r>
        <w:r w:rsidR="006949D1">
          <w:rPr>
            <w:noProof/>
            <w:webHidden/>
          </w:rPr>
          <w:fldChar w:fldCharType="separate"/>
        </w:r>
        <w:r w:rsidR="006949D1">
          <w:rPr>
            <w:noProof/>
            <w:webHidden/>
          </w:rPr>
          <w:t>5</w:t>
        </w:r>
        <w:r w:rsidR="006949D1">
          <w:rPr>
            <w:noProof/>
            <w:webHidden/>
          </w:rPr>
          <w:fldChar w:fldCharType="end"/>
        </w:r>
      </w:hyperlink>
    </w:p>
    <w:p w14:paraId="7694A917" w14:textId="77777777" w:rsidR="006949D1" w:rsidRDefault="00AB4F91">
      <w:pPr>
        <w:pStyle w:val="TOC1"/>
        <w:tabs>
          <w:tab w:val="right" w:leader="dot" w:pos="8302"/>
        </w:tabs>
        <w:rPr>
          <w:rFonts w:asciiTheme="minorHAnsi" w:eastAsiaTheme="minorEastAsia" w:hAnsiTheme="minorHAnsi" w:cstheme="minorBidi"/>
          <w:noProof/>
          <w:sz w:val="22"/>
          <w:szCs w:val="22"/>
        </w:rPr>
      </w:pPr>
      <w:hyperlink w:anchor="_Toc522527481" w:history="1">
        <w:r w:rsidR="006949D1" w:rsidRPr="003E3C2B">
          <w:rPr>
            <w:rStyle w:val="Hyperlink"/>
            <w:noProof/>
          </w:rPr>
          <w:t>SECINĀJUMI</w:t>
        </w:r>
        <w:r w:rsidR="006949D1">
          <w:rPr>
            <w:noProof/>
            <w:webHidden/>
          </w:rPr>
          <w:tab/>
        </w:r>
        <w:r w:rsidR="006949D1">
          <w:rPr>
            <w:noProof/>
            <w:webHidden/>
          </w:rPr>
          <w:fldChar w:fldCharType="begin"/>
        </w:r>
        <w:r w:rsidR="006949D1">
          <w:rPr>
            <w:noProof/>
            <w:webHidden/>
          </w:rPr>
          <w:instrText xml:space="preserve"> PAGEREF _Toc522527481 \h </w:instrText>
        </w:r>
        <w:r w:rsidR="006949D1">
          <w:rPr>
            <w:noProof/>
            <w:webHidden/>
          </w:rPr>
        </w:r>
        <w:r w:rsidR="006949D1">
          <w:rPr>
            <w:noProof/>
            <w:webHidden/>
          </w:rPr>
          <w:fldChar w:fldCharType="separate"/>
        </w:r>
        <w:r w:rsidR="006949D1">
          <w:rPr>
            <w:noProof/>
            <w:webHidden/>
          </w:rPr>
          <w:t>6</w:t>
        </w:r>
        <w:r w:rsidR="006949D1">
          <w:rPr>
            <w:noProof/>
            <w:webHidden/>
          </w:rPr>
          <w:fldChar w:fldCharType="end"/>
        </w:r>
      </w:hyperlink>
    </w:p>
    <w:p w14:paraId="4027C7E6"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2" w:history="1">
        <w:r w:rsidR="006949D1" w:rsidRPr="003E3C2B">
          <w:rPr>
            <w:rStyle w:val="Hyperlink"/>
            <w:noProof/>
            <w:lang w:eastAsia="en-US"/>
          </w:rPr>
          <w:t>Vispārīgs pārskats</w:t>
        </w:r>
        <w:r w:rsidR="006949D1">
          <w:rPr>
            <w:noProof/>
            <w:webHidden/>
          </w:rPr>
          <w:tab/>
        </w:r>
        <w:r w:rsidR="006949D1">
          <w:rPr>
            <w:noProof/>
            <w:webHidden/>
          </w:rPr>
          <w:fldChar w:fldCharType="begin"/>
        </w:r>
        <w:r w:rsidR="006949D1">
          <w:rPr>
            <w:noProof/>
            <w:webHidden/>
          </w:rPr>
          <w:instrText xml:space="preserve"> PAGEREF _Toc522527482 \h </w:instrText>
        </w:r>
        <w:r w:rsidR="006949D1">
          <w:rPr>
            <w:noProof/>
            <w:webHidden/>
          </w:rPr>
        </w:r>
        <w:r w:rsidR="006949D1">
          <w:rPr>
            <w:noProof/>
            <w:webHidden/>
          </w:rPr>
          <w:fldChar w:fldCharType="separate"/>
        </w:r>
        <w:r w:rsidR="006949D1">
          <w:rPr>
            <w:noProof/>
            <w:webHidden/>
          </w:rPr>
          <w:t>6</w:t>
        </w:r>
        <w:r w:rsidR="006949D1">
          <w:rPr>
            <w:noProof/>
            <w:webHidden/>
          </w:rPr>
          <w:fldChar w:fldCharType="end"/>
        </w:r>
      </w:hyperlink>
    </w:p>
    <w:p w14:paraId="512C95CD"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3" w:history="1">
        <w:r w:rsidR="006949D1" w:rsidRPr="003E3C2B">
          <w:rPr>
            <w:rStyle w:val="Hyperlink"/>
            <w:noProof/>
            <w:lang w:eastAsia="en-US"/>
          </w:rPr>
          <w:t>Konstatētie trūkumi un problēmas</w:t>
        </w:r>
        <w:r w:rsidR="006949D1">
          <w:rPr>
            <w:noProof/>
            <w:webHidden/>
          </w:rPr>
          <w:tab/>
        </w:r>
        <w:r w:rsidR="006949D1">
          <w:rPr>
            <w:noProof/>
            <w:webHidden/>
          </w:rPr>
          <w:fldChar w:fldCharType="begin"/>
        </w:r>
        <w:r w:rsidR="006949D1">
          <w:rPr>
            <w:noProof/>
            <w:webHidden/>
          </w:rPr>
          <w:instrText xml:space="preserve"> PAGEREF _Toc522527483 \h </w:instrText>
        </w:r>
        <w:r w:rsidR="006949D1">
          <w:rPr>
            <w:noProof/>
            <w:webHidden/>
          </w:rPr>
        </w:r>
        <w:r w:rsidR="006949D1">
          <w:rPr>
            <w:noProof/>
            <w:webHidden/>
          </w:rPr>
          <w:fldChar w:fldCharType="separate"/>
        </w:r>
        <w:r w:rsidR="006949D1">
          <w:rPr>
            <w:noProof/>
            <w:webHidden/>
          </w:rPr>
          <w:t>7</w:t>
        </w:r>
        <w:r w:rsidR="006949D1">
          <w:rPr>
            <w:noProof/>
            <w:webHidden/>
          </w:rPr>
          <w:fldChar w:fldCharType="end"/>
        </w:r>
      </w:hyperlink>
    </w:p>
    <w:p w14:paraId="367BABBF"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4" w:history="1">
        <w:r w:rsidR="006949D1" w:rsidRPr="003E3C2B">
          <w:rPr>
            <w:rStyle w:val="Hyperlink"/>
            <w:noProof/>
            <w:lang w:eastAsia="en-US"/>
          </w:rPr>
          <w:t>Par „ceļošanu” un „tiesnešu izvēli”</w:t>
        </w:r>
        <w:r w:rsidR="006949D1">
          <w:rPr>
            <w:noProof/>
            <w:webHidden/>
          </w:rPr>
          <w:tab/>
        </w:r>
        <w:r w:rsidR="006949D1">
          <w:rPr>
            <w:noProof/>
            <w:webHidden/>
          </w:rPr>
          <w:fldChar w:fldCharType="begin"/>
        </w:r>
        <w:r w:rsidR="006949D1">
          <w:rPr>
            <w:noProof/>
            <w:webHidden/>
          </w:rPr>
          <w:instrText xml:space="preserve"> PAGEREF _Toc522527484 \h </w:instrText>
        </w:r>
        <w:r w:rsidR="006949D1">
          <w:rPr>
            <w:noProof/>
            <w:webHidden/>
          </w:rPr>
        </w:r>
        <w:r w:rsidR="006949D1">
          <w:rPr>
            <w:noProof/>
            <w:webHidden/>
          </w:rPr>
          <w:fldChar w:fldCharType="separate"/>
        </w:r>
        <w:r w:rsidR="006949D1">
          <w:rPr>
            <w:noProof/>
            <w:webHidden/>
          </w:rPr>
          <w:t>11</w:t>
        </w:r>
        <w:r w:rsidR="006949D1">
          <w:rPr>
            <w:noProof/>
            <w:webHidden/>
          </w:rPr>
          <w:fldChar w:fldCharType="end"/>
        </w:r>
      </w:hyperlink>
    </w:p>
    <w:p w14:paraId="417882CC"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5" w:history="1">
        <w:r w:rsidR="006949D1" w:rsidRPr="003E3C2B">
          <w:rPr>
            <w:rStyle w:val="Hyperlink"/>
            <w:noProof/>
            <w:lang w:eastAsia="en-US"/>
          </w:rPr>
          <w:t>Par administratora un tiesas kompetenci</w:t>
        </w:r>
        <w:r w:rsidR="006949D1">
          <w:rPr>
            <w:noProof/>
            <w:webHidden/>
          </w:rPr>
          <w:tab/>
        </w:r>
        <w:r w:rsidR="006949D1">
          <w:rPr>
            <w:noProof/>
            <w:webHidden/>
          </w:rPr>
          <w:fldChar w:fldCharType="begin"/>
        </w:r>
        <w:r w:rsidR="006949D1">
          <w:rPr>
            <w:noProof/>
            <w:webHidden/>
          </w:rPr>
          <w:instrText xml:space="preserve"> PAGEREF _Toc522527485 \h </w:instrText>
        </w:r>
        <w:r w:rsidR="006949D1">
          <w:rPr>
            <w:noProof/>
            <w:webHidden/>
          </w:rPr>
        </w:r>
        <w:r w:rsidR="006949D1">
          <w:rPr>
            <w:noProof/>
            <w:webHidden/>
          </w:rPr>
          <w:fldChar w:fldCharType="separate"/>
        </w:r>
        <w:r w:rsidR="006949D1">
          <w:rPr>
            <w:noProof/>
            <w:webHidden/>
          </w:rPr>
          <w:t>13</w:t>
        </w:r>
        <w:r w:rsidR="006949D1">
          <w:rPr>
            <w:noProof/>
            <w:webHidden/>
          </w:rPr>
          <w:fldChar w:fldCharType="end"/>
        </w:r>
      </w:hyperlink>
    </w:p>
    <w:p w14:paraId="473E9FBB"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6" w:history="1">
        <w:r w:rsidR="006949D1" w:rsidRPr="003E3C2B">
          <w:rPr>
            <w:rStyle w:val="Hyperlink"/>
            <w:noProof/>
            <w:lang w:eastAsia="en-US"/>
          </w:rPr>
          <w:t>H. Jaujas komentārs</w:t>
        </w:r>
        <w:r w:rsidR="006949D1">
          <w:rPr>
            <w:noProof/>
            <w:webHidden/>
          </w:rPr>
          <w:tab/>
        </w:r>
        <w:r w:rsidR="006949D1">
          <w:rPr>
            <w:noProof/>
            <w:webHidden/>
          </w:rPr>
          <w:fldChar w:fldCharType="begin"/>
        </w:r>
        <w:r w:rsidR="006949D1">
          <w:rPr>
            <w:noProof/>
            <w:webHidden/>
          </w:rPr>
          <w:instrText xml:space="preserve"> PAGEREF _Toc522527486 \h </w:instrText>
        </w:r>
        <w:r w:rsidR="006949D1">
          <w:rPr>
            <w:noProof/>
            <w:webHidden/>
          </w:rPr>
        </w:r>
        <w:r w:rsidR="006949D1">
          <w:rPr>
            <w:noProof/>
            <w:webHidden/>
          </w:rPr>
          <w:fldChar w:fldCharType="separate"/>
        </w:r>
        <w:r w:rsidR="006949D1">
          <w:rPr>
            <w:noProof/>
            <w:webHidden/>
          </w:rPr>
          <w:t>14</w:t>
        </w:r>
        <w:r w:rsidR="006949D1">
          <w:rPr>
            <w:noProof/>
            <w:webHidden/>
          </w:rPr>
          <w:fldChar w:fldCharType="end"/>
        </w:r>
      </w:hyperlink>
    </w:p>
    <w:p w14:paraId="488297AF"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87" w:history="1">
        <w:r w:rsidR="006949D1" w:rsidRPr="003E3C2B">
          <w:rPr>
            <w:rStyle w:val="Hyperlink"/>
            <w:noProof/>
            <w:lang w:eastAsia="en-US"/>
          </w:rPr>
          <w:t>Dr. iur. M. Paparinska komentārs</w:t>
        </w:r>
        <w:r w:rsidR="006949D1">
          <w:rPr>
            <w:noProof/>
            <w:webHidden/>
          </w:rPr>
          <w:tab/>
        </w:r>
        <w:r w:rsidR="006949D1">
          <w:rPr>
            <w:noProof/>
            <w:webHidden/>
          </w:rPr>
          <w:fldChar w:fldCharType="begin"/>
        </w:r>
        <w:r w:rsidR="006949D1">
          <w:rPr>
            <w:noProof/>
            <w:webHidden/>
          </w:rPr>
          <w:instrText xml:space="preserve"> PAGEREF _Toc522527487 \h </w:instrText>
        </w:r>
        <w:r w:rsidR="006949D1">
          <w:rPr>
            <w:noProof/>
            <w:webHidden/>
          </w:rPr>
        </w:r>
        <w:r w:rsidR="006949D1">
          <w:rPr>
            <w:noProof/>
            <w:webHidden/>
          </w:rPr>
          <w:fldChar w:fldCharType="separate"/>
        </w:r>
        <w:r w:rsidR="006949D1">
          <w:rPr>
            <w:noProof/>
            <w:webHidden/>
          </w:rPr>
          <w:t>15</w:t>
        </w:r>
        <w:r w:rsidR="006949D1">
          <w:rPr>
            <w:noProof/>
            <w:webHidden/>
          </w:rPr>
          <w:fldChar w:fldCharType="end"/>
        </w:r>
      </w:hyperlink>
    </w:p>
    <w:p w14:paraId="5501EABE" w14:textId="77777777" w:rsidR="006949D1" w:rsidRDefault="00AB4F91">
      <w:pPr>
        <w:pStyle w:val="TOC1"/>
        <w:tabs>
          <w:tab w:val="right" w:leader="dot" w:pos="8302"/>
        </w:tabs>
        <w:rPr>
          <w:rFonts w:asciiTheme="minorHAnsi" w:eastAsiaTheme="minorEastAsia" w:hAnsiTheme="minorHAnsi" w:cstheme="minorBidi"/>
          <w:noProof/>
          <w:sz w:val="22"/>
          <w:szCs w:val="22"/>
        </w:rPr>
      </w:pPr>
      <w:hyperlink w:anchor="_Toc522527488" w:history="1">
        <w:r w:rsidR="006949D1" w:rsidRPr="003E3C2B">
          <w:rPr>
            <w:rStyle w:val="Hyperlink"/>
            <w:noProof/>
            <w:lang w:eastAsia="en-US"/>
          </w:rPr>
          <w:t>REKOMENDĀCIJAS TIESLIETU PADOMEI</w:t>
        </w:r>
        <w:r w:rsidR="006949D1">
          <w:rPr>
            <w:noProof/>
            <w:webHidden/>
          </w:rPr>
          <w:tab/>
        </w:r>
        <w:r w:rsidR="006949D1">
          <w:rPr>
            <w:noProof/>
            <w:webHidden/>
          </w:rPr>
          <w:fldChar w:fldCharType="begin"/>
        </w:r>
        <w:r w:rsidR="006949D1">
          <w:rPr>
            <w:noProof/>
            <w:webHidden/>
          </w:rPr>
          <w:instrText xml:space="preserve"> PAGEREF _Toc522527488 \h </w:instrText>
        </w:r>
        <w:r w:rsidR="006949D1">
          <w:rPr>
            <w:noProof/>
            <w:webHidden/>
          </w:rPr>
        </w:r>
        <w:r w:rsidR="006949D1">
          <w:rPr>
            <w:noProof/>
            <w:webHidden/>
          </w:rPr>
          <w:fldChar w:fldCharType="separate"/>
        </w:r>
        <w:r w:rsidR="006949D1">
          <w:rPr>
            <w:noProof/>
            <w:webHidden/>
          </w:rPr>
          <w:t>18</w:t>
        </w:r>
        <w:r w:rsidR="006949D1">
          <w:rPr>
            <w:noProof/>
            <w:webHidden/>
          </w:rPr>
          <w:fldChar w:fldCharType="end"/>
        </w:r>
      </w:hyperlink>
    </w:p>
    <w:p w14:paraId="45975084" w14:textId="77777777" w:rsidR="006949D1" w:rsidRDefault="00AB4F91">
      <w:pPr>
        <w:pStyle w:val="TOC1"/>
        <w:tabs>
          <w:tab w:val="right" w:leader="dot" w:pos="8302"/>
        </w:tabs>
        <w:rPr>
          <w:rFonts w:asciiTheme="minorHAnsi" w:eastAsiaTheme="minorEastAsia" w:hAnsiTheme="minorHAnsi" w:cstheme="minorBidi"/>
          <w:noProof/>
          <w:sz w:val="22"/>
          <w:szCs w:val="22"/>
        </w:rPr>
      </w:pPr>
      <w:hyperlink w:anchor="_Toc522527489" w:history="1">
        <w:r w:rsidR="006949D1" w:rsidRPr="003E3C2B">
          <w:rPr>
            <w:rStyle w:val="Hyperlink"/>
            <w:noProof/>
          </w:rPr>
          <w:t>IZSKATĪTO LIETU TABULA</w:t>
        </w:r>
        <w:r w:rsidR="006949D1">
          <w:rPr>
            <w:noProof/>
            <w:webHidden/>
          </w:rPr>
          <w:tab/>
        </w:r>
        <w:r w:rsidR="006949D1">
          <w:rPr>
            <w:noProof/>
            <w:webHidden/>
          </w:rPr>
          <w:fldChar w:fldCharType="begin"/>
        </w:r>
        <w:r w:rsidR="006949D1">
          <w:rPr>
            <w:noProof/>
            <w:webHidden/>
          </w:rPr>
          <w:instrText xml:space="preserve"> PAGEREF _Toc522527489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14:paraId="58F8BB75"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490" w:history="1">
        <w:r w:rsidR="006949D1" w:rsidRPr="003E3C2B">
          <w:rPr>
            <w:rStyle w:val="Hyperlink"/>
            <w:noProof/>
          </w:rPr>
          <w:t>Tiesnesis Raimonds Buls</w:t>
        </w:r>
        <w:r w:rsidR="006949D1">
          <w:rPr>
            <w:noProof/>
            <w:webHidden/>
          </w:rPr>
          <w:tab/>
        </w:r>
        <w:r w:rsidR="006949D1">
          <w:rPr>
            <w:noProof/>
            <w:webHidden/>
          </w:rPr>
          <w:fldChar w:fldCharType="begin"/>
        </w:r>
        <w:r w:rsidR="006949D1">
          <w:rPr>
            <w:noProof/>
            <w:webHidden/>
          </w:rPr>
          <w:instrText xml:space="preserve"> PAGEREF _Toc522527490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14:paraId="593C59BC"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1" w:history="1">
        <w:r w:rsidR="006949D1" w:rsidRPr="003E3C2B">
          <w:rPr>
            <w:rStyle w:val="Hyperlink"/>
            <w:noProof/>
          </w:rPr>
          <w:t>SIA „Dzimtā sēta”: Administratora sūdzība par aresta uzlikšanu mantai</w:t>
        </w:r>
        <w:r w:rsidR="006949D1">
          <w:rPr>
            <w:noProof/>
            <w:webHidden/>
          </w:rPr>
          <w:tab/>
        </w:r>
        <w:r w:rsidR="006949D1">
          <w:rPr>
            <w:noProof/>
            <w:webHidden/>
          </w:rPr>
          <w:fldChar w:fldCharType="begin"/>
        </w:r>
        <w:r w:rsidR="006949D1">
          <w:rPr>
            <w:noProof/>
            <w:webHidden/>
          </w:rPr>
          <w:instrText xml:space="preserve"> PAGEREF _Toc522527491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14:paraId="7B4B6027"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2" w:history="1">
        <w:r w:rsidR="006949D1" w:rsidRPr="003E3C2B">
          <w:rPr>
            <w:rStyle w:val="Hyperlink"/>
            <w:noProof/>
          </w:rPr>
          <w:t>SIA „Doma investīcijas”: TAP īstenošana ĀTAP gadījumā</w:t>
        </w:r>
        <w:r w:rsidR="006949D1">
          <w:rPr>
            <w:noProof/>
            <w:webHidden/>
          </w:rPr>
          <w:tab/>
        </w:r>
        <w:r w:rsidR="006949D1">
          <w:rPr>
            <w:noProof/>
            <w:webHidden/>
          </w:rPr>
          <w:fldChar w:fldCharType="begin"/>
        </w:r>
        <w:r w:rsidR="006949D1">
          <w:rPr>
            <w:noProof/>
            <w:webHidden/>
          </w:rPr>
          <w:instrText xml:space="preserve"> PAGEREF _Toc522527492 \h </w:instrText>
        </w:r>
        <w:r w:rsidR="006949D1">
          <w:rPr>
            <w:noProof/>
            <w:webHidden/>
          </w:rPr>
        </w:r>
        <w:r w:rsidR="006949D1">
          <w:rPr>
            <w:noProof/>
            <w:webHidden/>
          </w:rPr>
          <w:fldChar w:fldCharType="separate"/>
        </w:r>
        <w:r w:rsidR="006949D1">
          <w:rPr>
            <w:noProof/>
            <w:webHidden/>
          </w:rPr>
          <w:t>23</w:t>
        </w:r>
        <w:r w:rsidR="006949D1">
          <w:rPr>
            <w:noProof/>
            <w:webHidden/>
          </w:rPr>
          <w:fldChar w:fldCharType="end"/>
        </w:r>
      </w:hyperlink>
    </w:p>
    <w:p w14:paraId="15B4B6BA"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3" w:history="1">
        <w:r w:rsidR="006949D1" w:rsidRPr="003E3C2B">
          <w:rPr>
            <w:rStyle w:val="Hyperlink"/>
            <w:noProof/>
          </w:rPr>
          <w:t>SIA „Valdemāra parks”: Kreditora sūdzības par administratora lēmumiem</w:t>
        </w:r>
        <w:r w:rsidR="006949D1">
          <w:rPr>
            <w:noProof/>
            <w:webHidden/>
          </w:rPr>
          <w:tab/>
        </w:r>
        <w:r w:rsidR="006949D1">
          <w:rPr>
            <w:noProof/>
            <w:webHidden/>
          </w:rPr>
          <w:fldChar w:fldCharType="begin"/>
        </w:r>
        <w:r w:rsidR="006949D1">
          <w:rPr>
            <w:noProof/>
            <w:webHidden/>
          </w:rPr>
          <w:instrText xml:space="preserve"> PAGEREF _Toc522527493 \h </w:instrText>
        </w:r>
        <w:r w:rsidR="006949D1">
          <w:rPr>
            <w:noProof/>
            <w:webHidden/>
          </w:rPr>
        </w:r>
        <w:r w:rsidR="006949D1">
          <w:rPr>
            <w:noProof/>
            <w:webHidden/>
          </w:rPr>
          <w:fldChar w:fldCharType="separate"/>
        </w:r>
        <w:r w:rsidR="006949D1">
          <w:rPr>
            <w:noProof/>
            <w:webHidden/>
          </w:rPr>
          <w:t>24</w:t>
        </w:r>
        <w:r w:rsidR="006949D1">
          <w:rPr>
            <w:noProof/>
            <w:webHidden/>
          </w:rPr>
          <w:fldChar w:fldCharType="end"/>
        </w:r>
      </w:hyperlink>
    </w:p>
    <w:p w14:paraId="50D2A91A"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4" w:history="1">
        <w:r w:rsidR="006949D1" w:rsidRPr="003E3C2B">
          <w:rPr>
            <w:rStyle w:val="Hyperlink"/>
            <w:noProof/>
          </w:rPr>
          <w:t>SIA „Būvuzņēmums STATS”: ĀTAP pieteikums, plāns</w:t>
        </w:r>
        <w:r w:rsidR="006949D1">
          <w:rPr>
            <w:noProof/>
            <w:webHidden/>
          </w:rPr>
          <w:tab/>
        </w:r>
        <w:r w:rsidR="006949D1">
          <w:rPr>
            <w:noProof/>
            <w:webHidden/>
          </w:rPr>
          <w:fldChar w:fldCharType="begin"/>
        </w:r>
        <w:r w:rsidR="006949D1">
          <w:rPr>
            <w:noProof/>
            <w:webHidden/>
          </w:rPr>
          <w:instrText xml:space="preserve"> PAGEREF _Toc522527494 \h </w:instrText>
        </w:r>
        <w:r w:rsidR="006949D1">
          <w:rPr>
            <w:noProof/>
            <w:webHidden/>
          </w:rPr>
        </w:r>
        <w:r w:rsidR="006949D1">
          <w:rPr>
            <w:noProof/>
            <w:webHidden/>
          </w:rPr>
          <w:fldChar w:fldCharType="separate"/>
        </w:r>
        <w:r w:rsidR="006949D1">
          <w:rPr>
            <w:noProof/>
            <w:webHidden/>
          </w:rPr>
          <w:t>25</w:t>
        </w:r>
        <w:r w:rsidR="006949D1">
          <w:rPr>
            <w:noProof/>
            <w:webHidden/>
          </w:rPr>
          <w:fldChar w:fldCharType="end"/>
        </w:r>
      </w:hyperlink>
    </w:p>
    <w:p w14:paraId="3CAE38BE"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5" w:history="1">
        <w:r w:rsidR="006949D1" w:rsidRPr="003E3C2B">
          <w:rPr>
            <w:rStyle w:val="Hyperlink"/>
            <w:noProof/>
          </w:rPr>
          <w:t>SIA „Forburga”: TAP pieteikums, plāns</w:t>
        </w:r>
        <w:r w:rsidR="006949D1">
          <w:rPr>
            <w:noProof/>
            <w:webHidden/>
          </w:rPr>
          <w:tab/>
        </w:r>
        <w:r w:rsidR="006949D1">
          <w:rPr>
            <w:noProof/>
            <w:webHidden/>
          </w:rPr>
          <w:fldChar w:fldCharType="begin"/>
        </w:r>
        <w:r w:rsidR="006949D1">
          <w:rPr>
            <w:noProof/>
            <w:webHidden/>
          </w:rPr>
          <w:instrText xml:space="preserve"> PAGEREF _Toc522527495 \h </w:instrText>
        </w:r>
        <w:r w:rsidR="006949D1">
          <w:rPr>
            <w:noProof/>
            <w:webHidden/>
          </w:rPr>
        </w:r>
        <w:r w:rsidR="006949D1">
          <w:rPr>
            <w:noProof/>
            <w:webHidden/>
          </w:rPr>
          <w:fldChar w:fldCharType="separate"/>
        </w:r>
        <w:r w:rsidR="006949D1">
          <w:rPr>
            <w:noProof/>
            <w:webHidden/>
          </w:rPr>
          <w:t>26</w:t>
        </w:r>
        <w:r w:rsidR="006949D1">
          <w:rPr>
            <w:noProof/>
            <w:webHidden/>
          </w:rPr>
          <w:fldChar w:fldCharType="end"/>
        </w:r>
      </w:hyperlink>
    </w:p>
    <w:p w14:paraId="02C392E4"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6"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_Toc522527496 \h </w:instrText>
        </w:r>
        <w:r w:rsidR="006949D1">
          <w:rPr>
            <w:noProof/>
            <w:webHidden/>
          </w:rPr>
        </w:r>
        <w:r w:rsidR="006949D1">
          <w:rPr>
            <w:noProof/>
            <w:webHidden/>
          </w:rPr>
          <w:fldChar w:fldCharType="separate"/>
        </w:r>
        <w:r w:rsidR="006949D1">
          <w:rPr>
            <w:noProof/>
            <w:webHidden/>
          </w:rPr>
          <w:t>27</w:t>
        </w:r>
        <w:r w:rsidR="006949D1">
          <w:rPr>
            <w:noProof/>
            <w:webHidden/>
          </w:rPr>
          <w:fldChar w:fldCharType="end"/>
        </w:r>
      </w:hyperlink>
    </w:p>
    <w:p w14:paraId="23E6DB58"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7"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_Toc522527497 \h </w:instrText>
        </w:r>
        <w:r w:rsidR="006949D1">
          <w:rPr>
            <w:noProof/>
            <w:webHidden/>
          </w:rPr>
        </w:r>
        <w:r w:rsidR="006949D1">
          <w:rPr>
            <w:noProof/>
            <w:webHidden/>
          </w:rPr>
          <w:fldChar w:fldCharType="separate"/>
        </w:r>
        <w:r w:rsidR="006949D1">
          <w:rPr>
            <w:noProof/>
            <w:webHidden/>
          </w:rPr>
          <w:t>29</w:t>
        </w:r>
        <w:r w:rsidR="006949D1">
          <w:rPr>
            <w:noProof/>
            <w:webHidden/>
          </w:rPr>
          <w:fldChar w:fldCharType="end"/>
        </w:r>
      </w:hyperlink>
    </w:p>
    <w:p w14:paraId="6A798062"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8" w:history="1">
        <w:r w:rsidR="006949D1" w:rsidRPr="003E3C2B">
          <w:rPr>
            <w:rStyle w:val="Hyperlink"/>
            <w:noProof/>
          </w:rPr>
          <w:t>SIA „Troja Immobilien”; SIA “Ceturtā planēta”</w:t>
        </w:r>
        <w:r w:rsidR="006949D1">
          <w:rPr>
            <w:noProof/>
            <w:webHidden/>
          </w:rPr>
          <w:tab/>
        </w:r>
        <w:r w:rsidR="006949D1">
          <w:rPr>
            <w:noProof/>
            <w:webHidden/>
          </w:rPr>
          <w:fldChar w:fldCharType="begin"/>
        </w:r>
        <w:r w:rsidR="006949D1">
          <w:rPr>
            <w:noProof/>
            <w:webHidden/>
          </w:rPr>
          <w:instrText xml:space="preserve"> PAGEREF _Toc522527498 \h </w:instrText>
        </w:r>
        <w:r w:rsidR="006949D1">
          <w:rPr>
            <w:noProof/>
            <w:webHidden/>
          </w:rPr>
        </w:r>
        <w:r w:rsidR="006949D1">
          <w:rPr>
            <w:noProof/>
            <w:webHidden/>
          </w:rPr>
          <w:fldChar w:fldCharType="separate"/>
        </w:r>
        <w:r w:rsidR="006949D1">
          <w:rPr>
            <w:noProof/>
            <w:webHidden/>
          </w:rPr>
          <w:t>31</w:t>
        </w:r>
        <w:r w:rsidR="006949D1">
          <w:rPr>
            <w:noProof/>
            <w:webHidden/>
          </w:rPr>
          <w:fldChar w:fldCharType="end"/>
        </w:r>
      </w:hyperlink>
    </w:p>
    <w:p w14:paraId="523F1009"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499" w:history="1">
        <w:r w:rsidR="006949D1" w:rsidRPr="003E3C2B">
          <w:rPr>
            <w:rStyle w:val="Hyperlink"/>
            <w:noProof/>
          </w:rPr>
          <w:t>SIA „Tērbatas biznesa centrs”: ĀTAP pieteikums; SIA „Arts Plaza”: ĀTAP pieteikums</w:t>
        </w:r>
        <w:r w:rsidR="006949D1">
          <w:rPr>
            <w:noProof/>
            <w:webHidden/>
          </w:rPr>
          <w:tab/>
        </w:r>
        <w:r w:rsidR="006949D1">
          <w:rPr>
            <w:noProof/>
            <w:webHidden/>
          </w:rPr>
          <w:fldChar w:fldCharType="begin"/>
        </w:r>
        <w:r w:rsidR="006949D1">
          <w:rPr>
            <w:noProof/>
            <w:webHidden/>
          </w:rPr>
          <w:instrText xml:space="preserve"> PAGEREF _Toc522527499 \h </w:instrText>
        </w:r>
        <w:r w:rsidR="006949D1">
          <w:rPr>
            <w:noProof/>
            <w:webHidden/>
          </w:rPr>
        </w:r>
        <w:r w:rsidR="006949D1">
          <w:rPr>
            <w:noProof/>
            <w:webHidden/>
          </w:rPr>
          <w:fldChar w:fldCharType="separate"/>
        </w:r>
        <w:r w:rsidR="006949D1">
          <w:rPr>
            <w:noProof/>
            <w:webHidden/>
          </w:rPr>
          <w:t>34</w:t>
        </w:r>
        <w:r w:rsidR="006949D1">
          <w:rPr>
            <w:noProof/>
            <w:webHidden/>
          </w:rPr>
          <w:fldChar w:fldCharType="end"/>
        </w:r>
      </w:hyperlink>
    </w:p>
    <w:p w14:paraId="5856FA57"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0" w:history="1">
        <w:r w:rsidR="006949D1" w:rsidRPr="003E3C2B">
          <w:rPr>
            <w:rStyle w:val="Hyperlink"/>
            <w:noProof/>
          </w:rPr>
          <w:t>SIA „Gvano”: ĀTAP pieteikums</w:t>
        </w:r>
        <w:r w:rsidR="006949D1">
          <w:rPr>
            <w:noProof/>
            <w:webHidden/>
          </w:rPr>
          <w:tab/>
        </w:r>
        <w:r w:rsidR="006949D1">
          <w:rPr>
            <w:noProof/>
            <w:webHidden/>
          </w:rPr>
          <w:fldChar w:fldCharType="begin"/>
        </w:r>
        <w:r w:rsidR="006949D1">
          <w:rPr>
            <w:noProof/>
            <w:webHidden/>
          </w:rPr>
          <w:instrText xml:space="preserve"> PAGEREF _Toc522527500 \h </w:instrText>
        </w:r>
        <w:r w:rsidR="006949D1">
          <w:rPr>
            <w:noProof/>
            <w:webHidden/>
          </w:rPr>
        </w:r>
        <w:r w:rsidR="006949D1">
          <w:rPr>
            <w:noProof/>
            <w:webHidden/>
          </w:rPr>
          <w:fldChar w:fldCharType="separate"/>
        </w:r>
        <w:r w:rsidR="006949D1">
          <w:rPr>
            <w:noProof/>
            <w:webHidden/>
          </w:rPr>
          <w:t>36</w:t>
        </w:r>
        <w:r w:rsidR="006949D1">
          <w:rPr>
            <w:noProof/>
            <w:webHidden/>
          </w:rPr>
          <w:fldChar w:fldCharType="end"/>
        </w:r>
      </w:hyperlink>
    </w:p>
    <w:p w14:paraId="1BCEC9FA"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1" w:history="1">
        <w:r w:rsidR="006949D1" w:rsidRPr="003E3C2B">
          <w:rPr>
            <w:rStyle w:val="Hyperlink"/>
            <w:noProof/>
          </w:rPr>
          <w:t>SIA „Balta-X” maksātnespējas procesa pieteikums</w:t>
        </w:r>
        <w:r w:rsidR="006949D1">
          <w:rPr>
            <w:noProof/>
            <w:webHidden/>
          </w:rPr>
          <w:tab/>
        </w:r>
        <w:r w:rsidR="006949D1">
          <w:rPr>
            <w:noProof/>
            <w:webHidden/>
          </w:rPr>
          <w:fldChar w:fldCharType="begin"/>
        </w:r>
        <w:r w:rsidR="006949D1">
          <w:rPr>
            <w:noProof/>
            <w:webHidden/>
          </w:rPr>
          <w:instrText xml:space="preserve"> PAGEREF _Toc522527501 \h </w:instrText>
        </w:r>
        <w:r w:rsidR="006949D1">
          <w:rPr>
            <w:noProof/>
            <w:webHidden/>
          </w:rPr>
        </w:r>
        <w:r w:rsidR="006949D1">
          <w:rPr>
            <w:noProof/>
            <w:webHidden/>
          </w:rPr>
          <w:fldChar w:fldCharType="separate"/>
        </w:r>
        <w:r w:rsidR="006949D1">
          <w:rPr>
            <w:noProof/>
            <w:webHidden/>
          </w:rPr>
          <w:t>38</w:t>
        </w:r>
        <w:r w:rsidR="006949D1">
          <w:rPr>
            <w:noProof/>
            <w:webHidden/>
          </w:rPr>
          <w:fldChar w:fldCharType="end"/>
        </w:r>
      </w:hyperlink>
    </w:p>
    <w:p w14:paraId="672744A6"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02" w:history="1">
        <w:r w:rsidR="006949D1" w:rsidRPr="003E3C2B">
          <w:rPr>
            <w:rStyle w:val="Hyperlink"/>
            <w:noProof/>
          </w:rPr>
          <w:t>Tiesnesis Imants Dzenis</w:t>
        </w:r>
        <w:r w:rsidR="006949D1">
          <w:rPr>
            <w:noProof/>
            <w:webHidden/>
          </w:rPr>
          <w:tab/>
        </w:r>
        <w:r w:rsidR="006949D1">
          <w:rPr>
            <w:noProof/>
            <w:webHidden/>
          </w:rPr>
          <w:fldChar w:fldCharType="begin"/>
        </w:r>
        <w:r w:rsidR="006949D1">
          <w:rPr>
            <w:noProof/>
            <w:webHidden/>
          </w:rPr>
          <w:instrText xml:space="preserve"> PAGEREF _Toc522527502 \h </w:instrText>
        </w:r>
        <w:r w:rsidR="006949D1">
          <w:rPr>
            <w:noProof/>
            <w:webHidden/>
          </w:rPr>
        </w:r>
        <w:r w:rsidR="006949D1">
          <w:rPr>
            <w:noProof/>
            <w:webHidden/>
          </w:rPr>
          <w:fldChar w:fldCharType="separate"/>
        </w:r>
        <w:r w:rsidR="006949D1">
          <w:rPr>
            <w:noProof/>
            <w:webHidden/>
          </w:rPr>
          <w:t>42</w:t>
        </w:r>
        <w:r w:rsidR="006949D1">
          <w:rPr>
            <w:noProof/>
            <w:webHidden/>
          </w:rPr>
          <w:fldChar w:fldCharType="end"/>
        </w:r>
      </w:hyperlink>
    </w:p>
    <w:p w14:paraId="6881836C"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3" w:history="1">
        <w:r w:rsidR="006949D1" w:rsidRPr="003E3C2B">
          <w:rPr>
            <w:rStyle w:val="Hyperlink"/>
            <w:noProof/>
          </w:rPr>
          <w:t>SIA „Ķeizarmežs”: TAP pieteikums, plāns</w:t>
        </w:r>
        <w:r w:rsidR="006949D1">
          <w:rPr>
            <w:noProof/>
            <w:webHidden/>
          </w:rPr>
          <w:tab/>
        </w:r>
        <w:r w:rsidR="006949D1">
          <w:rPr>
            <w:noProof/>
            <w:webHidden/>
          </w:rPr>
          <w:fldChar w:fldCharType="begin"/>
        </w:r>
        <w:r w:rsidR="006949D1">
          <w:rPr>
            <w:noProof/>
            <w:webHidden/>
          </w:rPr>
          <w:instrText xml:space="preserve"> PAGEREF _Toc522527503 \h </w:instrText>
        </w:r>
        <w:r w:rsidR="006949D1">
          <w:rPr>
            <w:noProof/>
            <w:webHidden/>
          </w:rPr>
        </w:r>
        <w:r w:rsidR="006949D1">
          <w:rPr>
            <w:noProof/>
            <w:webHidden/>
          </w:rPr>
          <w:fldChar w:fldCharType="separate"/>
        </w:r>
        <w:r w:rsidR="006949D1">
          <w:rPr>
            <w:noProof/>
            <w:webHidden/>
          </w:rPr>
          <w:t>42</w:t>
        </w:r>
        <w:r w:rsidR="006949D1">
          <w:rPr>
            <w:noProof/>
            <w:webHidden/>
          </w:rPr>
          <w:fldChar w:fldCharType="end"/>
        </w:r>
      </w:hyperlink>
    </w:p>
    <w:p w14:paraId="4B9BAE62"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4" w:history="1">
        <w:r w:rsidR="006949D1" w:rsidRPr="003E3C2B">
          <w:rPr>
            <w:rStyle w:val="Hyperlink"/>
            <w:noProof/>
          </w:rPr>
          <w:t>SIA „Alkantra”: Administratora lēmums par komercķīlas apjomu</w:t>
        </w:r>
        <w:r w:rsidR="006949D1">
          <w:rPr>
            <w:noProof/>
            <w:webHidden/>
          </w:rPr>
          <w:tab/>
        </w:r>
        <w:r w:rsidR="006949D1">
          <w:rPr>
            <w:noProof/>
            <w:webHidden/>
          </w:rPr>
          <w:fldChar w:fldCharType="begin"/>
        </w:r>
        <w:r w:rsidR="006949D1">
          <w:rPr>
            <w:noProof/>
            <w:webHidden/>
          </w:rPr>
          <w:instrText xml:space="preserve"> PAGEREF _Toc522527504 \h </w:instrText>
        </w:r>
        <w:r w:rsidR="006949D1">
          <w:rPr>
            <w:noProof/>
            <w:webHidden/>
          </w:rPr>
        </w:r>
        <w:r w:rsidR="006949D1">
          <w:rPr>
            <w:noProof/>
            <w:webHidden/>
          </w:rPr>
          <w:fldChar w:fldCharType="separate"/>
        </w:r>
        <w:r w:rsidR="006949D1">
          <w:rPr>
            <w:noProof/>
            <w:webHidden/>
          </w:rPr>
          <w:t>43</w:t>
        </w:r>
        <w:r w:rsidR="006949D1">
          <w:rPr>
            <w:noProof/>
            <w:webHidden/>
          </w:rPr>
          <w:fldChar w:fldCharType="end"/>
        </w:r>
      </w:hyperlink>
    </w:p>
    <w:p w14:paraId="2E7DD1E0"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5" w:history="1">
        <w:r w:rsidR="006949D1" w:rsidRPr="003E3C2B">
          <w:rPr>
            <w:rStyle w:val="Hyperlink"/>
            <w:noProof/>
          </w:rPr>
          <w:t>SIA „Winergy”: TAP pieteikums, lēmums par administratora iecelšanu</w:t>
        </w:r>
        <w:r w:rsidR="006949D1">
          <w:rPr>
            <w:noProof/>
            <w:webHidden/>
          </w:rPr>
          <w:tab/>
        </w:r>
        <w:r w:rsidR="006949D1">
          <w:rPr>
            <w:noProof/>
            <w:webHidden/>
          </w:rPr>
          <w:fldChar w:fldCharType="begin"/>
        </w:r>
        <w:r w:rsidR="006949D1">
          <w:rPr>
            <w:noProof/>
            <w:webHidden/>
          </w:rPr>
          <w:instrText xml:space="preserve"> PAGEREF _Toc522527505 \h </w:instrText>
        </w:r>
        <w:r w:rsidR="006949D1">
          <w:rPr>
            <w:noProof/>
            <w:webHidden/>
          </w:rPr>
        </w:r>
        <w:r w:rsidR="006949D1">
          <w:rPr>
            <w:noProof/>
            <w:webHidden/>
          </w:rPr>
          <w:fldChar w:fldCharType="separate"/>
        </w:r>
        <w:r w:rsidR="006949D1">
          <w:rPr>
            <w:noProof/>
            <w:webHidden/>
          </w:rPr>
          <w:t>44</w:t>
        </w:r>
        <w:r w:rsidR="006949D1">
          <w:rPr>
            <w:noProof/>
            <w:webHidden/>
          </w:rPr>
          <w:fldChar w:fldCharType="end"/>
        </w:r>
      </w:hyperlink>
    </w:p>
    <w:p w14:paraId="2BE943E9"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6" w:history="1">
        <w:r w:rsidR="006949D1" w:rsidRPr="003E3C2B">
          <w:rPr>
            <w:rStyle w:val="Hyperlink"/>
            <w:noProof/>
          </w:rPr>
          <w:t>SIA „Gvano”: ĀTAP pieteikums</w:t>
        </w:r>
        <w:r w:rsidR="006949D1">
          <w:rPr>
            <w:noProof/>
            <w:webHidden/>
          </w:rPr>
          <w:tab/>
        </w:r>
        <w:r w:rsidR="006949D1">
          <w:rPr>
            <w:noProof/>
            <w:webHidden/>
          </w:rPr>
          <w:fldChar w:fldCharType="begin"/>
        </w:r>
        <w:r w:rsidR="006949D1">
          <w:rPr>
            <w:noProof/>
            <w:webHidden/>
          </w:rPr>
          <w:instrText xml:space="preserve"> PAGEREF _Toc522527506 \h </w:instrText>
        </w:r>
        <w:r w:rsidR="006949D1">
          <w:rPr>
            <w:noProof/>
            <w:webHidden/>
          </w:rPr>
        </w:r>
        <w:r w:rsidR="006949D1">
          <w:rPr>
            <w:noProof/>
            <w:webHidden/>
          </w:rPr>
          <w:fldChar w:fldCharType="separate"/>
        </w:r>
        <w:r w:rsidR="006949D1">
          <w:rPr>
            <w:noProof/>
            <w:webHidden/>
          </w:rPr>
          <w:t>45</w:t>
        </w:r>
        <w:r w:rsidR="006949D1">
          <w:rPr>
            <w:noProof/>
            <w:webHidden/>
          </w:rPr>
          <w:fldChar w:fldCharType="end"/>
        </w:r>
      </w:hyperlink>
    </w:p>
    <w:p w14:paraId="2EDF0AB3"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07" w:history="1">
        <w:r w:rsidR="006949D1" w:rsidRPr="003E3C2B">
          <w:rPr>
            <w:rStyle w:val="Hyperlink"/>
            <w:noProof/>
          </w:rPr>
          <w:t>Tiesnese Valija Grebežniece</w:t>
        </w:r>
        <w:r w:rsidR="006949D1">
          <w:rPr>
            <w:noProof/>
            <w:webHidden/>
          </w:rPr>
          <w:tab/>
        </w:r>
        <w:r w:rsidR="006949D1">
          <w:rPr>
            <w:noProof/>
            <w:webHidden/>
          </w:rPr>
          <w:fldChar w:fldCharType="begin"/>
        </w:r>
        <w:r w:rsidR="006949D1">
          <w:rPr>
            <w:noProof/>
            <w:webHidden/>
          </w:rPr>
          <w:instrText xml:space="preserve"> PAGEREF _Toc522527507 \h </w:instrText>
        </w:r>
        <w:r w:rsidR="006949D1">
          <w:rPr>
            <w:noProof/>
            <w:webHidden/>
          </w:rPr>
        </w:r>
        <w:r w:rsidR="006949D1">
          <w:rPr>
            <w:noProof/>
            <w:webHidden/>
          </w:rPr>
          <w:fldChar w:fldCharType="separate"/>
        </w:r>
        <w:r w:rsidR="006949D1">
          <w:rPr>
            <w:noProof/>
            <w:webHidden/>
          </w:rPr>
          <w:t>46</w:t>
        </w:r>
        <w:r w:rsidR="006949D1">
          <w:rPr>
            <w:noProof/>
            <w:webHidden/>
          </w:rPr>
          <w:fldChar w:fldCharType="end"/>
        </w:r>
      </w:hyperlink>
    </w:p>
    <w:p w14:paraId="3DAA52B0"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8" w:history="1">
        <w:r w:rsidR="006949D1" w:rsidRPr="003E3C2B">
          <w:rPr>
            <w:rStyle w:val="Hyperlink"/>
            <w:noProof/>
          </w:rPr>
          <w:t>SIA „Jurta”: administratora pieteikums par ĀTAP izbeigšanu un maksātnespējas procesa pasludināšanu</w:t>
        </w:r>
        <w:r w:rsidR="006949D1">
          <w:rPr>
            <w:noProof/>
            <w:webHidden/>
          </w:rPr>
          <w:tab/>
        </w:r>
        <w:r w:rsidR="006949D1">
          <w:rPr>
            <w:noProof/>
            <w:webHidden/>
          </w:rPr>
          <w:fldChar w:fldCharType="begin"/>
        </w:r>
        <w:r w:rsidR="006949D1">
          <w:rPr>
            <w:noProof/>
            <w:webHidden/>
          </w:rPr>
          <w:instrText xml:space="preserve"> PAGEREF _Toc522527508 \h </w:instrText>
        </w:r>
        <w:r w:rsidR="006949D1">
          <w:rPr>
            <w:noProof/>
            <w:webHidden/>
          </w:rPr>
        </w:r>
        <w:r w:rsidR="006949D1">
          <w:rPr>
            <w:noProof/>
            <w:webHidden/>
          </w:rPr>
          <w:fldChar w:fldCharType="separate"/>
        </w:r>
        <w:r w:rsidR="006949D1">
          <w:rPr>
            <w:noProof/>
            <w:webHidden/>
          </w:rPr>
          <w:t>46</w:t>
        </w:r>
        <w:r w:rsidR="006949D1">
          <w:rPr>
            <w:noProof/>
            <w:webHidden/>
          </w:rPr>
          <w:fldChar w:fldCharType="end"/>
        </w:r>
      </w:hyperlink>
    </w:p>
    <w:p w14:paraId="4A3305B9"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09" w:history="1">
        <w:r w:rsidR="006949D1" w:rsidRPr="003E3C2B">
          <w:rPr>
            <w:rStyle w:val="Hyperlink"/>
            <w:noProof/>
          </w:rPr>
          <w:t>KS „Abra”: TAP īstenošana ĀTAP gadījumā</w:t>
        </w:r>
        <w:r w:rsidR="006949D1">
          <w:rPr>
            <w:noProof/>
            <w:webHidden/>
          </w:rPr>
          <w:tab/>
        </w:r>
        <w:r w:rsidR="006949D1">
          <w:rPr>
            <w:noProof/>
            <w:webHidden/>
          </w:rPr>
          <w:fldChar w:fldCharType="begin"/>
        </w:r>
        <w:r w:rsidR="006949D1">
          <w:rPr>
            <w:noProof/>
            <w:webHidden/>
          </w:rPr>
          <w:instrText xml:space="preserve"> PAGEREF _Toc522527509 \h </w:instrText>
        </w:r>
        <w:r w:rsidR="006949D1">
          <w:rPr>
            <w:noProof/>
            <w:webHidden/>
          </w:rPr>
        </w:r>
        <w:r w:rsidR="006949D1">
          <w:rPr>
            <w:noProof/>
            <w:webHidden/>
          </w:rPr>
          <w:fldChar w:fldCharType="separate"/>
        </w:r>
        <w:r w:rsidR="006949D1">
          <w:rPr>
            <w:noProof/>
            <w:webHidden/>
          </w:rPr>
          <w:t>48</w:t>
        </w:r>
        <w:r w:rsidR="006949D1">
          <w:rPr>
            <w:noProof/>
            <w:webHidden/>
          </w:rPr>
          <w:fldChar w:fldCharType="end"/>
        </w:r>
      </w:hyperlink>
    </w:p>
    <w:p w14:paraId="226F779B"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0" w:history="1">
        <w:r w:rsidR="006949D1" w:rsidRPr="003E3C2B">
          <w:rPr>
            <w:rStyle w:val="Hyperlink"/>
            <w:noProof/>
          </w:rPr>
          <w:t>ZS „Zemzari”: TAP īstenošana ĀTAP gadījumā</w:t>
        </w:r>
        <w:r w:rsidR="006949D1">
          <w:rPr>
            <w:noProof/>
            <w:webHidden/>
          </w:rPr>
          <w:tab/>
        </w:r>
        <w:r w:rsidR="006949D1">
          <w:rPr>
            <w:noProof/>
            <w:webHidden/>
          </w:rPr>
          <w:fldChar w:fldCharType="begin"/>
        </w:r>
        <w:r w:rsidR="006949D1">
          <w:rPr>
            <w:noProof/>
            <w:webHidden/>
          </w:rPr>
          <w:instrText xml:space="preserve"> PAGEREF _Toc522527510 \h </w:instrText>
        </w:r>
        <w:r w:rsidR="006949D1">
          <w:rPr>
            <w:noProof/>
            <w:webHidden/>
          </w:rPr>
        </w:r>
        <w:r w:rsidR="006949D1">
          <w:rPr>
            <w:noProof/>
            <w:webHidden/>
          </w:rPr>
          <w:fldChar w:fldCharType="separate"/>
        </w:r>
        <w:r w:rsidR="006949D1">
          <w:rPr>
            <w:noProof/>
            <w:webHidden/>
          </w:rPr>
          <w:t>49</w:t>
        </w:r>
        <w:r w:rsidR="006949D1">
          <w:rPr>
            <w:noProof/>
            <w:webHidden/>
          </w:rPr>
          <w:fldChar w:fldCharType="end"/>
        </w:r>
      </w:hyperlink>
    </w:p>
    <w:p w14:paraId="294C3047"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1" w:history="1">
        <w:r w:rsidR="006949D1" w:rsidRPr="003E3C2B">
          <w:rPr>
            <w:rStyle w:val="Hyperlink"/>
            <w:noProof/>
          </w:rPr>
          <w:t>SIA „ZS VEĢI”: TAP īstenošana ĀTAP gadījumā</w:t>
        </w:r>
        <w:r w:rsidR="006949D1">
          <w:rPr>
            <w:noProof/>
            <w:webHidden/>
          </w:rPr>
          <w:tab/>
        </w:r>
        <w:r w:rsidR="006949D1">
          <w:rPr>
            <w:noProof/>
            <w:webHidden/>
          </w:rPr>
          <w:fldChar w:fldCharType="begin"/>
        </w:r>
        <w:r w:rsidR="006949D1">
          <w:rPr>
            <w:noProof/>
            <w:webHidden/>
          </w:rPr>
          <w:instrText xml:space="preserve"> PAGEREF _Toc522527511 \h </w:instrText>
        </w:r>
        <w:r w:rsidR="006949D1">
          <w:rPr>
            <w:noProof/>
            <w:webHidden/>
          </w:rPr>
        </w:r>
        <w:r w:rsidR="006949D1">
          <w:rPr>
            <w:noProof/>
            <w:webHidden/>
          </w:rPr>
          <w:fldChar w:fldCharType="separate"/>
        </w:r>
        <w:r w:rsidR="006949D1">
          <w:rPr>
            <w:noProof/>
            <w:webHidden/>
          </w:rPr>
          <w:t>51</w:t>
        </w:r>
        <w:r w:rsidR="006949D1">
          <w:rPr>
            <w:noProof/>
            <w:webHidden/>
          </w:rPr>
          <w:fldChar w:fldCharType="end"/>
        </w:r>
      </w:hyperlink>
    </w:p>
    <w:p w14:paraId="6AE4EBC2"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2" w:history="1">
        <w:r w:rsidR="006949D1" w:rsidRPr="003E3C2B">
          <w:rPr>
            <w:rStyle w:val="Hyperlink"/>
            <w:noProof/>
          </w:rPr>
          <w:t>SIA „BLC”: TAP pieteikums</w:t>
        </w:r>
        <w:r w:rsidR="006949D1">
          <w:rPr>
            <w:noProof/>
            <w:webHidden/>
          </w:rPr>
          <w:tab/>
        </w:r>
        <w:r w:rsidR="006949D1">
          <w:rPr>
            <w:noProof/>
            <w:webHidden/>
          </w:rPr>
          <w:fldChar w:fldCharType="begin"/>
        </w:r>
        <w:r w:rsidR="006949D1">
          <w:rPr>
            <w:noProof/>
            <w:webHidden/>
          </w:rPr>
          <w:instrText xml:space="preserve"> PAGEREF _Toc522527512 \h </w:instrText>
        </w:r>
        <w:r w:rsidR="006949D1">
          <w:rPr>
            <w:noProof/>
            <w:webHidden/>
          </w:rPr>
        </w:r>
        <w:r w:rsidR="006949D1">
          <w:rPr>
            <w:noProof/>
            <w:webHidden/>
          </w:rPr>
          <w:fldChar w:fldCharType="separate"/>
        </w:r>
        <w:r w:rsidR="006949D1">
          <w:rPr>
            <w:noProof/>
            <w:webHidden/>
          </w:rPr>
          <w:t>51</w:t>
        </w:r>
        <w:r w:rsidR="006949D1">
          <w:rPr>
            <w:noProof/>
            <w:webHidden/>
          </w:rPr>
          <w:fldChar w:fldCharType="end"/>
        </w:r>
      </w:hyperlink>
    </w:p>
    <w:p w14:paraId="6B3554C1"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3" w:history="1">
        <w:r w:rsidR="006949D1" w:rsidRPr="003E3C2B">
          <w:rPr>
            <w:rStyle w:val="Hyperlink"/>
            <w:noProof/>
          </w:rPr>
          <w:t>SIA „CCP finanses”; SIA „MEŽLEJAS”; SIA „R CASE”; SIA „EKO FORUMS”; SIA „SERISA”</w:t>
        </w:r>
        <w:r w:rsidR="006949D1">
          <w:rPr>
            <w:noProof/>
            <w:webHidden/>
          </w:rPr>
          <w:tab/>
        </w:r>
        <w:r w:rsidR="006949D1">
          <w:rPr>
            <w:noProof/>
            <w:webHidden/>
          </w:rPr>
          <w:fldChar w:fldCharType="begin"/>
        </w:r>
        <w:r w:rsidR="006949D1">
          <w:rPr>
            <w:noProof/>
            <w:webHidden/>
          </w:rPr>
          <w:instrText xml:space="preserve"> PAGEREF _Toc522527513 \h </w:instrText>
        </w:r>
        <w:r w:rsidR="006949D1">
          <w:rPr>
            <w:noProof/>
            <w:webHidden/>
          </w:rPr>
        </w:r>
        <w:r w:rsidR="006949D1">
          <w:rPr>
            <w:noProof/>
            <w:webHidden/>
          </w:rPr>
          <w:fldChar w:fldCharType="separate"/>
        </w:r>
        <w:r w:rsidR="006949D1">
          <w:rPr>
            <w:noProof/>
            <w:webHidden/>
          </w:rPr>
          <w:t>52</w:t>
        </w:r>
        <w:r w:rsidR="006949D1">
          <w:rPr>
            <w:noProof/>
            <w:webHidden/>
          </w:rPr>
          <w:fldChar w:fldCharType="end"/>
        </w:r>
      </w:hyperlink>
    </w:p>
    <w:p w14:paraId="780163E0"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14" w:history="1">
        <w:r w:rsidR="006949D1" w:rsidRPr="003E3C2B">
          <w:rPr>
            <w:rStyle w:val="Hyperlink"/>
            <w:noProof/>
          </w:rPr>
          <w:t>Tiesnese Iveta Krēvica</w:t>
        </w:r>
        <w:r w:rsidR="006949D1">
          <w:rPr>
            <w:noProof/>
            <w:webHidden/>
          </w:rPr>
          <w:tab/>
        </w:r>
        <w:r w:rsidR="006949D1">
          <w:rPr>
            <w:noProof/>
            <w:webHidden/>
          </w:rPr>
          <w:fldChar w:fldCharType="begin"/>
        </w:r>
        <w:r w:rsidR="006949D1">
          <w:rPr>
            <w:noProof/>
            <w:webHidden/>
          </w:rPr>
          <w:instrText xml:space="preserve"> PAGEREF _Toc522527514 \h </w:instrText>
        </w:r>
        <w:r w:rsidR="006949D1">
          <w:rPr>
            <w:noProof/>
            <w:webHidden/>
          </w:rPr>
        </w:r>
        <w:r w:rsidR="006949D1">
          <w:rPr>
            <w:noProof/>
            <w:webHidden/>
          </w:rPr>
          <w:fldChar w:fldCharType="separate"/>
        </w:r>
        <w:r w:rsidR="006949D1">
          <w:rPr>
            <w:noProof/>
            <w:webHidden/>
          </w:rPr>
          <w:t>55</w:t>
        </w:r>
        <w:r w:rsidR="006949D1">
          <w:rPr>
            <w:noProof/>
            <w:webHidden/>
          </w:rPr>
          <w:fldChar w:fldCharType="end"/>
        </w:r>
      </w:hyperlink>
    </w:p>
    <w:p w14:paraId="68617AA3"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5" w:history="1">
        <w:r w:rsidR="006949D1" w:rsidRPr="003E3C2B">
          <w:rPr>
            <w:rStyle w:val="Hyperlink"/>
            <w:noProof/>
          </w:rPr>
          <w:t>SIA „Biznesa centrs „TOMO””: ĀTAP īstenošana</w:t>
        </w:r>
        <w:r w:rsidR="006949D1">
          <w:rPr>
            <w:noProof/>
            <w:webHidden/>
          </w:rPr>
          <w:tab/>
        </w:r>
        <w:r w:rsidR="006949D1">
          <w:rPr>
            <w:noProof/>
            <w:webHidden/>
          </w:rPr>
          <w:fldChar w:fldCharType="begin"/>
        </w:r>
        <w:r w:rsidR="006949D1">
          <w:rPr>
            <w:noProof/>
            <w:webHidden/>
          </w:rPr>
          <w:instrText xml:space="preserve"> PAGEREF _Toc522527515 \h </w:instrText>
        </w:r>
        <w:r w:rsidR="006949D1">
          <w:rPr>
            <w:noProof/>
            <w:webHidden/>
          </w:rPr>
        </w:r>
        <w:r w:rsidR="006949D1">
          <w:rPr>
            <w:noProof/>
            <w:webHidden/>
          </w:rPr>
          <w:fldChar w:fldCharType="separate"/>
        </w:r>
        <w:r w:rsidR="006949D1">
          <w:rPr>
            <w:noProof/>
            <w:webHidden/>
          </w:rPr>
          <w:t>55</w:t>
        </w:r>
        <w:r w:rsidR="006949D1">
          <w:rPr>
            <w:noProof/>
            <w:webHidden/>
          </w:rPr>
          <w:fldChar w:fldCharType="end"/>
        </w:r>
      </w:hyperlink>
    </w:p>
    <w:p w14:paraId="7EAABF90"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6"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_Toc522527516 \h </w:instrText>
        </w:r>
        <w:r w:rsidR="006949D1">
          <w:rPr>
            <w:noProof/>
            <w:webHidden/>
          </w:rPr>
        </w:r>
        <w:r w:rsidR="006949D1">
          <w:rPr>
            <w:noProof/>
            <w:webHidden/>
          </w:rPr>
          <w:fldChar w:fldCharType="separate"/>
        </w:r>
        <w:r w:rsidR="006949D1">
          <w:rPr>
            <w:noProof/>
            <w:webHidden/>
          </w:rPr>
          <w:t>56</w:t>
        </w:r>
        <w:r w:rsidR="006949D1">
          <w:rPr>
            <w:noProof/>
            <w:webHidden/>
          </w:rPr>
          <w:fldChar w:fldCharType="end"/>
        </w:r>
      </w:hyperlink>
    </w:p>
    <w:p w14:paraId="7783FD48"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7" w:history="1">
        <w:r w:rsidR="006949D1" w:rsidRPr="003E3C2B">
          <w:rPr>
            <w:rStyle w:val="Hyperlink"/>
            <w:noProof/>
          </w:rPr>
          <w:t>SIA „Gabriels”: TAP pieteikums</w:t>
        </w:r>
        <w:r w:rsidR="006949D1">
          <w:rPr>
            <w:noProof/>
            <w:webHidden/>
          </w:rPr>
          <w:tab/>
        </w:r>
        <w:r w:rsidR="006949D1">
          <w:rPr>
            <w:noProof/>
            <w:webHidden/>
          </w:rPr>
          <w:fldChar w:fldCharType="begin"/>
        </w:r>
        <w:r w:rsidR="006949D1">
          <w:rPr>
            <w:noProof/>
            <w:webHidden/>
          </w:rPr>
          <w:instrText xml:space="preserve"> PAGEREF _Toc522527517 \h </w:instrText>
        </w:r>
        <w:r w:rsidR="006949D1">
          <w:rPr>
            <w:noProof/>
            <w:webHidden/>
          </w:rPr>
        </w:r>
        <w:r w:rsidR="006949D1">
          <w:rPr>
            <w:noProof/>
            <w:webHidden/>
          </w:rPr>
          <w:fldChar w:fldCharType="separate"/>
        </w:r>
        <w:r w:rsidR="006949D1">
          <w:rPr>
            <w:noProof/>
            <w:webHidden/>
          </w:rPr>
          <w:t>57</w:t>
        </w:r>
        <w:r w:rsidR="006949D1">
          <w:rPr>
            <w:noProof/>
            <w:webHidden/>
          </w:rPr>
          <w:fldChar w:fldCharType="end"/>
        </w:r>
      </w:hyperlink>
    </w:p>
    <w:p w14:paraId="1D98AAAB"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8" w:history="1">
        <w:r w:rsidR="006949D1" w:rsidRPr="003E3C2B">
          <w:rPr>
            <w:rStyle w:val="Hyperlink"/>
            <w:noProof/>
          </w:rPr>
          <w:t>SIA „Saimnieks-Serviss”: pieteikums par ĀTAP īstenošanu</w:t>
        </w:r>
        <w:r w:rsidR="006949D1">
          <w:rPr>
            <w:noProof/>
            <w:webHidden/>
          </w:rPr>
          <w:tab/>
        </w:r>
        <w:r w:rsidR="006949D1">
          <w:rPr>
            <w:noProof/>
            <w:webHidden/>
          </w:rPr>
          <w:fldChar w:fldCharType="begin"/>
        </w:r>
        <w:r w:rsidR="006949D1">
          <w:rPr>
            <w:noProof/>
            <w:webHidden/>
          </w:rPr>
          <w:instrText xml:space="preserve"> PAGEREF _Toc522527518 \h </w:instrText>
        </w:r>
        <w:r w:rsidR="006949D1">
          <w:rPr>
            <w:noProof/>
            <w:webHidden/>
          </w:rPr>
        </w:r>
        <w:r w:rsidR="006949D1">
          <w:rPr>
            <w:noProof/>
            <w:webHidden/>
          </w:rPr>
          <w:fldChar w:fldCharType="separate"/>
        </w:r>
        <w:r w:rsidR="006949D1">
          <w:rPr>
            <w:noProof/>
            <w:webHidden/>
          </w:rPr>
          <w:t>59</w:t>
        </w:r>
        <w:r w:rsidR="006949D1">
          <w:rPr>
            <w:noProof/>
            <w:webHidden/>
          </w:rPr>
          <w:fldChar w:fldCharType="end"/>
        </w:r>
      </w:hyperlink>
    </w:p>
    <w:p w14:paraId="04D8312D"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19" w:history="1">
        <w:r w:rsidR="006949D1" w:rsidRPr="003E3C2B">
          <w:rPr>
            <w:rStyle w:val="Hyperlink"/>
            <w:noProof/>
          </w:rPr>
          <w:t>SIA „LASCO Investment”: ĀTAP pieteikums</w:t>
        </w:r>
        <w:r w:rsidR="006949D1">
          <w:rPr>
            <w:noProof/>
            <w:webHidden/>
          </w:rPr>
          <w:tab/>
        </w:r>
        <w:r w:rsidR="006949D1">
          <w:rPr>
            <w:noProof/>
            <w:webHidden/>
          </w:rPr>
          <w:fldChar w:fldCharType="begin"/>
        </w:r>
        <w:r w:rsidR="006949D1">
          <w:rPr>
            <w:noProof/>
            <w:webHidden/>
          </w:rPr>
          <w:instrText xml:space="preserve"> PAGEREF _Toc522527519 \h </w:instrText>
        </w:r>
        <w:r w:rsidR="006949D1">
          <w:rPr>
            <w:noProof/>
            <w:webHidden/>
          </w:rPr>
        </w:r>
        <w:r w:rsidR="006949D1">
          <w:rPr>
            <w:noProof/>
            <w:webHidden/>
          </w:rPr>
          <w:fldChar w:fldCharType="separate"/>
        </w:r>
        <w:r w:rsidR="006949D1">
          <w:rPr>
            <w:noProof/>
            <w:webHidden/>
          </w:rPr>
          <w:t>59</w:t>
        </w:r>
        <w:r w:rsidR="006949D1">
          <w:rPr>
            <w:noProof/>
            <w:webHidden/>
          </w:rPr>
          <w:fldChar w:fldCharType="end"/>
        </w:r>
      </w:hyperlink>
    </w:p>
    <w:p w14:paraId="74E330A9"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0" w:history="1">
        <w:r w:rsidR="006949D1" w:rsidRPr="003E3C2B">
          <w:rPr>
            <w:rStyle w:val="Hyperlink"/>
            <w:noProof/>
          </w:rPr>
          <w:t>SIA „Viesnīca „Majori””: Pieteikums par maksātnespējas procesa pasludināšanu</w:t>
        </w:r>
        <w:r w:rsidR="006949D1">
          <w:rPr>
            <w:noProof/>
            <w:webHidden/>
          </w:rPr>
          <w:tab/>
        </w:r>
        <w:r w:rsidR="006949D1">
          <w:rPr>
            <w:noProof/>
            <w:webHidden/>
          </w:rPr>
          <w:fldChar w:fldCharType="begin"/>
        </w:r>
        <w:r w:rsidR="006949D1">
          <w:rPr>
            <w:noProof/>
            <w:webHidden/>
          </w:rPr>
          <w:instrText xml:space="preserve"> PAGEREF _Toc522527520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14:paraId="4ACEAEC4"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21" w:history="1">
        <w:r w:rsidR="006949D1" w:rsidRPr="003E3C2B">
          <w:rPr>
            <w:rStyle w:val="Hyperlink"/>
            <w:noProof/>
          </w:rPr>
          <w:t>Tiesnesis Dainis Plaudis</w:t>
        </w:r>
        <w:r w:rsidR="006949D1">
          <w:rPr>
            <w:noProof/>
            <w:webHidden/>
          </w:rPr>
          <w:tab/>
        </w:r>
        <w:r w:rsidR="006949D1">
          <w:rPr>
            <w:noProof/>
            <w:webHidden/>
          </w:rPr>
          <w:fldChar w:fldCharType="begin"/>
        </w:r>
        <w:r w:rsidR="006949D1">
          <w:rPr>
            <w:noProof/>
            <w:webHidden/>
          </w:rPr>
          <w:instrText xml:space="preserve"> PAGEREF _Toc522527521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14:paraId="76137A47"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2"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_Toc522527522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14:paraId="6446F744"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3"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_Toc522527523 \h </w:instrText>
        </w:r>
        <w:r w:rsidR="006949D1">
          <w:rPr>
            <w:noProof/>
            <w:webHidden/>
          </w:rPr>
        </w:r>
        <w:r w:rsidR="006949D1">
          <w:rPr>
            <w:noProof/>
            <w:webHidden/>
          </w:rPr>
          <w:fldChar w:fldCharType="separate"/>
        </w:r>
        <w:r w:rsidR="006949D1">
          <w:rPr>
            <w:noProof/>
            <w:webHidden/>
          </w:rPr>
          <w:t>62</w:t>
        </w:r>
        <w:r w:rsidR="006949D1">
          <w:rPr>
            <w:noProof/>
            <w:webHidden/>
          </w:rPr>
          <w:fldChar w:fldCharType="end"/>
        </w:r>
      </w:hyperlink>
    </w:p>
    <w:p w14:paraId="1188E71D"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4"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_Toc522527524 \h </w:instrText>
        </w:r>
        <w:r w:rsidR="006949D1">
          <w:rPr>
            <w:noProof/>
            <w:webHidden/>
          </w:rPr>
        </w:r>
        <w:r w:rsidR="006949D1">
          <w:rPr>
            <w:noProof/>
            <w:webHidden/>
          </w:rPr>
          <w:fldChar w:fldCharType="separate"/>
        </w:r>
        <w:r w:rsidR="006949D1">
          <w:rPr>
            <w:noProof/>
            <w:webHidden/>
          </w:rPr>
          <w:t>63</w:t>
        </w:r>
        <w:r w:rsidR="006949D1">
          <w:rPr>
            <w:noProof/>
            <w:webHidden/>
          </w:rPr>
          <w:fldChar w:fldCharType="end"/>
        </w:r>
      </w:hyperlink>
    </w:p>
    <w:p w14:paraId="4C16FD3B"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5" w:history="1">
        <w:r w:rsidR="006949D1" w:rsidRPr="003E3C2B">
          <w:rPr>
            <w:rStyle w:val="Hyperlink"/>
            <w:noProof/>
          </w:rPr>
          <w:t>SIA „Europe chain store”: ĀTAP pieteikums</w:t>
        </w:r>
        <w:r w:rsidR="006949D1">
          <w:rPr>
            <w:noProof/>
            <w:webHidden/>
          </w:rPr>
          <w:tab/>
        </w:r>
        <w:r w:rsidR="006949D1">
          <w:rPr>
            <w:noProof/>
            <w:webHidden/>
          </w:rPr>
          <w:fldChar w:fldCharType="begin"/>
        </w:r>
        <w:r w:rsidR="006949D1">
          <w:rPr>
            <w:noProof/>
            <w:webHidden/>
          </w:rPr>
          <w:instrText xml:space="preserve"> PAGEREF _Toc522527525 \h </w:instrText>
        </w:r>
        <w:r w:rsidR="006949D1">
          <w:rPr>
            <w:noProof/>
            <w:webHidden/>
          </w:rPr>
        </w:r>
        <w:r w:rsidR="006949D1">
          <w:rPr>
            <w:noProof/>
            <w:webHidden/>
          </w:rPr>
          <w:fldChar w:fldCharType="separate"/>
        </w:r>
        <w:r w:rsidR="006949D1">
          <w:rPr>
            <w:noProof/>
            <w:webHidden/>
          </w:rPr>
          <w:t>63</w:t>
        </w:r>
        <w:r w:rsidR="006949D1">
          <w:rPr>
            <w:noProof/>
            <w:webHidden/>
          </w:rPr>
          <w:fldChar w:fldCharType="end"/>
        </w:r>
      </w:hyperlink>
    </w:p>
    <w:p w14:paraId="28FD9508"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26" w:history="1">
        <w:r w:rsidR="006949D1" w:rsidRPr="003E3C2B">
          <w:rPr>
            <w:rStyle w:val="Hyperlink"/>
            <w:noProof/>
          </w:rPr>
          <w:t>Tiesnese Jolanta Zaškina</w:t>
        </w:r>
        <w:r w:rsidR="006949D1">
          <w:rPr>
            <w:noProof/>
            <w:webHidden/>
          </w:rPr>
          <w:tab/>
        </w:r>
        <w:r w:rsidR="006949D1">
          <w:rPr>
            <w:noProof/>
            <w:webHidden/>
          </w:rPr>
          <w:fldChar w:fldCharType="begin"/>
        </w:r>
        <w:r w:rsidR="006949D1">
          <w:rPr>
            <w:noProof/>
            <w:webHidden/>
          </w:rPr>
          <w:instrText xml:space="preserve"> PAGEREF _Toc522527526 \h </w:instrText>
        </w:r>
        <w:r w:rsidR="006949D1">
          <w:rPr>
            <w:noProof/>
            <w:webHidden/>
          </w:rPr>
        </w:r>
        <w:r w:rsidR="006949D1">
          <w:rPr>
            <w:noProof/>
            <w:webHidden/>
          </w:rPr>
          <w:fldChar w:fldCharType="separate"/>
        </w:r>
        <w:r w:rsidR="006949D1">
          <w:rPr>
            <w:noProof/>
            <w:webHidden/>
          </w:rPr>
          <w:t>65</w:t>
        </w:r>
        <w:r w:rsidR="006949D1">
          <w:rPr>
            <w:noProof/>
            <w:webHidden/>
          </w:rPr>
          <w:fldChar w:fldCharType="end"/>
        </w:r>
      </w:hyperlink>
    </w:p>
    <w:p w14:paraId="234B0A28"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7" w:history="1">
        <w:r w:rsidR="006949D1" w:rsidRPr="003E3C2B">
          <w:rPr>
            <w:rStyle w:val="Hyperlink"/>
            <w:noProof/>
          </w:rPr>
          <w:t>SIA „Winergy”: Kreditora pieteikums par maksātnespējas pasludināšanu</w:t>
        </w:r>
        <w:r w:rsidR="006949D1">
          <w:rPr>
            <w:noProof/>
            <w:webHidden/>
          </w:rPr>
          <w:tab/>
        </w:r>
        <w:r w:rsidR="006949D1">
          <w:rPr>
            <w:noProof/>
            <w:webHidden/>
          </w:rPr>
          <w:fldChar w:fldCharType="begin"/>
        </w:r>
        <w:r w:rsidR="006949D1">
          <w:rPr>
            <w:noProof/>
            <w:webHidden/>
          </w:rPr>
          <w:instrText xml:space="preserve"> PAGEREF _Toc522527527 \h </w:instrText>
        </w:r>
        <w:r w:rsidR="006949D1">
          <w:rPr>
            <w:noProof/>
            <w:webHidden/>
          </w:rPr>
        </w:r>
        <w:r w:rsidR="006949D1">
          <w:rPr>
            <w:noProof/>
            <w:webHidden/>
          </w:rPr>
          <w:fldChar w:fldCharType="separate"/>
        </w:r>
        <w:r w:rsidR="006949D1">
          <w:rPr>
            <w:noProof/>
            <w:webHidden/>
          </w:rPr>
          <w:t>65</w:t>
        </w:r>
        <w:r w:rsidR="006949D1">
          <w:rPr>
            <w:noProof/>
            <w:webHidden/>
          </w:rPr>
          <w:fldChar w:fldCharType="end"/>
        </w:r>
      </w:hyperlink>
    </w:p>
    <w:p w14:paraId="10D1677E"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28" w:history="1">
        <w:r w:rsidR="006949D1" w:rsidRPr="003E3C2B">
          <w:rPr>
            <w:rStyle w:val="Hyperlink"/>
            <w:noProof/>
          </w:rPr>
          <w:t>SIA „Peltes īpašumi”</w:t>
        </w:r>
        <w:r w:rsidR="006949D1">
          <w:rPr>
            <w:noProof/>
            <w:webHidden/>
          </w:rPr>
          <w:tab/>
        </w:r>
        <w:r w:rsidR="006949D1">
          <w:rPr>
            <w:noProof/>
            <w:webHidden/>
          </w:rPr>
          <w:fldChar w:fldCharType="begin"/>
        </w:r>
        <w:r w:rsidR="006949D1">
          <w:rPr>
            <w:noProof/>
            <w:webHidden/>
          </w:rPr>
          <w:instrText xml:space="preserve"> PAGEREF _Toc522527528 \h </w:instrText>
        </w:r>
        <w:r w:rsidR="006949D1">
          <w:rPr>
            <w:noProof/>
            <w:webHidden/>
          </w:rPr>
        </w:r>
        <w:r w:rsidR="006949D1">
          <w:rPr>
            <w:noProof/>
            <w:webHidden/>
          </w:rPr>
          <w:fldChar w:fldCharType="separate"/>
        </w:r>
        <w:r w:rsidR="006949D1">
          <w:rPr>
            <w:noProof/>
            <w:webHidden/>
          </w:rPr>
          <w:t>69</w:t>
        </w:r>
        <w:r w:rsidR="006949D1">
          <w:rPr>
            <w:noProof/>
            <w:webHidden/>
          </w:rPr>
          <w:fldChar w:fldCharType="end"/>
        </w:r>
      </w:hyperlink>
    </w:p>
    <w:p w14:paraId="4C7C00C6" w14:textId="77777777" w:rsidR="006949D1" w:rsidRDefault="00AB4F91">
      <w:pPr>
        <w:pStyle w:val="TOC1"/>
        <w:tabs>
          <w:tab w:val="right" w:leader="dot" w:pos="8302"/>
        </w:tabs>
        <w:rPr>
          <w:rFonts w:asciiTheme="minorHAnsi" w:eastAsiaTheme="minorEastAsia" w:hAnsiTheme="minorHAnsi" w:cstheme="minorBidi"/>
          <w:noProof/>
          <w:sz w:val="22"/>
          <w:szCs w:val="22"/>
        </w:rPr>
      </w:pPr>
      <w:hyperlink w:anchor="_Toc522527529" w:history="1">
        <w:r w:rsidR="006949D1" w:rsidRPr="003E3C2B">
          <w:rPr>
            <w:rStyle w:val="Hyperlink"/>
            <w:noProof/>
          </w:rPr>
          <w:t>INFORMĀCIJA UN STATISTIKA</w:t>
        </w:r>
        <w:r w:rsidR="006949D1">
          <w:rPr>
            <w:noProof/>
            <w:webHidden/>
          </w:rPr>
          <w:tab/>
        </w:r>
        <w:r w:rsidR="006949D1">
          <w:rPr>
            <w:noProof/>
            <w:webHidden/>
          </w:rPr>
          <w:fldChar w:fldCharType="begin"/>
        </w:r>
        <w:r w:rsidR="006949D1">
          <w:rPr>
            <w:noProof/>
            <w:webHidden/>
          </w:rPr>
          <w:instrText xml:space="preserve"> PAGEREF _Toc522527529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14:paraId="4C368804"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30" w:history="1">
        <w:r w:rsidR="006949D1" w:rsidRPr="003E3C2B">
          <w:rPr>
            <w:rStyle w:val="Hyperlink"/>
            <w:noProof/>
          </w:rPr>
          <w:t>Statistika</w:t>
        </w:r>
        <w:r w:rsidR="006949D1">
          <w:rPr>
            <w:noProof/>
            <w:webHidden/>
          </w:rPr>
          <w:tab/>
        </w:r>
        <w:r w:rsidR="006949D1">
          <w:rPr>
            <w:noProof/>
            <w:webHidden/>
          </w:rPr>
          <w:fldChar w:fldCharType="begin"/>
        </w:r>
        <w:r w:rsidR="006949D1">
          <w:rPr>
            <w:noProof/>
            <w:webHidden/>
          </w:rPr>
          <w:instrText xml:space="preserve"> PAGEREF _Toc522527530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14:paraId="630CE45B"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31" w:history="1">
        <w:r w:rsidR="006949D1" w:rsidRPr="003E3C2B">
          <w:rPr>
            <w:rStyle w:val="Hyperlink"/>
            <w:noProof/>
          </w:rPr>
          <w:t>Statistika pirmās instances tiesā</w:t>
        </w:r>
        <w:r w:rsidR="006949D1">
          <w:rPr>
            <w:noProof/>
            <w:webHidden/>
          </w:rPr>
          <w:tab/>
        </w:r>
        <w:r w:rsidR="006949D1">
          <w:rPr>
            <w:noProof/>
            <w:webHidden/>
          </w:rPr>
          <w:fldChar w:fldCharType="begin"/>
        </w:r>
        <w:r w:rsidR="006949D1">
          <w:rPr>
            <w:noProof/>
            <w:webHidden/>
          </w:rPr>
          <w:instrText xml:space="preserve"> PAGEREF _Toc522527531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14:paraId="00A16E46" w14:textId="77777777" w:rsidR="006949D1" w:rsidRDefault="00AB4F91">
      <w:pPr>
        <w:pStyle w:val="TOC4"/>
        <w:tabs>
          <w:tab w:val="right" w:leader="dot" w:pos="8302"/>
        </w:tabs>
        <w:rPr>
          <w:rFonts w:asciiTheme="minorHAnsi" w:eastAsiaTheme="minorEastAsia" w:hAnsiTheme="minorHAnsi" w:cstheme="minorBidi"/>
          <w:noProof/>
          <w:sz w:val="22"/>
          <w:szCs w:val="22"/>
        </w:rPr>
      </w:pPr>
      <w:hyperlink w:anchor="_Toc522527532" w:history="1">
        <w:r w:rsidR="006949D1" w:rsidRPr="003E3C2B">
          <w:rPr>
            <w:rStyle w:val="Hyperlink"/>
            <w:noProof/>
          </w:rPr>
          <w:t>Saņemto lietu skaits</w:t>
        </w:r>
        <w:r w:rsidR="006949D1">
          <w:rPr>
            <w:noProof/>
            <w:webHidden/>
          </w:rPr>
          <w:tab/>
        </w:r>
        <w:r w:rsidR="006949D1">
          <w:rPr>
            <w:noProof/>
            <w:webHidden/>
          </w:rPr>
          <w:fldChar w:fldCharType="begin"/>
        </w:r>
        <w:r w:rsidR="006949D1">
          <w:rPr>
            <w:noProof/>
            <w:webHidden/>
          </w:rPr>
          <w:instrText xml:space="preserve"> PAGEREF _Toc522527532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14:paraId="4C102688" w14:textId="77777777" w:rsidR="006949D1" w:rsidRDefault="00AB4F91">
      <w:pPr>
        <w:pStyle w:val="TOC4"/>
        <w:tabs>
          <w:tab w:val="right" w:leader="dot" w:pos="8302"/>
        </w:tabs>
        <w:rPr>
          <w:rFonts w:asciiTheme="minorHAnsi" w:eastAsiaTheme="minorEastAsia" w:hAnsiTheme="minorHAnsi" w:cstheme="minorBidi"/>
          <w:noProof/>
          <w:sz w:val="22"/>
          <w:szCs w:val="22"/>
        </w:rPr>
      </w:pPr>
      <w:hyperlink w:anchor="_Toc522527533" w:history="1">
        <w:r w:rsidR="006949D1" w:rsidRPr="003E3C2B">
          <w:rPr>
            <w:rStyle w:val="Hyperlink"/>
            <w:noProof/>
          </w:rPr>
          <w:t>Izlemto (pabeigto) lietu skaits</w:t>
        </w:r>
        <w:r w:rsidR="006949D1">
          <w:rPr>
            <w:noProof/>
            <w:webHidden/>
          </w:rPr>
          <w:tab/>
        </w:r>
        <w:r w:rsidR="006949D1">
          <w:rPr>
            <w:noProof/>
            <w:webHidden/>
          </w:rPr>
          <w:fldChar w:fldCharType="begin"/>
        </w:r>
        <w:r w:rsidR="006949D1">
          <w:rPr>
            <w:noProof/>
            <w:webHidden/>
          </w:rPr>
          <w:instrText xml:space="preserve"> PAGEREF _Toc522527533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14:paraId="22A3049A" w14:textId="77777777" w:rsidR="006949D1" w:rsidRDefault="00AB4F91">
      <w:pPr>
        <w:pStyle w:val="TOC4"/>
        <w:tabs>
          <w:tab w:val="right" w:leader="dot" w:pos="8302"/>
        </w:tabs>
        <w:rPr>
          <w:rFonts w:asciiTheme="minorHAnsi" w:eastAsiaTheme="minorEastAsia" w:hAnsiTheme="minorHAnsi" w:cstheme="minorBidi"/>
          <w:noProof/>
          <w:sz w:val="22"/>
          <w:szCs w:val="22"/>
        </w:rPr>
      </w:pPr>
      <w:hyperlink w:anchor="_Toc522527534" w:history="1">
        <w:r w:rsidR="006949D1" w:rsidRPr="003E3C2B">
          <w:rPr>
            <w:rStyle w:val="Hyperlink"/>
            <w:noProof/>
          </w:rPr>
          <w:t>Spriedumu skaits pēc procesa veida</w:t>
        </w:r>
        <w:r w:rsidR="006949D1">
          <w:rPr>
            <w:noProof/>
            <w:webHidden/>
          </w:rPr>
          <w:tab/>
        </w:r>
        <w:r w:rsidR="006949D1">
          <w:rPr>
            <w:noProof/>
            <w:webHidden/>
          </w:rPr>
          <w:fldChar w:fldCharType="begin"/>
        </w:r>
        <w:r w:rsidR="006949D1">
          <w:rPr>
            <w:noProof/>
            <w:webHidden/>
          </w:rPr>
          <w:instrText xml:space="preserve"> PAGEREF _Toc522527534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14:paraId="62F45B0A"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35" w:history="1">
        <w:r w:rsidR="006949D1" w:rsidRPr="003E3C2B">
          <w:rPr>
            <w:rStyle w:val="Hyperlink"/>
            <w:noProof/>
          </w:rPr>
          <w:t>Lietu izskatīšana Augstākajā tiesā</w:t>
        </w:r>
        <w:r w:rsidR="006949D1">
          <w:rPr>
            <w:noProof/>
            <w:webHidden/>
          </w:rPr>
          <w:tab/>
        </w:r>
        <w:r w:rsidR="006949D1">
          <w:rPr>
            <w:noProof/>
            <w:webHidden/>
          </w:rPr>
          <w:fldChar w:fldCharType="begin"/>
        </w:r>
        <w:r w:rsidR="006949D1">
          <w:rPr>
            <w:noProof/>
            <w:webHidden/>
          </w:rPr>
          <w:instrText xml:space="preserve"> PAGEREF _Toc522527535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14:paraId="53557954" w14:textId="77777777" w:rsidR="006949D1" w:rsidRDefault="00AB4F91">
      <w:pPr>
        <w:pStyle w:val="TOC4"/>
        <w:tabs>
          <w:tab w:val="right" w:leader="dot" w:pos="8302"/>
        </w:tabs>
        <w:rPr>
          <w:rFonts w:asciiTheme="minorHAnsi" w:eastAsiaTheme="minorEastAsia" w:hAnsiTheme="minorHAnsi" w:cstheme="minorBidi"/>
          <w:noProof/>
          <w:sz w:val="22"/>
          <w:szCs w:val="22"/>
        </w:rPr>
      </w:pPr>
      <w:hyperlink w:anchor="_Toc522527536" w:history="1">
        <w:r w:rsidR="006949D1" w:rsidRPr="003E3C2B">
          <w:rPr>
            <w:rStyle w:val="Hyperlink"/>
            <w:noProof/>
          </w:rPr>
          <w:t>SPC apmierināto protestu skaits 2008-2014</w:t>
        </w:r>
        <w:r w:rsidR="006949D1">
          <w:rPr>
            <w:noProof/>
            <w:webHidden/>
          </w:rPr>
          <w:tab/>
        </w:r>
        <w:r w:rsidR="006949D1">
          <w:rPr>
            <w:noProof/>
            <w:webHidden/>
          </w:rPr>
          <w:fldChar w:fldCharType="begin"/>
        </w:r>
        <w:r w:rsidR="006949D1">
          <w:rPr>
            <w:noProof/>
            <w:webHidden/>
          </w:rPr>
          <w:instrText xml:space="preserve"> PAGEREF _Toc522527536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14:paraId="111C7E89" w14:textId="77777777" w:rsidR="006949D1" w:rsidRDefault="00AB4F91">
      <w:pPr>
        <w:pStyle w:val="TOC4"/>
        <w:tabs>
          <w:tab w:val="right" w:leader="dot" w:pos="8302"/>
        </w:tabs>
        <w:rPr>
          <w:rFonts w:asciiTheme="minorHAnsi" w:eastAsiaTheme="minorEastAsia" w:hAnsiTheme="minorHAnsi" w:cstheme="minorBidi"/>
          <w:noProof/>
          <w:sz w:val="22"/>
          <w:szCs w:val="22"/>
        </w:rPr>
      </w:pPr>
      <w:hyperlink w:anchor="_Toc522527537" w:history="1">
        <w:r w:rsidR="006949D1" w:rsidRPr="003E3C2B">
          <w:rPr>
            <w:rStyle w:val="Hyperlink"/>
            <w:noProof/>
          </w:rPr>
          <w:t>SPC lietās Judikatūras nolēmumu arhīvā pievienoti</w:t>
        </w:r>
        <w:r w:rsidR="006949D1">
          <w:rPr>
            <w:noProof/>
            <w:webHidden/>
          </w:rPr>
          <w:tab/>
        </w:r>
        <w:r w:rsidR="006949D1">
          <w:rPr>
            <w:noProof/>
            <w:webHidden/>
          </w:rPr>
          <w:fldChar w:fldCharType="begin"/>
        </w:r>
        <w:r w:rsidR="006949D1">
          <w:rPr>
            <w:noProof/>
            <w:webHidden/>
          </w:rPr>
          <w:instrText xml:space="preserve"> PAGEREF _Toc522527537 \h </w:instrText>
        </w:r>
        <w:r w:rsidR="006949D1">
          <w:rPr>
            <w:noProof/>
            <w:webHidden/>
          </w:rPr>
        </w:r>
        <w:r w:rsidR="006949D1">
          <w:rPr>
            <w:noProof/>
            <w:webHidden/>
          </w:rPr>
          <w:fldChar w:fldCharType="separate"/>
        </w:r>
        <w:r w:rsidR="006949D1">
          <w:rPr>
            <w:noProof/>
            <w:webHidden/>
          </w:rPr>
          <w:t>74</w:t>
        </w:r>
        <w:r w:rsidR="006949D1">
          <w:rPr>
            <w:noProof/>
            <w:webHidden/>
          </w:rPr>
          <w:fldChar w:fldCharType="end"/>
        </w:r>
      </w:hyperlink>
    </w:p>
    <w:p w14:paraId="0D2EFA48" w14:textId="77777777" w:rsidR="006949D1" w:rsidRDefault="00AB4F91">
      <w:pPr>
        <w:pStyle w:val="TOC3"/>
        <w:tabs>
          <w:tab w:val="right" w:leader="dot" w:pos="8302"/>
        </w:tabs>
        <w:rPr>
          <w:rFonts w:asciiTheme="minorHAnsi" w:eastAsiaTheme="minorEastAsia" w:hAnsiTheme="minorHAnsi" w:cstheme="minorBidi"/>
          <w:noProof/>
          <w:sz w:val="22"/>
          <w:szCs w:val="22"/>
        </w:rPr>
      </w:pPr>
      <w:hyperlink w:anchor="_Toc522527538" w:history="1">
        <w:r w:rsidR="006949D1" w:rsidRPr="003E3C2B">
          <w:rPr>
            <w:rStyle w:val="Hyperlink"/>
            <w:noProof/>
          </w:rPr>
          <w:t>Statiska par tiesnešiem</w:t>
        </w:r>
        <w:r w:rsidR="006949D1">
          <w:rPr>
            <w:noProof/>
            <w:webHidden/>
          </w:rPr>
          <w:tab/>
        </w:r>
        <w:r w:rsidR="006949D1">
          <w:rPr>
            <w:noProof/>
            <w:webHidden/>
          </w:rPr>
          <w:fldChar w:fldCharType="begin"/>
        </w:r>
        <w:r w:rsidR="006949D1">
          <w:rPr>
            <w:noProof/>
            <w:webHidden/>
          </w:rPr>
          <w:instrText xml:space="preserve"> PAGEREF _Toc522527538 \h </w:instrText>
        </w:r>
        <w:r w:rsidR="006949D1">
          <w:rPr>
            <w:noProof/>
            <w:webHidden/>
          </w:rPr>
        </w:r>
        <w:r w:rsidR="006949D1">
          <w:rPr>
            <w:noProof/>
            <w:webHidden/>
          </w:rPr>
          <w:fldChar w:fldCharType="separate"/>
        </w:r>
        <w:r w:rsidR="006949D1">
          <w:rPr>
            <w:noProof/>
            <w:webHidden/>
          </w:rPr>
          <w:t>75</w:t>
        </w:r>
        <w:r w:rsidR="006949D1">
          <w:rPr>
            <w:noProof/>
            <w:webHidden/>
          </w:rPr>
          <w:fldChar w:fldCharType="end"/>
        </w:r>
      </w:hyperlink>
    </w:p>
    <w:p w14:paraId="5E444B96"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39" w:history="1">
        <w:r w:rsidR="006949D1" w:rsidRPr="003E3C2B">
          <w:rPr>
            <w:rStyle w:val="Hyperlink"/>
            <w:noProof/>
          </w:rPr>
          <w:t>Normatīvā regulējuma periodizācija un būtiskākie grozījumi</w:t>
        </w:r>
        <w:r w:rsidR="006949D1">
          <w:rPr>
            <w:noProof/>
            <w:webHidden/>
          </w:rPr>
          <w:tab/>
        </w:r>
        <w:r w:rsidR="006949D1">
          <w:rPr>
            <w:noProof/>
            <w:webHidden/>
          </w:rPr>
          <w:fldChar w:fldCharType="begin"/>
        </w:r>
        <w:r w:rsidR="006949D1">
          <w:rPr>
            <w:noProof/>
            <w:webHidden/>
          </w:rPr>
          <w:instrText xml:space="preserve"> PAGEREF _Toc522527539 \h </w:instrText>
        </w:r>
        <w:r w:rsidR="006949D1">
          <w:rPr>
            <w:noProof/>
            <w:webHidden/>
          </w:rPr>
        </w:r>
        <w:r w:rsidR="006949D1">
          <w:rPr>
            <w:noProof/>
            <w:webHidden/>
          </w:rPr>
          <w:fldChar w:fldCharType="separate"/>
        </w:r>
        <w:r w:rsidR="006949D1">
          <w:rPr>
            <w:noProof/>
            <w:webHidden/>
          </w:rPr>
          <w:t>81</w:t>
        </w:r>
        <w:r w:rsidR="006949D1">
          <w:rPr>
            <w:noProof/>
            <w:webHidden/>
          </w:rPr>
          <w:fldChar w:fldCharType="end"/>
        </w:r>
      </w:hyperlink>
    </w:p>
    <w:p w14:paraId="7D149281"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40" w:history="1">
        <w:r w:rsidR="006949D1" w:rsidRPr="003E3C2B">
          <w:rPr>
            <w:rStyle w:val="Hyperlink"/>
            <w:noProof/>
          </w:rPr>
          <w:t>Konstatēto kļūdu apkopojums</w:t>
        </w:r>
        <w:r w:rsidR="006949D1">
          <w:rPr>
            <w:noProof/>
            <w:webHidden/>
          </w:rPr>
          <w:tab/>
        </w:r>
        <w:r w:rsidR="006949D1">
          <w:rPr>
            <w:noProof/>
            <w:webHidden/>
          </w:rPr>
          <w:fldChar w:fldCharType="begin"/>
        </w:r>
        <w:r w:rsidR="006949D1">
          <w:rPr>
            <w:noProof/>
            <w:webHidden/>
          </w:rPr>
          <w:instrText xml:space="preserve"> PAGEREF _Toc522527540 \h </w:instrText>
        </w:r>
        <w:r w:rsidR="006949D1">
          <w:rPr>
            <w:noProof/>
            <w:webHidden/>
          </w:rPr>
        </w:r>
        <w:r w:rsidR="006949D1">
          <w:rPr>
            <w:noProof/>
            <w:webHidden/>
          </w:rPr>
          <w:fldChar w:fldCharType="separate"/>
        </w:r>
        <w:r w:rsidR="006949D1">
          <w:rPr>
            <w:noProof/>
            <w:webHidden/>
          </w:rPr>
          <w:t>83</w:t>
        </w:r>
        <w:r w:rsidR="006949D1">
          <w:rPr>
            <w:noProof/>
            <w:webHidden/>
          </w:rPr>
          <w:fldChar w:fldCharType="end"/>
        </w:r>
      </w:hyperlink>
    </w:p>
    <w:p w14:paraId="194556FA"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41" w:history="1">
        <w:r w:rsidR="006949D1" w:rsidRPr="003E3C2B">
          <w:rPr>
            <w:rStyle w:val="Hyperlink"/>
            <w:rFonts w:eastAsiaTheme="minorHAnsi"/>
            <w:noProof/>
          </w:rPr>
          <w:t>Augstākās tiesas atziņu loma lietu izskatīšanā</w:t>
        </w:r>
        <w:r w:rsidR="006949D1">
          <w:rPr>
            <w:noProof/>
            <w:webHidden/>
          </w:rPr>
          <w:tab/>
        </w:r>
        <w:r w:rsidR="006949D1">
          <w:rPr>
            <w:noProof/>
            <w:webHidden/>
          </w:rPr>
          <w:fldChar w:fldCharType="begin"/>
        </w:r>
        <w:r w:rsidR="006949D1">
          <w:rPr>
            <w:noProof/>
            <w:webHidden/>
          </w:rPr>
          <w:instrText xml:space="preserve"> PAGEREF _Toc522527541 \h </w:instrText>
        </w:r>
        <w:r w:rsidR="006949D1">
          <w:rPr>
            <w:noProof/>
            <w:webHidden/>
          </w:rPr>
        </w:r>
        <w:r w:rsidR="006949D1">
          <w:rPr>
            <w:noProof/>
            <w:webHidden/>
          </w:rPr>
          <w:fldChar w:fldCharType="separate"/>
        </w:r>
        <w:r w:rsidR="006949D1">
          <w:rPr>
            <w:noProof/>
            <w:webHidden/>
          </w:rPr>
          <w:t>83</w:t>
        </w:r>
        <w:r w:rsidR="006949D1">
          <w:rPr>
            <w:noProof/>
            <w:webHidden/>
          </w:rPr>
          <w:fldChar w:fldCharType="end"/>
        </w:r>
      </w:hyperlink>
    </w:p>
    <w:p w14:paraId="14266EE5"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42" w:history="1">
        <w:r w:rsidR="006949D1" w:rsidRPr="003E3C2B">
          <w:rPr>
            <w:rStyle w:val="Hyperlink"/>
            <w:rFonts w:eastAsiaTheme="minorHAnsi"/>
            <w:noProof/>
          </w:rPr>
          <w:t>Tiesas kompetences robežu ievērošana maksātnespējas procesu uzraudzībā</w:t>
        </w:r>
        <w:r w:rsidR="006949D1">
          <w:rPr>
            <w:noProof/>
            <w:webHidden/>
          </w:rPr>
          <w:tab/>
        </w:r>
        <w:r w:rsidR="006949D1">
          <w:rPr>
            <w:noProof/>
            <w:webHidden/>
          </w:rPr>
          <w:fldChar w:fldCharType="begin"/>
        </w:r>
        <w:r w:rsidR="006949D1">
          <w:rPr>
            <w:noProof/>
            <w:webHidden/>
          </w:rPr>
          <w:instrText xml:space="preserve"> PAGEREF _Toc522527542 \h </w:instrText>
        </w:r>
        <w:r w:rsidR="006949D1">
          <w:rPr>
            <w:noProof/>
            <w:webHidden/>
          </w:rPr>
        </w:r>
        <w:r w:rsidR="006949D1">
          <w:rPr>
            <w:noProof/>
            <w:webHidden/>
          </w:rPr>
          <w:fldChar w:fldCharType="separate"/>
        </w:r>
        <w:r w:rsidR="006949D1">
          <w:rPr>
            <w:noProof/>
            <w:webHidden/>
          </w:rPr>
          <w:t>84</w:t>
        </w:r>
        <w:r w:rsidR="006949D1">
          <w:rPr>
            <w:noProof/>
            <w:webHidden/>
          </w:rPr>
          <w:fldChar w:fldCharType="end"/>
        </w:r>
      </w:hyperlink>
    </w:p>
    <w:p w14:paraId="2178F1E7" w14:textId="77777777" w:rsidR="006949D1" w:rsidRDefault="00AB4F91">
      <w:pPr>
        <w:pStyle w:val="TOC2"/>
        <w:tabs>
          <w:tab w:val="right" w:leader="dot" w:pos="8302"/>
        </w:tabs>
        <w:rPr>
          <w:rFonts w:asciiTheme="minorHAnsi" w:eastAsiaTheme="minorEastAsia" w:hAnsiTheme="minorHAnsi" w:cstheme="minorBidi"/>
          <w:noProof/>
          <w:sz w:val="22"/>
          <w:szCs w:val="22"/>
        </w:rPr>
      </w:pPr>
      <w:hyperlink w:anchor="_Toc522527543" w:history="1">
        <w:r w:rsidR="006949D1" w:rsidRPr="003E3C2B">
          <w:rPr>
            <w:rStyle w:val="Hyperlink"/>
            <w:rFonts w:eastAsiaTheme="minorHAnsi"/>
            <w:noProof/>
          </w:rPr>
          <w:t>Informācija par iespējamu interešu konfliktu</w:t>
        </w:r>
        <w:r w:rsidR="006949D1">
          <w:rPr>
            <w:noProof/>
            <w:webHidden/>
          </w:rPr>
          <w:tab/>
        </w:r>
        <w:r w:rsidR="006949D1">
          <w:rPr>
            <w:noProof/>
            <w:webHidden/>
          </w:rPr>
          <w:fldChar w:fldCharType="begin"/>
        </w:r>
        <w:r w:rsidR="006949D1">
          <w:rPr>
            <w:noProof/>
            <w:webHidden/>
          </w:rPr>
          <w:instrText xml:space="preserve"> PAGEREF _Toc522527543 \h </w:instrText>
        </w:r>
        <w:r w:rsidR="006949D1">
          <w:rPr>
            <w:noProof/>
            <w:webHidden/>
          </w:rPr>
        </w:r>
        <w:r w:rsidR="006949D1">
          <w:rPr>
            <w:noProof/>
            <w:webHidden/>
          </w:rPr>
          <w:fldChar w:fldCharType="separate"/>
        </w:r>
        <w:r w:rsidR="006949D1">
          <w:rPr>
            <w:noProof/>
            <w:webHidden/>
          </w:rPr>
          <w:t>85</w:t>
        </w:r>
        <w:r w:rsidR="006949D1">
          <w:rPr>
            <w:noProof/>
            <w:webHidden/>
          </w:rPr>
          <w:fldChar w:fldCharType="end"/>
        </w:r>
      </w:hyperlink>
    </w:p>
    <w:p w14:paraId="0D689A26" w14:textId="77777777" w:rsidR="00200352" w:rsidRDefault="006A2DE6" w:rsidP="0011603F">
      <w:pPr>
        <w:pStyle w:val="Heading1"/>
      </w:pPr>
      <w:r w:rsidRPr="00922310">
        <w:fldChar w:fldCharType="end"/>
      </w:r>
    </w:p>
    <w:p w14:paraId="5091CE1B" w14:textId="77777777" w:rsidR="00200352" w:rsidRDefault="00200352">
      <w:pPr>
        <w:widowControl/>
        <w:adjustRightInd/>
        <w:spacing w:after="160" w:line="259" w:lineRule="auto"/>
        <w:jc w:val="left"/>
        <w:textAlignment w:val="auto"/>
        <w:rPr>
          <w:rFonts w:cstheme="majorBidi"/>
          <w:b/>
          <w:sz w:val="24"/>
          <w:szCs w:val="26"/>
        </w:rPr>
      </w:pPr>
      <w:r>
        <w:br w:type="page"/>
      </w:r>
    </w:p>
    <w:p w14:paraId="27B4E375" w14:textId="00EE49CC" w:rsidR="004546C7" w:rsidRPr="0011603F" w:rsidRDefault="006B7629" w:rsidP="0011603F">
      <w:pPr>
        <w:pStyle w:val="Heading1"/>
      </w:pPr>
      <w:bookmarkStart w:id="0" w:name="_Toc522527476"/>
      <w:r w:rsidRPr="00327DAE">
        <w:lastRenderedPageBreak/>
        <w:t>I</w:t>
      </w:r>
      <w:r w:rsidR="00C06CD6" w:rsidRPr="00327DAE">
        <w:t>EVADS</w:t>
      </w:r>
      <w:bookmarkEnd w:id="0"/>
    </w:p>
    <w:p w14:paraId="6186BB98" w14:textId="77777777" w:rsidR="004546C7" w:rsidRPr="00327DAE" w:rsidRDefault="004546C7" w:rsidP="0025317F">
      <w:pPr>
        <w:pStyle w:val="Heading2"/>
        <w:rPr>
          <w:rFonts w:cs="Times New Roman"/>
          <w:szCs w:val="24"/>
          <w:lang w:eastAsia="en-US"/>
        </w:rPr>
      </w:pPr>
      <w:bookmarkStart w:id="1" w:name="_Toc522527477"/>
      <w:r w:rsidRPr="00327DAE">
        <w:rPr>
          <w:rFonts w:cs="Times New Roman"/>
          <w:szCs w:val="24"/>
          <w:lang w:eastAsia="en-US"/>
        </w:rPr>
        <w:t>Ziņojuma uzbūve</w:t>
      </w:r>
      <w:bookmarkEnd w:id="1"/>
    </w:p>
    <w:p w14:paraId="08D7A9FD" w14:textId="23907E9D"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Ziņojums sastāv no 5 daļām: ievada, secinājumiem, lietu pārskata, ieteikumiem Tieslietu padomei un papildu informācijas.</w:t>
      </w:r>
    </w:p>
    <w:p w14:paraId="54A0F460" w14:textId="789FB6BC"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Ziņojuma </w:t>
      </w:r>
      <w:r w:rsidRPr="00327DAE">
        <w:rPr>
          <w:rFonts w:eastAsia="Calibri"/>
          <w:b/>
          <w:sz w:val="24"/>
          <w:szCs w:val="24"/>
          <w:lang w:eastAsia="en-US"/>
        </w:rPr>
        <w:t>ievaddaļā</w:t>
      </w:r>
      <w:r w:rsidRPr="00327DAE">
        <w:rPr>
          <w:rFonts w:eastAsia="Calibri"/>
          <w:sz w:val="24"/>
          <w:szCs w:val="24"/>
          <w:lang w:eastAsia="en-US"/>
        </w:rPr>
        <w:t xml:space="preserve"> ir aprakstīts ekspertu grupas izveidošanas pamats, sastāvs, mērķis</w:t>
      </w:r>
      <w:r w:rsidR="0011373E">
        <w:rPr>
          <w:rFonts w:eastAsia="Calibri"/>
          <w:sz w:val="24"/>
          <w:szCs w:val="24"/>
          <w:lang w:eastAsia="en-US"/>
        </w:rPr>
        <w:t>,</w:t>
      </w:r>
      <w:r w:rsidRPr="00327DAE">
        <w:rPr>
          <w:rFonts w:eastAsia="Calibri"/>
          <w:sz w:val="24"/>
          <w:szCs w:val="24"/>
          <w:lang w:eastAsia="en-US"/>
        </w:rPr>
        <w:t xml:space="preserve"> darba principi</w:t>
      </w:r>
      <w:r w:rsidR="0011373E">
        <w:rPr>
          <w:rFonts w:eastAsia="Calibri"/>
          <w:sz w:val="24"/>
          <w:szCs w:val="24"/>
          <w:lang w:eastAsia="en-US"/>
        </w:rPr>
        <w:t>,</w:t>
      </w:r>
      <w:r w:rsidRPr="00327DAE">
        <w:rPr>
          <w:rFonts w:eastAsia="Calibri"/>
          <w:sz w:val="24"/>
          <w:szCs w:val="24"/>
          <w:lang w:eastAsia="en-US"/>
        </w:rPr>
        <w:t xml:space="preserve"> metodes un tvērums (robežas).</w:t>
      </w:r>
    </w:p>
    <w:p w14:paraId="3DCBD9D2" w14:textId="7406D985"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Secinājumos</w:t>
      </w:r>
      <w:r w:rsidRPr="00327DAE">
        <w:rPr>
          <w:rFonts w:eastAsia="Calibri"/>
          <w:sz w:val="24"/>
          <w:szCs w:val="24"/>
          <w:lang w:eastAsia="en-US"/>
        </w:rPr>
        <w:t xml:space="preserve"> ir ietvertas galvenās atziņas par publikācijās minētajiem tiesnešiem un nolēmumiem, kā arī apkopojoši slēdzieni par būtiskākajām maksātnespējas procesu problēmām, kuras konstatētas darba gaitā. Secin</w:t>
      </w:r>
      <w:r w:rsidR="008B472F">
        <w:rPr>
          <w:rFonts w:eastAsia="Calibri"/>
          <w:sz w:val="24"/>
          <w:szCs w:val="24"/>
          <w:lang w:eastAsia="en-US"/>
        </w:rPr>
        <w:t>ājumi pamatā balstās uz sadaļā „</w:t>
      </w:r>
      <w:r w:rsidRPr="00327DAE">
        <w:rPr>
          <w:rFonts w:eastAsia="Calibri"/>
          <w:sz w:val="24"/>
          <w:szCs w:val="24"/>
          <w:lang w:eastAsia="en-US"/>
        </w:rPr>
        <w:t>Lietu pārskats” analizētajām lietām.</w:t>
      </w:r>
    </w:p>
    <w:p w14:paraId="50702A0D"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Ieteikumi</w:t>
      </w:r>
      <w:r w:rsidRPr="00327DAE">
        <w:rPr>
          <w:rFonts w:eastAsia="Calibri"/>
          <w:sz w:val="24"/>
          <w:szCs w:val="24"/>
          <w:lang w:eastAsia="en-US"/>
        </w:rPr>
        <w:t xml:space="preserve"> Tieslietu padomei ir iespējamie tālākie rīcības modeļi.</w:t>
      </w:r>
    </w:p>
    <w:p w14:paraId="7A0A099D"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Lietu pārskatā</w:t>
      </w:r>
      <w:r w:rsidRPr="00327DAE">
        <w:rPr>
          <w:rFonts w:eastAsia="Calibri"/>
          <w:sz w:val="24"/>
          <w:szCs w:val="24"/>
          <w:lang w:eastAsia="en-US"/>
        </w:rPr>
        <w:t xml:space="preserve"> ir darba grupas secinājumi par katru konkrēto publikācijās minēto lietu.</w:t>
      </w:r>
    </w:p>
    <w:p w14:paraId="53C2FF27" w14:textId="7C638250"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Papildu informācijas</w:t>
      </w:r>
      <w:r w:rsidRPr="00327DAE">
        <w:rPr>
          <w:rFonts w:eastAsia="Calibri"/>
          <w:sz w:val="24"/>
          <w:szCs w:val="24"/>
          <w:lang w:eastAsia="en-US"/>
        </w:rPr>
        <w:t xml:space="preserve"> sa</w:t>
      </w:r>
      <w:r w:rsidR="006B75AD">
        <w:rPr>
          <w:rFonts w:eastAsia="Calibri"/>
          <w:sz w:val="24"/>
          <w:szCs w:val="24"/>
          <w:lang w:eastAsia="en-US"/>
        </w:rPr>
        <w:t>daļā ir ietverta statistika un i</w:t>
      </w:r>
      <w:r w:rsidRPr="00327DAE">
        <w:rPr>
          <w:rFonts w:eastAsia="Calibri"/>
          <w:sz w:val="24"/>
          <w:szCs w:val="24"/>
          <w:lang w:eastAsia="en-US"/>
        </w:rPr>
        <w:t>nformācija par normatīvo aktu gr</w:t>
      </w:r>
      <w:r w:rsidR="00A10611" w:rsidRPr="00327DAE">
        <w:rPr>
          <w:rFonts w:eastAsia="Calibri"/>
          <w:sz w:val="24"/>
          <w:szCs w:val="24"/>
          <w:lang w:eastAsia="en-US"/>
        </w:rPr>
        <w:t>ozījumiem aplūkojamajā periodā.</w:t>
      </w:r>
    </w:p>
    <w:p w14:paraId="68EC830C" w14:textId="77777777" w:rsidR="00C06CD6" w:rsidRPr="00327DAE" w:rsidRDefault="00C06CD6" w:rsidP="0025317F">
      <w:pPr>
        <w:widowControl/>
        <w:adjustRightInd/>
        <w:spacing w:after="120"/>
        <w:textAlignment w:val="auto"/>
        <w:rPr>
          <w:rFonts w:eastAsia="Calibri"/>
          <w:sz w:val="24"/>
          <w:szCs w:val="24"/>
          <w:lang w:eastAsia="en-US"/>
        </w:rPr>
      </w:pPr>
    </w:p>
    <w:p w14:paraId="7AC3571A" w14:textId="77777777" w:rsidR="004546C7" w:rsidRPr="00327DAE" w:rsidRDefault="004546C7" w:rsidP="0025317F">
      <w:pPr>
        <w:pStyle w:val="Heading2"/>
        <w:rPr>
          <w:rFonts w:cs="Times New Roman"/>
          <w:szCs w:val="24"/>
          <w:lang w:eastAsia="en-US"/>
        </w:rPr>
      </w:pPr>
      <w:bookmarkStart w:id="2" w:name="_Toc522527478"/>
      <w:r w:rsidRPr="00327DAE">
        <w:rPr>
          <w:rFonts w:cs="Times New Roman"/>
          <w:szCs w:val="24"/>
          <w:lang w:eastAsia="en-US"/>
        </w:rPr>
        <w:t>Darba grupas izveidošana, sastāvs, mērķi</w:t>
      </w:r>
      <w:bookmarkEnd w:id="2"/>
    </w:p>
    <w:p w14:paraId="5864E598" w14:textId="3C92F3DF" w:rsidR="004546C7"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Tieslietu padome 2018. gada 5. februāra lēmumā aicināja Augstāko tiesu, piesaistot tieslietu jomas ekspertus, apkopot un izanalizēt maksātnespējas procesa un tiesiskās aizsardzības procesa lietas, kurās apmierināti protesti laikā no 2008. gada līdz 2014. gadam, un nepieciešamības gadījumā izlases veidā veicot arī to lietu izpēti, kurās protests nav iesniegts.</w:t>
      </w:r>
      <w:r w:rsidR="009E3594" w:rsidRPr="00327DAE">
        <w:rPr>
          <w:rFonts w:eastAsia="Calibri"/>
          <w:sz w:val="24"/>
          <w:szCs w:val="24"/>
          <w:lang w:eastAsia="en-US"/>
        </w:rPr>
        <w:t xml:space="preserve"> Komisij</w:t>
      </w:r>
      <w:r w:rsidR="0011373E">
        <w:rPr>
          <w:rFonts w:eastAsia="Calibri"/>
          <w:sz w:val="24"/>
          <w:szCs w:val="24"/>
          <w:lang w:eastAsia="en-US"/>
        </w:rPr>
        <w:t>ā</w:t>
      </w:r>
      <w:r w:rsidR="009E3594" w:rsidRPr="00327DAE">
        <w:rPr>
          <w:rFonts w:eastAsia="Calibri"/>
          <w:sz w:val="24"/>
          <w:szCs w:val="24"/>
          <w:lang w:eastAsia="en-US"/>
        </w:rPr>
        <w:t xml:space="preserve"> strādāja šādi tiesu varas pārstāvji: Augstākās tiesas Civillietu departamenta</w:t>
      </w:r>
      <w:r w:rsidR="00922310">
        <w:rPr>
          <w:rFonts w:eastAsia="Calibri"/>
          <w:sz w:val="24"/>
          <w:szCs w:val="24"/>
          <w:lang w:eastAsia="en-US"/>
        </w:rPr>
        <w:t xml:space="preserve"> priekšsēdētāja Edīte Vernuša </w:t>
      </w:r>
      <w:r w:rsidR="009E3594" w:rsidRPr="00327DAE">
        <w:rPr>
          <w:rFonts w:eastAsia="Calibri"/>
          <w:sz w:val="24"/>
          <w:szCs w:val="24"/>
          <w:lang w:eastAsia="en-US"/>
        </w:rPr>
        <w:t>un tiesneši Rudīte Vīduša, Aigars Strupišs, Latvijas Tiesnešu biedrības ieteiktā Rīgas rajona tiesas tiesnese Elita Stivriņa, Ti</w:t>
      </w:r>
      <w:r w:rsidR="00FD6FDF">
        <w:rPr>
          <w:rFonts w:eastAsia="Calibri"/>
          <w:sz w:val="24"/>
          <w:szCs w:val="24"/>
          <w:lang w:eastAsia="en-US"/>
        </w:rPr>
        <w:t xml:space="preserve">eslietu ministrijas deleģējumā – </w:t>
      </w:r>
      <w:r w:rsidR="009E3594" w:rsidRPr="00327DAE">
        <w:rPr>
          <w:rFonts w:eastAsia="Calibri"/>
          <w:sz w:val="24"/>
          <w:szCs w:val="24"/>
          <w:lang w:eastAsia="en-US"/>
        </w:rPr>
        <w:t>tieslietu ministra padomnieks m</w:t>
      </w:r>
      <w:r w:rsidR="00922310">
        <w:rPr>
          <w:rFonts w:eastAsia="Calibri"/>
          <w:sz w:val="24"/>
          <w:szCs w:val="24"/>
          <w:lang w:eastAsia="en-US"/>
        </w:rPr>
        <w:t>aksātnespējas jautājumos Edgars</w:t>
      </w:r>
      <w:r w:rsidR="009E3594" w:rsidRPr="00327DAE">
        <w:rPr>
          <w:rFonts w:eastAsia="Calibri"/>
          <w:sz w:val="24"/>
          <w:szCs w:val="24"/>
          <w:lang w:eastAsia="en-US"/>
        </w:rPr>
        <w:t xml:space="preserve"> Stafeckis un Tiesu sistēmas uzraudzības</w:t>
      </w:r>
      <w:r w:rsidR="00922310">
        <w:rPr>
          <w:rFonts w:eastAsia="Calibri"/>
          <w:sz w:val="24"/>
          <w:szCs w:val="24"/>
          <w:lang w:eastAsia="en-US"/>
        </w:rPr>
        <w:t xml:space="preserve"> departamenta direktore Egita </w:t>
      </w:r>
      <w:r w:rsidR="009E3594" w:rsidRPr="00327DAE">
        <w:rPr>
          <w:rFonts w:eastAsia="Calibri"/>
          <w:sz w:val="24"/>
          <w:szCs w:val="24"/>
          <w:lang w:eastAsia="en-US"/>
        </w:rPr>
        <w:t>Gintere, kā arī</w:t>
      </w:r>
      <w:r w:rsidR="006A37C1" w:rsidRPr="00327DAE">
        <w:rPr>
          <w:rFonts w:eastAsia="Calibri"/>
          <w:sz w:val="24"/>
          <w:szCs w:val="24"/>
          <w:lang w:eastAsia="en-US"/>
        </w:rPr>
        <w:t xml:space="preserve"> a</w:t>
      </w:r>
      <w:r w:rsidRPr="00327DAE">
        <w:rPr>
          <w:rFonts w:eastAsia="Calibri"/>
          <w:sz w:val="24"/>
          <w:szCs w:val="24"/>
          <w:lang w:eastAsia="en-US"/>
        </w:rPr>
        <w:t>tbilstoši Tieslietu padomes sēdē izskanējušajiem aicinājumiem tieslietu jomas ekspert</w:t>
      </w:r>
      <w:r w:rsidR="006A37C1" w:rsidRPr="00327DAE">
        <w:rPr>
          <w:rFonts w:eastAsia="Calibri"/>
          <w:sz w:val="24"/>
          <w:szCs w:val="24"/>
          <w:lang w:eastAsia="en-US"/>
        </w:rPr>
        <w:t>i</w:t>
      </w:r>
      <w:r w:rsidRPr="00327DAE">
        <w:rPr>
          <w:rFonts w:eastAsia="Calibri"/>
          <w:sz w:val="24"/>
          <w:szCs w:val="24"/>
          <w:lang w:eastAsia="en-US"/>
        </w:rPr>
        <w:t xml:space="preserve"> profesor</w:t>
      </w:r>
      <w:r w:rsidR="006A37C1" w:rsidRPr="00327DAE">
        <w:rPr>
          <w:rFonts w:eastAsia="Calibri"/>
          <w:sz w:val="24"/>
          <w:szCs w:val="24"/>
          <w:lang w:eastAsia="en-US"/>
        </w:rPr>
        <w:t>s</w:t>
      </w:r>
      <w:r w:rsidRPr="00327DAE">
        <w:rPr>
          <w:rFonts w:eastAsia="Calibri"/>
          <w:sz w:val="24"/>
          <w:szCs w:val="24"/>
          <w:lang w:eastAsia="en-US"/>
        </w:rPr>
        <w:t xml:space="preserve"> Kalvi</w:t>
      </w:r>
      <w:r w:rsidR="006A37C1" w:rsidRPr="00327DAE">
        <w:rPr>
          <w:rFonts w:eastAsia="Calibri"/>
          <w:sz w:val="24"/>
          <w:szCs w:val="24"/>
          <w:lang w:eastAsia="en-US"/>
        </w:rPr>
        <w:t>s Torgāns</w:t>
      </w:r>
      <w:r w:rsidRPr="00327DAE">
        <w:rPr>
          <w:rFonts w:eastAsia="Calibri"/>
          <w:sz w:val="24"/>
          <w:szCs w:val="24"/>
          <w:lang w:eastAsia="en-US"/>
        </w:rPr>
        <w:t xml:space="preserve"> un </w:t>
      </w:r>
      <w:r w:rsidR="0011373E">
        <w:rPr>
          <w:rFonts w:eastAsia="Calibri"/>
          <w:sz w:val="24"/>
          <w:szCs w:val="24"/>
          <w:lang w:eastAsia="en-US"/>
        </w:rPr>
        <w:t>D</w:t>
      </w:r>
      <w:r w:rsidR="0011373E" w:rsidRPr="00327DAE">
        <w:rPr>
          <w:rFonts w:eastAsia="Calibri"/>
          <w:sz w:val="24"/>
          <w:szCs w:val="24"/>
          <w:lang w:eastAsia="en-US"/>
        </w:rPr>
        <w:t>r</w:t>
      </w:r>
      <w:r w:rsidRPr="00327DAE">
        <w:rPr>
          <w:rFonts w:eastAsia="Calibri"/>
          <w:sz w:val="24"/>
          <w:szCs w:val="24"/>
          <w:lang w:eastAsia="en-US"/>
        </w:rPr>
        <w:t>. </w:t>
      </w:r>
      <w:proofErr w:type="spellStart"/>
      <w:r w:rsidRPr="00327DAE">
        <w:rPr>
          <w:rFonts w:eastAsia="Calibri"/>
          <w:sz w:val="24"/>
          <w:szCs w:val="24"/>
          <w:lang w:eastAsia="en-US"/>
        </w:rPr>
        <w:t>iur</w:t>
      </w:r>
      <w:proofErr w:type="spellEnd"/>
      <w:r w:rsidRPr="00327DAE">
        <w:rPr>
          <w:rFonts w:eastAsia="Calibri"/>
          <w:sz w:val="24"/>
          <w:szCs w:val="24"/>
          <w:lang w:eastAsia="en-US"/>
        </w:rPr>
        <w:t>. Mārtiņ</w:t>
      </w:r>
      <w:r w:rsidR="006A37C1" w:rsidRPr="00327DAE">
        <w:rPr>
          <w:rFonts w:eastAsia="Calibri"/>
          <w:sz w:val="24"/>
          <w:szCs w:val="24"/>
          <w:lang w:eastAsia="en-US"/>
        </w:rPr>
        <w:t>š</w:t>
      </w:r>
      <w:r w:rsidRPr="00327DAE">
        <w:rPr>
          <w:rFonts w:eastAsia="Calibri"/>
          <w:sz w:val="24"/>
          <w:szCs w:val="24"/>
          <w:lang w:eastAsia="en-US"/>
        </w:rPr>
        <w:t xml:space="preserve"> Paparinski</w:t>
      </w:r>
      <w:r w:rsidR="006A37C1" w:rsidRPr="00327DAE">
        <w:rPr>
          <w:rFonts w:eastAsia="Calibri"/>
          <w:sz w:val="24"/>
          <w:szCs w:val="24"/>
          <w:lang w:eastAsia="en-US"/>
        </w:rPr>
        <w:t>s</w:t>
      </w:r>
      <w:r w:rsidRPr="00327DAE">
        <w:rPr>
          <w:rFonts w:eastAsia="Calibri"/>
          <w:sz w:val="24"/>
          <w:szCs w:val="24"/>
          <w:lang w:eastAsia="en-US"/>
        </w:rPr>
        <w:t>, maksātnespējas tiesību ekspert</w:t>
      </w:r>
      <w:r w:rsidR="006A37C1" w:rsidRPr="00327DAE">
        <w:rPr>
          <w:rFonts w:eastAsia="Calibri"/>
          <w:sz w:val="24"/>
          <w:szCs w:val="24"/>
          <w:lang w:eastAsia="en-US"/>
        </w:rPr>
        <w:t>s Helmuts</w:t>
      </w:r>
      <w:r w:rsidRPr="00327DAE">
        <w:rPr>
          <w:rFonts w:eastAsia="Calibri"/>
          <w:sz w:val="24"/>
          <w:szCs w:val="24"/>
          <w:lang w:eastAsia="en-US"/>
        </w:rPr>
        <w:t xml:space="preserve"> Jauj</w:t>
      </w:r>
      <w:r w:rsidR="006A37C1" w:rsidRPr="00327DAE">
        <w:rPr>
          <w:rFonts w:eastAsia="Calibri"/>
          <w:sz w:val="24"/>
          <w:szCs w:val="24"/>
          <w:lang w:eastAsia="en-US"/>
        </w:rPr>
        <w:t xml:space="preserve">a. </w:t>
      </w:r>
      <w:r w:rsidRPr="00327DAE">
        <w:rPr>
          <w:rFonts w:eastAsia="Calibri"/>
          <w:sz w:val="24"/>
          <w:szCs w:val="24"/>
          <w:lang w:eastAsia="en-US"/>
        </w:rPr>
        <w:t>Apkopojuma tehnisko procesu nodrošināja Judikatūras un zinātniski analītiskā nodaļa.</w:t>
      </w:r>
    </w:p>
    <w:p w14:paraId="20229D82" w14:textId="77777777" w:rsidR="00E71432" w:rsidRPr="00D61630" w:rsidRDefault="00E71432" w:rsidP="00E71432">
      <w:pPr>
        <w:rPr>
          <w:sz w:val="24"/>
          <w:szCs w:val="24"/>
        </w:rPr>
      </w:pPr>
      <w:r w:rsidRPr="008B472F">
        <w:rPr>
          <w:sz w:val="24"/>
          <w:szCs w:val="24"/>
        </w:rPr>
        <w:t>Lai nodrošinātu pēc iespējas vispusīgāku skatījumu, Augstākā tiesa ziņojuma sagatavošanai piesaistīja daudzveidīgu ekspertu loku gan no institucionālās piesaistes, gan no pārstāvēto viedokļu aspekta. Ziņojumā ietvertie darba grupas kopīgie secinājumi un ekspertu atsevišķie secinājumi un komentāri attiecībā uz tiesību normu interpretāciju, lietu faktisko apstākļu vērtējumu un lietu izskatīšanā iesaistīto amatpersonu un lietas dalībnieku rīcības izvērtējumu atspoguļo ekspertu viedokli, nevis Augstākās tiesas nostāju. Jāņem vērā, ka kopš ziņojumā analizēto lietu izskatīšanas pagājuši vairāki gadi, īpaši detalizētai lietas materiālu izpētei bija iespējams atvēlēt vien ierobežotus laika resursus, kā arī, ka ekspertu viedoklis balstīts galvenokārt uz lietās pieņemto nolēmumu analīzi, neuzklausot lietās iesaistīto personu viedokli. Līdz ar to gan ekspertu grupas kopīgie, gan ekspertu atsevišķie secinājumi par izvērtēto lietu apstākļiem var būt nepilnīgi.</w:t>
      </w:r>
    </w:p>
    <w:p w14:paraId="6B015260" w14:textId="77777777" w:rsidR="00E71432" w:rsidRPr="00D61630" w:rsidRDefault="00E71432" w:rsidP="00E71432">
      <w:pPr>
        <w:rPr>
          <w:sz w:val="24"/>
          <w:szCs w:val="24"/>
        </w:rPr>
      </w:pPr>
    </w:p>
    <w:p w14:paraId="64EBA266" w14:textId="77777777" w:rsidR="00B61516" w:rsidRPr="00327DAE" w:rsidRDefault="00B61516" w:rsidP="0025317F">
      <w:pPr>
        <w:widowControl/>
        <w:adjustRightInd/>
        <w:spacing w:after="120"/>
        <w:textAlignment w:val="auto"/>
        <w:rPr>
          <w:rFonts w:eastAsia="Calibri"/>
          <w:sz w:val="24"/>
          <w:szCs w:val="24"/>
          <w:lang w:eastAsia="en-US"/>
        </w:rPr>
      </w:pPr>
    </w:p>
    <w:p w14:paraId="0D83970E" w14:textId="77777777" w:rsidR="00C06CD6" w:rsidRPr="00327DAE" w:rsidRDefault="00C06CD6" w:rsidP="0025317F">
      <w:pPr>
        <w:widowControl/>
        <w:adjustRightInd/>
        <w:spacing w:after="120"/>
        <w:textAlignment w:val="auto"/>
        <w:rPr>
          <w:rFonts w:eastAsia="Calibri"/>
          <w:sz w:val="24"/>
          <w:szCs w:val="24"/>
          <w:lang w:eastAsia="en-US"/>
        </w:rPr>
      </w:pPr>
    </w:p>
    <w:p w14:paraId="31C8D162" w14:textId="77777777" w:rsidR="004546C7" w:rsidRPr="00327DAE" w:rsidRDefault="004546C7" w:rsidP="0025317F">
      <w:pPr>
        <w:pStyle w:val="Heading2"/>
        <w:rPr>
          <w:rFonts w:cs="Times New Roman"/>
          <w:szCs w:val="24"/>
          <w:lang w:eastAsia="en-US"/>
        </w:rPr>
      </w:pPr>
      <w:bookmarkStart w:id="3" w:name="_Toc522527479"/>
      <w:r w:rsidRPr="00327DAE">
        <w:rPr>
          <w:rFonts w:cs="Times New Roman"/>
          <w:szCs w:val="24"/>
          <w:lang w:eastAsia="en-US"/>
        </w:rPr>
        <w:lastRenderedPageBreak/>
        <w:t>Darba principi un metodes</w:t>
      </w:r>
      <w:bookmarkEnd w:id="3"/>
    </w:p>
    <w:p w14:paraId="00157C4A"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Ekspertiem tika sagatavota šāda informācija:</w:t>
      </w:r>
    </w:p>
    <w:p w14:paraId="534DD4A2"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1) nolēmumi (atceltais nolēmums, Augstākās tiesas nolēmums, kā arī nākamais rajona (pilsētas) tiesas nolēmums) 118 lietās, kurās maksātnespējas jautājumu jomā laika posmā no 2008. gada līdz 2014. gadam Augstākā tiesa, izskatot protestu Civilprocesa likuma 60. nodaļas kārtībā, atcēlusi pirmās instances nolēmumu; </w:t>
      </w:r>
    </w:p>
    <w:p w14:paraId="6BE33C11" w14:textId="6CA28EC5" w:rsidR="004546C7" w:rsidRPr="00327DAE" w:rsidRDefault="00642812" w:rsidP="0025317F">
      <w:pPr>
        <w:widowControl/>
        <w:adjustRightInd/>
        <w:spacing w:after="120"/>
        <w:textAlignment w:val="auto"/>
        <w:rPr>
          <w:rFonts w:eastAsia="Calibri"/>
          <w:sz w:val="24"/>
          <w:szCs w:val="24"/>
          <w:lang w:eastAsia="en-US"/>
        </w:rPr>
      </w:pPr>
      <w:r>
        <w:rPr>
          <w:rFonts w:eastAsia="Calibri"/>
          <w:sz w:val="24"/>
          <w:szCs w:val="24"/>
          <w:lang w:eastAsia="en-US"/>
        </w:rPr>
        <w:t>2) nolēmumi žurnāla „Ir</w:t>
      </w:r>
      <w:r w:rsidR="004546C7" w:rsidRPr="00327DAE">
        <w:rPr>
          <w:rFonts w:eastAsia="Calibri"/>
          <w:sz w:val="24"/>
          <w:szCs w:val="24"/>
          <w:lang w:eastAsia="en-US"/>
        </w:rPr>
        <w:t xml:space="preserve">” publikācijās minētajās lietās – tika identificētas 30 lietas, kā arī pēc lietu izprasīšanas no arhīva, tika veikta katras lietas pilna analīze, lai ekspertiem sniegtu </w:t>
      </w:r>
      <w:r w:rsidR="0012416C" w:rsidRPr="00327DAE">
        <w:rPr>
          <w:rFonts w:eastAsia="Calibri"/>
          <w:sz w:val="24"/>
          <w:szCs w:val="24"/>
          <w:lang w:eastAsia="en-US"/>
        </w:rPr>
        <w:t>pārskat</w:t>
      </w:r>
      <w:r w:rsidR="0012416C">
        <w:rPr>
          <w:rFonts w:eastAsia="Calibri"/>
          <w:sz w:val="24"/>
          <w:szCs w:val="24"/>
          <w:lang w:eastAsia="en-US"/>
        </w:rPr>
        <w:t>u</w:t>
      </w:r>
      <w:r w:rsidR="0012416C" w:rsidRPr="00327DAE">
        <w:rPr>
          <w:rFonts w:eastAsia="Calibri"/>
          <w:sz w:val="24"/>
          <w:szCs w:val="24"/>
          <w:lang w:eastAsia="en-US"/>
        </w:rPr>
        <w:t xml:space="preserve"> </w:t>
      </w:r>
      <w:r w:rsidR="004546C7" w:rsidRPr="00327DAE">
        <w:rPr>
          <w:rFonts w:eastAsia="Calibri"/>
          <w:sz w:val="24"/>
          <w:szCs w:val="24"/>
          <w:lang w:eastAsia="en-US"/>
        </w:rPr>
        <w:t xml:space="preserve">par katru no šīm lietām un atbildētu uz interesējošajiem jautājumiem; </w:t>
      </w:r>
    </w:p>
    <w:p w14:paraId="07845143" w14:textId="334C16D3"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3) </w:t>
      </w:r>
      <w:r w:rsidR="00FD6FDF">
        <w:rPr>
          <w:rFonts w:eastAsia="Calibri"/>
          <w:sz w:val="24"/>
          <w:szCs w:val="24"/>
          <w:lang w:eastAsia="en-US"/>
        </w:rPr>
        <w:t>nol</w:t>
      </w:r>
      <w:r w:rsidR="003E4BCB">
        <w:rPr>
          <w:rFonts w:eastAsia="Calibri"/>
          <w:sz w:val="24"/>
          <w:szCs w:val="24"/>
          <w:lang w:eastAsia="en-US"/>
        </w:rPr>
        <w:t>ēmumi citās lietās, ar kurām</w:t>
      </w:r>
      <w:r w:rsidRPr="00327DAE">
        <w:rPr>
          <w:rFonts w:eastAsia="Calibri"/>
          <w:sz w:val="24"/>
          <w:szCs w:val="24"/>
          <w:lang w:eastAsia="en-US"/>
        </w:rPr>
        <w:t xml:space="preserve">, pēc ekspertu ieskatiem, būtu </w:t>
      </w:r>
      <w:proofErr w:type="gramStart"/>
      <w:r w:rsidRPr="00327DAE">
        <w:rPr>
          <w:rFonts w:eastAsia="Calibri"/>
          <w:sz w:val="24"/>
          <w:szCs w:val="24"/>
          <w:lang w:eastAsia="en-US"/>
        </w:rPr>
        <w:t>nepieciešams iepazīties</w:t>
      </w:r>
      <w:proofErr w:type="gramEnd"/>
      <w:r w:rsidR="003E4BCB">
        <w:rPr>
          <w:rFonts w:eastAsia="Calibri"/>
          <w:sz w:val="24"/>
          <w:szCs w:val="24"/>
          <w:lang w:eastAsia="en-US"/>
        </w:rPr>
        <w:t>: kopā 14</w:t>
      </w:r>
      <w:r w:rsidRPr="00327DAE">
        <w:rPr>
          <w:rFonts w:eastAsia="Calibri"/>
          <w:sz w:val="24"/>
          <w:szCs w:val="24"/>
          <w:lang w:eastAsia="en-US"/>
        </w:rPr>
        <w:t xml:space="preserve"> </w:t>
      </w:r>
      <w:r w:rsidRPr="00FD6FDF">
        <w:rPr>
          <w:rFonts w:eastAsia="Calibri"/>
          <w:sz w:val="24"/>
          <w:szCs w:val="24"/>
          <w:lang w:eastAsia="en-US"/>
        </w:rPr>
        <w:t xml:space="preserve">lietas – pārsvarā ar publikācijā minētajām konkrētajām </w:t>
      </w:r>
      <w:r w:rsidR="003E4BCB">
        <w:rPr>
          <w:rFonts w:eastAsia="Calibri"/>
          <w:sz w:val="24"/>
          <w:szCs w:val="24"/>
          <w:lang w:eastAsia="en-US"/>
        </w:rPr>
        <w:t>lietā saistīta</w:t>
      </w:r>
      <w:r w:rsidR="00642812" w:rsidRPr="003E4BCB">
        <w:rPr>
          <w:rFonts w:eastAsia="Calibri"/>
          <w:sz w:val="24"/>
          <w:szCs w:val="24"/>
          <w:lang w:eastAsia="en-US"/>
        </w:rPr>
        <w:t>s lietas</w:t>
      </w:r>
      <w:r w:rsidR="003E4BCB">
        <w:rPr>
          <w:rFonts w:eastAsia="Calibri"/>
          <w:sz w:val="24"/>
          <w:szCs w:val="24"/>
          <w:lang w:eastAsia="en-US"/>
        </w:rPr>
        <w:t xml:space="preserve">, no kurām iespējams gūt </w:t>
      </w:r>
      <w:r w:rsidRPr="00FD6FDF">
        <w:rPr>
          <w:rFonts w:eastAsia="Calibri"/>
          <w:sz w:val="24"/>
          <w:szCs w:val="24"/>
          <w:lang w:eastAsia="en-US"/>
        </w:rPr>
        <w:t>vispārīgu priekšstatu par tiesneša nolēmumiem</w:t>
      </w:r>
      <w:r w:rsidRPr="00327DAE">
        <w:rPr>
          <w:rFonts w:eastAsia="Calibri"/>
          <w:sz w:val="24"/>
          <w:szCs w:val="24"/>
          <w:lang w:eastAsia="en-US"/>
        </w:rPr>
        <w:t xml:space="preserve"> konkrētos jautājumos vai attiecīgajā laika posmā</w:t>
      </w:r>
      <w:r w:rsidR="0012416C">
        <w:rPr>
          <w:rFonts w:eastAsia="Calibri"/>
          <w:sz w:val="24"/>
          <w:szCs w:val="24"/>
          <w:lang w:eastAsia="en-US"/>
        </w:rPr>
        <w:t>;</w:t>
      </w:r>
      <w:r w:rsidRPr="00327DAE">
        <w:rPr>
          <w:rFonts w:eastAsia="Calibri"/>
          <w:sz w:val="24"/>
          <w:szCs w:val="24"/>
          <w:lang w:eastAsia="en-US"/>
        </w:rPr>
        <w:t xml:space="preserve"> </w:t>
      </w:r>
    </w:p>
    <w:p w14:paraId="5B3B426B" w14:textId="09146ED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4) statistikas dati par 2007</w:t>
      </w:r>
      <w:r w:rsidR="00922310">
        <w:rPr>
          <w:rFonts w:eastAsia="Calibri"/>
          <w:sz w:val="24"/>
          <w:szCs w:val="24"/>
          <w:lang w:eastAsia="en-US"/>
        </w:rPr>
        <w:t>.–</w:t>
      </w:r>
      <w:r w:rsidRPr="00327DAE">
        <w:rPr>
          <w:rFonts w:eastAsia="Calibri"/>
          <w:sz w:val="24"/>
          <w:szCs w:val="24"/>
          <w:lang w:eastAsia="en-US"/>
        </w:rPr>
        <w:t>2014.</w:t>
      </w:r>
      <w:r w:rsidR="00922310">
        <w:rPr>
          <w:rFonts w:eastAsia="Calibri"/>
          <w:sz w:val="24"/>
          <w:szCs w:val="24"/>
          <w:lang w:eastAsia="en-US"/>
        </w:rPr>
        <w:t> </w:t>
      </w:r>
      <w:r w:rsidRPr="00327DAE">
        <w:rPr>
          <w:rFonts w:eastAsia="Calibri"/>
          <w:sz w:val="24"/>
          <w:szCs w:val="24"/>
          <w:lang w:eastAsia="en-US"/>
        </w:rPr>
        <w:t>gadā izskatīto maksātnespējas</w:t>
      </w:r>
      <w:r w:rsidR="0012416C">
        <w:rPr>
          <w:rFonts w:eastAsia="Calibri"/>
          <w:sz w:val="24"/>
          <w:szCs w:val="24"/>
          <w:lang w:eastAsia="en-US"/>
        </w:rPr>
        <w:t xml:space="preserve"> procesu</w:t>
      </w:r>
      <w:r w:rsidRPr="00327DAE">
        <w:rPr>
          <w:rFonts w:eastAsia="Calibri"/>
          <w:sz w:val="24"/>
          <w:szCs w:val="24"/>
          <w:lang w:eastAsia="en-US"/>
        </w:rPr>
        <w:t>, tiesiskās aizsardzības procesu un ārpustiesas tiesiskās aizsardzības procesu lietu skaitu</w:t>
      </w:r>
      <w:r w:rsidR="0012416C">
        <w:rPr>
          <w:rFonts w:eastAsia="Calibri"/>
          <w:sz w:val="24"/>
          <w:szCs w:val="24"/>
          <w:lang w:eastAsia="en-US"/>
        </w:rPr>
        <w:t>.</w:t>
      </w:r>
    </w:p>
    <w:p w14:paraId="0B6FFA63"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Individuālo lietu analīzes pamatā tika atbildēts uz šādiem jautājumiem:</w:t>
      </w:r>
    </w:p>
    <w:p w14:paraId="61E55093"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lietas būtība;</w:t>
      </w:r>
    </w:p>
    <w:p w14:paraId="3551027A"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publikācijā norādītais pārmetums;</w:t>
      </w:r>
    </w:p>
    <w:p w14:paraId="7FD8CB72"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tiesnesim pieejamā informācija lietas skatīšanas brīdī;</w:t>
      </w:r>
    </w:p>
    <w:p w14:paraId="3B01DF68"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tiesību piemērošanas jautājumi (tiesību normas, tiesu prakse);</w:t>
      </w:r>
    </w:p>
    <w:p w14:paraId="51E47086"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nolēmuma atcelšanas gadījumā – atcelšanas pamats;</w:t>
      </w:r>
    </w:p>
    <w:p w14:paraId="43BD930E"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 xml:space="preserve">vai nolēmums pieņemts apstākļos, kad pastāvēja stabila judikatūra un doktrīna; </w:t>
      </w:r>
    </w:p>
    <w:p w14:paraId="5ABF59C6"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 xml:space="preserve">vai tiesnesis konkrētajā lietā veicis darbības, kas rada šaubas par procesa objektivitāti; </w:t>
      </w:r>
    </w:p>
    <w:p w14:paraId="79E3EB06" w14:textId="77777777"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vai ir citi apstākļi, kas ietekmējuši procesa kvalitāti;</w:t>
      </w:r>
    </w:p>
    <w:p w14:paraId="4DE984E6" w14:textId="0A5013F5"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secinājumi par lietu un tiesneša darbu.</w:t>
      </w:r>
    </w:p>
    <w:p w14:paraId="3D1A421F" w14:textId="77777777" w:rsidR="00C06CD6" w:rsidRPr="00327DAE" w:rsidRDefault="00C06CD6" w:rsidP="0025317F">
      <w:pPr>
        <w:widowControl/>
        <w:adjustRightInd/>
        <w:spacing w:after="120"/>
        <w:ind w:left="1004"/>
        <w:jc w:val="left"/>
        <w:textAlignment w:val="auto"/>
        <w:rPr>
          <w:rFonts w:eastAsia="Calibri"/>
          <w:sz w:val="24"/>
          <w:szCs w:val="24"/>
          <w:lang w:eastAsia="en-US"/>
        </w:rPr>
      </w:pPr>
    </w:p>
    <w:p w14:paraId="129C4552"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Grupas vienošanās par atskaites pamatprincipiem</w:t>
      </w:r>
    </w:p>
    <w:p w14:paraId="7315AAFE" w14:textId="65EFAEDB" w:rsidR="00C06CD6" w:rsidRPr="00327DAE" w:rsidRDefault="004546C7"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sidRPr="00327DAE">
        <w:rPr>
          <w:rFonts w:eastAsia="Calibri"/>
          <w:sz w:val="24"/>
          <w:szCs w:val="24"/>
          <w:lang w:eastAsia="en-US"/>
        </w:rPr>
        <w:t>Atskaite balstāma uz pamatprincipu, ka tiesnesis nedrīks</w:t>
      </w:r>
      <w:r w:rsidR="008B472F">
        <w:rPr>
          <w:rFonts w:eastAsia="Calibri"/>
          <w:sz w:val="24"/>
          <w:szCs w:val="24"/>
          <w:lang w:eastAsia="en-US"/>
        </w:rPr>
        <w:t>t tikt pakļauts represijām par „</w:t>
      </w:r>
      <w:r w:rsidRPr="00327DAE">
        <w:rPr>
          <w:rFonts w:eastAsia="Calibri"/>
          <w:sz w:val="24"/>
          <w:szCs w:val="24"/>
          <w:lang w:eastAsia="en-US"/>
        </w:rPr>
        <w:t>nepareizu” likuma interpretāciju tikai tāpēc, ka lietas dalībnieks nav apmierināts ar lietas iznākumu un par to sūdzējies masu medijiem. Tas būtu nopietns tiesas neatkarības apdraudējums, kas būtu pretrunā ar tiesiskas valsts pamatprincipiem jebkuras Rietumu demokrātijas izpratnē. Tiesnesis atbild tikai likumā noteiktos gadījumos un kārtībā. Tas nenozīmē, ka nedrīkst izteikt viedokļus par tiesneša nolēmumiem un kritizēt tos, taču kritikai jābūt konstruktīvai, balstītai faktos, tās mērķis nedrīkst būt tiesneša ietekmēšana viņa profesionālo pienākumu veikšanā, un tās motīvs nedrīkst būt personisks. Tāpēc atzinumā, ja tiesneša rīcība atzīta par nepareizu, ir jānorāda konkrēti – kā šī nepareizība izpaudās un kura tiesību norma ar to tikusi pārkāpta.</w:t>
      </w:r>
    </w:p>
    <w:p w14:paraId="1F7807C6" w14:textId="77777777" w:rsidR="00C06CD6" w:rsidRPr="00327DAE" w:rsidRDefault="004546C7"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sidRPr="00327DAE">
        <w:rPr>
          <w:rFonts w:eastAsia="Calibri"/>
          <w:sz w:val="24"/>
          <w:szCs w:val="24"/>
          <w:lang w:eastAsia="en-US"/>
        </w:rPr>
        <w:lastRenderedPageBreak/>
        <w:t>Darba grupas dalībnieki apzinās, ka viņu rīcībā nav nekādu izmeklēšanas vai operatīvās darbības instrumentu, kas ļautu pamatoti konstatēt korupciju kā iespējamo tiesnešu kļūdu motīvu. Tādēļ šādi motīvi netiks aplūkoti.</w:t>
      </w:r>
    </w:p>
    <w:p w14:paraId="5700CC52" w14:textId="00546AF6" w:rsidR="00C06CD6" w:rsidRPr="00327DAE" w:rsidRDefault="0012416C"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Pr>
          <w:rFonts w:eastAsia="Calibri"/>
          <w:sz w:val="24"/>
          <w:szCs w:val="24"/>
          <w:lang w:eastAsia="en-US"/>
        </w:rPr>
        <w:t>A</w:t>
      </w:r>
      <w:r w:rsidRPr="00327DAE">
        <w:rPr>
          <w:rFonts w:eastAsia="Calibri"/>
          <w:sz w:val="24"/>
          <w:szCs w:val="24"/>
          <w:lang w:eastAsia="en-US"/>
        </w:rPr>
        <w:t xml:space="preserve">tsevišķie </w:t>
      </w:r>
      <w:r w:rsidR="004546C7" w:rsidRPr="00327DAE">
        <w:rPr>
          <w:rFonts w:eastAsia="Calibri"/>
          <w:sz w:val="24"/>
          <w:szCs w:val="24"/>
          <w:lang w:eastAsia="en-US"/>
        </w:rPr>
        <w:t xml:space="preserve">viedokļi, ja ekspertu grupas dalībniekam tādi ir, jāpievieno aiz tās sadaļas, kuras saturam viņš nepiekrīt, ievērojot vispārējās prasības atzinumam (sk. </w:t>
      </w:r>
      <w:r>
        <w:rPr>
          <w:rFonts w:eastAsia="Calibri"/>
          <w:sz w:val="24"/>
          <w:szCs w:val="24"/>
          <w:lang w:eastAsia="en-US"/>
        </w:rPr>
        <w:t>i</w:t>
      </w:r>
      <w:r w:rsidRPr="00327DAE">
        <w:rPr>
          <w:rFonts w:eastAsia="Calibri"/>
          <w:sz w:val="24"/>
          <w:szCs w:val="24"/>
          <w:lang w:eastAsia="en-US"/>
        </w:rPr>
        <w:t>epriekš</w:t>
      </w:r>
      <w:r w:rsidR="004546C7" w:rsidRPr="00327DAE">
        <w:rPr>
          <w:rFonts w:eastAsia="Calibri"/>
          <w:sz w:val="24"/>
          <w:szCs w:val="24"/>
          <w:lang w:eastAsia="en-US"/>
        </w:rPr>
        <w:t xml:space="preserve">). </w:t>
      </w:r>
    </w:p>
    <w:p w14:paraId="5B8B0A34" w14:textId="65EAD6D0" w:rsidR="006B7629" w:rsidRDefault="0012416C"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Pr>
          <w:rFonts w:eastAsia="Calibri"/>
          <w:sz w:val="24"/>
          <w:szCs w:val="24"/>
          <w:lang w:eastAsia="en-US"/>
        </w:rPr>
        <w:t>I</w:t>
      </w:r>
      <w:r w:rsidR="004546C7" w:rsidRPr="00327DAE">
        <w:rPr>
          <w:rFonts w:eastAsia="Calibri"/>
          <w:sz w:val="24"/>
          <w:szCs w:val="24"/>
          <w:lang w:eastAsia="en-US"/>
        </w:rPr>
        <w:t>nformācijas atklāšana par iespējamu interešu konflikt</w:t>
      </w:r>
      <w:r w:rsidR="006B7629" w:rsidRPr="00327DAE">
        <w:rPr>
          <w:rFonts w:eastAsia="Calibri"/>
          <w:sz w:val="24"/>
          <w:szCs w:val="24"/>
          <w:lang w:eastAsia="en-US"/>
        </w:rPr>
        <w:t>u ekspertu grupas dalībniekiem</w:t>
      </w:r>
      <w:r w:rsidR="00F70C9D">
        <w:rPr>
          <w:rFonts w:eastAsia="Calibri"/>
          <w:sz w:val="24"/>
          <w:szCs w:val="24"/>
          <w:lang w:eastAsia="en-US"/>
        </w:rPr>
        <w:t xml:space="preserve"> (sk. pēdējo šī ziņojuma sadaļu)</w:t>
      </w:r>
      <w:r w:rsidR="006B7629" w:rsidRPr="00327DAE">
        <w:rPr>
          <w:rFonts w:eastAsia="Calibri"/>
          <w:sz w:val="24"/>
          <w:szCs w:val="24"/>
          <w:lang w:eastAsia="en-US"/>
        </w:rPr>
        <w:t>.</w:t>
      </w:r>
    </w:p>
    <w:p w14:paraId="13FB1E16" w14:textId="77777777" w:rsidR="006F6917" w:rsidRDefault="006F6917" w:rsidP="0025317F">
      <w:pPr>
        <w:widowControl/>
        <w:adjustRightInd/>
        <w:spacing w:after="120"/>
        <w:textAlignment w:val="auto"/>
        <w:rPr>
          <w:rFonts w:eastAsia="Calibri"/>
          <w:sz w:val="24"/>
          <w:szCs w:val="24"/>
          <w:lang w:eastAsia="en-US"/>
        </w:rPr>
      </w:pPr>
    </w:p>
    <w:p w14:paraId="52902E29" w14:textId="6CBE955C" w:rsidR="006F6917" w:rsidRPr="00327DAE" w:rsidRDefault="006F6917" w:rsidP="0025317F">
      <w:pPr>
        <w:pStyle w:val="Heading2"/>
      </w:pPr>
      <w:bookmarkStart w:id="4" w:name="_Toc522527480"/>
      <w:r>
        <w:t>Izmantotie saīsinājumi</w:t>
      </w:r>
      <w:bookmarkEnd w:id="4"/>
    </w:p>
    <w:p w14:paraId="0047C7D8" w14:textId="77777777" w:rsidR="006F6917" w:rsidRPr="00327DAE" w:rsidRDefault="006F6917" w:rsidP="0025317F">
      <w:pPr>
        <w:spacing w:after="120"/>
        <w:ind w:right="-52"/>
        <w:rPr>
          <w:sz w:val="24"/>
          <w:szCs w:val="24"/>
        </w:rPr>
      </w:pPr>
      <w:r w:rsidRPr="00327DAE">
        <w:rPr>
          <w:sz w:val="24"/>
          <w:szCs w:val="24"/>
        </w:rPr>
        <w:t>TAP – tiesiskās aizsardzības process</w:t>
      </w:r>
    </w:p>
    <w:p w14:paraId="5CCA60FD" w14:textId="4CD1C38C" w:rsidR="006F6917" w:rsidRDefault="006F6917" w:rsidP="0025317F">
      <w:pPr>
        <w:spacing w:after="120"/>
        <w:ind w:right="-52"/>
        <w:rPr>
          <w:sz w:val="24"/>
          <w:szCs w:val="24"/>
        </w:rPr>
      </w:pPr>
      <w:r w:rsidRPr="00327DAE">
        <w:rPr>
          <w:sz w:val="24"/>
          <w:szCs w:val="24"/>
        </w:rPr>
        <w:t xml:space="preserve">ĀTAP </w:t>
      </w:r>
      <w:r>
        <w:rPr>
          <w:sz w:val="24"/>
          <w:szCs w:val="24"/>
        </w:rPr>
        <w:t xml:space="preserve">– </w:t>
      </w:r>
      <w:r w:rsidRPr="00327DAE">
        <w:rPr>
          <w:sz w:val="24"/>
          <w:szCs w:val="24"/>
        </w:rPr>
        <w:t>ārpustiesas tiesiskās aizsardzības process</w:t>
      </w:r>
    </w:p>
    <w:p w14:paraId="2647AE19" w14:textId="0062CDCE" w:rsidR="006F6917" w:rsidRPr="00327DAE" w:rsidRDefault="0012416C" w:rsidP="0025317F">
      <w:pPr>
        <w:spacing w:after="120"/>
        <w:ind w:right="-52"/>
        <w:rPr>
          <w:sz w:val="24"/>
          <w:szCs w:val="24"/>
        </w:rPr>
      </w:pPr>
      <w:r>
        <w:rPr>
          <w:sz w:val="24"/>
          <w:szCs w:val="24"/>
        </w:rPr>
        <w:t xml:space="preserve">AT </w:t>
      </w:r>
      <w:r w:rsidR="006F6917">
        <w:rPr>
          <w:sz w:val="24"/>
          <w:szCs w:val="24"/>
        </w:rPr>
        <w:t>CLD – Augstākās tiesas Civillietu departaments</w:t>
      </w:r>
    </w:p>
    <w:p w14:paraId="322F1046" w14:textId="77777777" w:rsidR="006F6917" w:rsidRPr="006F6917" w:rsidRDefault="006F6917" w:rsidP="0025317F">
      <w:pPr>
        <w:widowControl/>
        <w:adjustRightInd/>
        <w:spacing w:after="120"/>
        <w:textAlignment w:val="auto"/>
        <w:rPr>
          <w:rFonts w:eastAsia="Calibri"/>
          <w:sz w:val="24"/>
          <w:szCs w:val="24"/>
          <w:lang w:eastAsia="en-US"/>
        </w:rPr>
      </w:pPr>
    </w:p>
    <w:p w14:paraId="03DC1EF6" w14:textId="0115229A" w:rsidR="004546C7" w:rsidRPr="00327DAE" w:rsidRDefault="006B7629" w:rsidP="0025317F">
      <w:pPr>
        <w:pStyle w:val="Heading1"/>
        <w:rPr>
          <w:rFonts w:eastAsia="Calibri" w:cs="Times New Roman"/>
          <w:szCs w:val="24"/>
          <w:lang w:eastAsia="en-US"/>
        </w:rPr>
      </w:pPr>
      <w:r w:rsidRPr="00327DAE">
        <w:rPr>
          <w:rFonts w:eastAsia="Calibri" w:cs="Times New Roman"/>
          <w:szCs w:val="24"/>
          <w:lang w:eastAsia="en-US"/>
        </w:rPr>
        <w:br w:type="page"/>
      </w:r>
      <w:bookmarkStart w:id="5" w:name="_Toc522527481"/>
      <w:r w:rsidR="00C06CD6" w:rsidRPr="00327DAE">
        <w:rPr>
          <w:rFonts w:cs="Times New Roman"/>
          <w:szCs w:val="24"/>
        </w:rPr>
        <w:lastRenderedPageBreak/>
        <w:t>SECINĀJUMI</w:t>
      </w:r>
      <w:bookmarkEnd w:id="5"/>
    </w:p>
    <w:p w14:paraId="2E9C73C6" w14:textId="77777777" w:rsidR="004546C7" w:rsidRPr="00327DAE" w:rsidRDefault="004546C7" w:rsidP="0025317F">
      <w:pPr>
        <w:pStyle w:val="Heading2"/>
        <w:rPr>
          <w:rFonts w:cs="Times New Roman"/>
          <w:szCs w:val="24"/>
          <w:lang w:eastAsia="en-US"/>
        </w:rPr>
      </w:pPr>
      <w:bookmarkStart w:id="6" w:name="_Toc522527482"/>
      <w:r w:rsidRPr="00327DAE">
        <w:rPr>
          <w:rFonts w:cs="Times New Roman"/>
          <w:szCs w:val="24"/>
          <w:lang w:eastAsia="en-US"/>
        </w:rPr>
        <w:t>Vispārīgs pārskats</w:t>
      </w:r>
      <w:bookmarkEnd w:id="6"/>
    </w:p>
    <w:p w14:paraId="43123371" w14:textId="71F64769"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Maksātnespējas lietu izskatīšana tiesās, jo īpaši ekonomiskās krīzes un pēckrīzes laikā</w:t>
      </w:r>
      <w:r w:rsidR="00BA4C66">
        <w:rPr>
          <w:rFonts w:eastAsia="Calibri"/>
          <w:sz w:val="24"/>
          <w:szCs w:val="24"/>
          <w:lang w:eastAsia="en-US"/>
        </w:rPr>
        <w:t>,</w:t>
      </w:r>
      <w:r w:rsidRPr="00327DAE">
        <w:rPr>
          <w:rFonts w:eastAsia="Calibri"/>
          <w:sz w:val="24"/>
          <w:szCs w:val="24"/>
          <w:lang w:eastAsia="en-US"/>
        </w:rPr>
        <w:t xml:space="preserve"> bijusi jutīgs jautājums, jo bija jātiek galā gan ar lielu skaitu ekonomiskās grūtībās nonākušu </w:t>
      </w:r>
      <w:r w:rsidR="00EA0497">
        <w:rPr>
          <w:rFonts w:eastAsia="Calibri"/>
          <w:sz w:val="24"/>
          <w:szCs w:val="24"/>
          <w:lang w:eastAsia="en-US"/>
        </w:rPr>
        <w:t xml:space="preserve">fizisku </w:t>
      </w:r>
      <w:r w:rsidRPr="00327DAE">
        <w:rPr>
          <w:rFonts w:eastAsia="Calibri"/>
          <w:sz w:val="24"/>
          <w:szCs w:val="24"/>
          <w:lang w:eastAsia="en-US"/>
        </w:rPr>
        <w:t xml:space="preserve">un </w:t>
      </w:r>
      <w:r w:rsidR="00EA0497">
        <w:rPr>
          <w:rFonts w:eastAsia="Calibri"/>
          <w:sz w:val="24"/>
          <w:szCs w:val="24"/>
          <w:lang w:eastAsia="en-US"/>
        </w:rPr>
        <w:t>juridisku personu</w:t>
      </w:r>
      <w:r w:rsidRPr="00327DAE">
        <w:rPr>
          <w:rFonts w:eastAsia="Calibri"/>
          <w:sz w:val="24"/>
          <w:szCs w:val="24"/>
          <w:lang w:eastAsia="en-US"/>
        </w:rPr>
        <w:t>, gan notika bieža normatīvo aktu maiņa un grozīšana ar neskaidrībām pat būtiskos maksātnespējas procesa jautājumos. Tā kā maksātnespējas procesu efektīva un taisnīga norise ir būtiska interese visas valsts ekonomikas līmenī, tostarp ārvalstu investīciju aizsardzībā, ir saprotams, ka par to ir arī liela sabiedrības interese un kritika.</w:t>
      </w:r>
    </w:p>
    <w:p w14:paraId="2C4C5EF4" w14:textId="2C8463B8" w:rsidR="004546C7" w:rsidRPr="00327DAE" w:rsidRDefault="008B472F" w:rsidP="0025317F">
      <w:pPr>
        <w:widowControl/>
        <w:adjustRightInd/>
        <w:spacing w:after="120"/>
        <w:textAlignment w:val="auto"/>
        <w:rPr>
          <w:rFonts w:eastAsia="Calibri"/>
          <w:sz w:val="24"/>
          <w:szCs w:val="24"/>
          <w:lang w:eastAsia="en-US"/>
        </w:rPr>
      </w:pPr>
      <w:r>
        <w:rPr>
          <w:rFonts w:eastAsia="Calibri"/>
          <w:sz w:val="24"/>
          <w:szCs w:val="24"/>
          <w:lang w:eastAsia="en-US"/>
        </w:rPr>
        <w:t>Rakstā „Tiesneši pret likumu” („</w:t>
      </w:r>
      <w:r w:rsidR="004546C7" w:rsidRPr="00327DAE">
        <w:rPr>
          <w:rFonts w:eastAsia="Calibri"/>
          <w:sz w:val="24"/>
          <w:szCs w:val="24"/>
          <w:lang w:eastAsia="en-US"/>
        </w:rPr>
        <w:t>Ir” 23.-29.12.2017</w:t>
      </w:r>
      <w:r w:rsidR="00BA4C66">
        <w:rPr>
          <w:rFonts w:eastAsia="Calibri"/>
          <w:sz w:val="24"/>
          <w:szCs w:val="24"/>
          <w:lang w:eastAsia="en-US"/>
        </w:rPr>
        <w:t>.</w:t>
      </w:r>
      <w:r w:rsidR="004546C7" w:rsidRPr="00327DAE">
        <w:rPr>
          <w:rFonts w:eastAsia="Calibri"/>
          <w:sz w:val="24"/>
          <w:szCs w:val="24"/>
          <w:lang w:eastAsia="en-US"/>
        </w:rPr>
        <w:t>, autore I. Sprance) sākuma daļā ir minēts iespaidīgs Ārvalstu investoru padom</w:t>
      </w:r>
      <w:r>
        <w:rPr>
          <w:rFonts w:eastAsia="Calibri"/>
          <w:sz w:val="24"/>
          <w:szCs w:val="24"/>
          <w:lang w:eastAsia="en-US"/>
        </w:rPr>
        <w:t>es un SIA “</w:t>
      </w:r>
      <w:proofErr w:type="spellStart"/>
      <w:r>
        <w:rPr>
          <w:rFonts w:eastAsia="Calibri"/>
          <w:sz w:val="24"/>
          <w:szCs w:val="24"/>
          <w:lang w:eastAsia="en-US"/>
        </w:rPr>
        <w:t>Deloitte</w:t>
      </w:r>
      <w:proofErr w:type="spellEnd"/>
      <w:r>
        <w:rPr>
          <w:rFonts w:eastAsia="Calibri"/>
          <w:sz w:val="24"/>
          <w:szCs w:val="24"/>
          <w:lang w:eastAsia="en-US"/>
        </w:rPr>
        <w:t>” atzinums: „</w:t>
      </w:r>
      <w:r w:rsidR="004546C7" w:rsidRPr="00327DAE">
        <w:rPr>
          <w:rFonts w:eastAsia="Calibri"/>
          <w:sz w:val="24"/>
          <w:szCs w:val="24"/>
          <w:lang w:eastAsia="en-US"/>
        </w:rPr>
        <w:t>Ļaunprātīgos maksātnespējas procesos Latvija 7 gados zaudējusi vismaz 665 miljonus eiro” ar norādi, ka par visām maksātnespējas lietām lemjot tiesa, ar ko radīts maldinošs iespaids, ka šie zaudējumi ir tiesas darbības rezultāts. Tas nav pareizi. Maksātnespēja ir komersanta vai citas personas nespēja nokārtot savas civiltiesiskās saistības. Ja persona pieteic maksātnespēju, tad tiesa veic attiecīgas procesuālas darbības, bet nevar un tai nav jānodrošina visu parādu samaksa. Krīzes laikā un arī bez krīzes noteiktus zaudējumus cieš kreditori, viņu manta samazinās, šādi zudumi var tikt sarēķināti arī valstij kopumā, bet tos nav izraisījusi tiesas darbība. Jāpiebilst, ka patiešām pastāv jēdziens „ļaunprātīga maksātnespēja”, taču ne visos gadījumos maksātnespēja kvalificējama kā ļaunprātīga.</w:t>
      </w:r>
    </w:p>
    <w:p w14:paraId="08E37582" w14:textId="690C0DC9"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Pastiprinātā interese un liela ekonomiskā nozīme tomēr nevar būt iemesls, lai pārlieku nozīmi piešķirtu ikvienai tiesas un tiesneša kļūdai šo lietu izskatīšanā. Lai kā negribētos to vispārināt, diemžēl ir jārēķinās, ka ikviens tiesnesis kļūdās</w:t>
      </w:r>
      <w:r w:rsidR="00464DFA">
        <w:rPr>
          <w:rFonts w:eastAsia="Calibri"/>
          <w:sz w:val="24"/>
          <w:szCs w:val="24"/>
          <w:lang w:eastAsia="en-US"/>
        </w:rPr>
        <w:t>.</w:t>
      </w:r>
      <w:r w:rsidRPr="00327DAE">
        <w:rPr>
          <w:rFonts w:eastAsia="Calibri"/>
          <w:sz w:val="24"/>
          <w:szCs w:val="24"/>
          <w:lang w:eastAsia="en-US"/>
        </w:rPr>
        <w:t xml:space="preserve"> </w:t>
      </w:r>
      <w:r w:rsidR="00464DFA">
        <w:rPr>
          <w:rFonts w:eastAsia="Calibri"/>
          <w:sz w:val="24"/>
          <w:szCs w:val="24"/>
          <w:lang w:eastAsia="en-US"/>
        </w:rPr>
        <w:t>N</w:t>
      </w:r>
      <w:r w:rsidRPr="00327DAE">
        <w:rPr>
          <w:rFonts w:eastAsia="Calibri"/>
          <w:sz w:val="24"/>
          <w:szCs w:val="24"/>
          <w:lang w:eastAsia="en-US"/>
        </w:rPr>
        <w:t>o kļūdām nevar izvairīties nevienā lietu kategorijā nevienā tiesu instancē</w:t>
      </w:r>
      <w:r w:rsidR="00EA0497">
        <w:rPr>
          <w:rFonts w:eastAsia="Calibri"/>
          <w:sz w:val="24"/>
          <w:szCs w:val="24"/>
          <w:lang w:eastAsia="en-US"/>
        </w:rPr>
        <w:t xml:space="preserve"> nevienā valstī</w:t>
      </w:r>
      <w:r w:rsidRPr="00327DAE">
        <w:rPr>
          <w:rFonts w:eastAsia="Calibri"/>
          <w:sz w:val="24"/>
          <w:szCs w:val="24"/>
          <w:lang w:eastAsia="en-US"/>
        </w:rPr>
        <w:t xml:space="preserve">. </w:t>
      </w:r>
      <w:r w:rsidR="00EA0497">
        <w:rPr>
          <w:rFonts w:eastAsia="Calibri"/>
          <w:sz w:val="24"/>
          <w:szCs w:val="24"/>
          <w:lang w:eastAsia="en-US"/>
        </w:rPr>
        <w:t xml:space="preserve">Latvijā </w:t>
      </w:r>
      <w:r w:rsidRPr="00327DAE">
        <w:rPr>
          <w:rFonts w:eastAsia="Calibri"/>
          <w:sz w:val="24"/>
          <w:szCs w:val="24"/>
          <w:lang w:eastAsia="en-US"/>
        </w:rPr>
        <w:t xml:space="preserve">pastāv trīs instanču tiesu sistēma, </w:t>
      </w:r>
      <w:r w:rsidR="00EA0497">
        <w:rPr>
          <w:rFonts w:eastAsia="Calibri"/>
          <w:sz w:val="24"/>
          <w:szCs w:val="24"/>
          <w:lang w:eastAsia="en-US"/>
        </w:rPr>
        <w:t>lai dotu iespēju</w:t>
      </w:r>
      <w:r w:rsidRPr="00327DAE">
        <w:rPr>
          <w:rFonts w:eastAsia="Calibri"/>
          <w:sz w:val="24"/>
          <w:szCs w:val="24"/>
          <w:lang w:eastAsia="en-US"/>
        </w:rPr>
        <w:t xml:space="preserve"> </w:t>
      </w:r>
      <w:r w:rsidR="00EA0497">
        <w:rPr>
          <w:rFonts w:eastAsia="Calibri"/>
          <w:sz w:val="24"/>
          <w:szCs w:val="24"/>
          <w:lang w:eastAsia="en-US"/>
        </w:rPr>
        <w:t xml:space="preserve">pārskatīti un, nepieciešamības gadījumā, atcelt zemāku instanču tiesu nolēmumus </w:t>
      </w:r>
      <w:r w:rsidRPr="00327DAE">
        <w:rPr>
          <w:rFonts w:eastAsia="Calibri"/>
          <w:sz w:val="24"/>
          <w:szCs w:val="24"/>
          <w:lang w:eastAsia="en-US"/>
        </w:rPr>
        <w:t>(maksātnespēju gadījumā procesa ātruma labad iespēja lēmumu pārbaudīt augstākā tiesu instancē pastāv ļoti ierobežotā apjomā, protestu kārtībā)</w:t>
      </w:r>
      <w:r w:rsidR="00EA0497">
        <w:rPr>
          <w:rFonts w:eastAsia="Calibri"/>
          <w:sz w:val="24"/>
          <w:szCs w:val="24"/>
          <w:lang w:eastAsia="en-US"/>
        </w:rPr>
        <w:t>. R</w:t>
      </w:r>
      <w:r w:rsidRPr="00327DAE">
        <w:rPr>
          <w:rFonts w:eastAsia="Calibri"/>
          <w:sz w:val="24"/>
          <w:szCs w:val="24"/>
          <w:lang w:eastAsia="en-US"/>
        </w:rPr>
        <w:t xml:space="preserve">eizēm tiesu prakses maiņa </w:t>
      </w:r>
      <w:r w:rsidR="00EA0497" w:rsidRPr="00327DAE">
        <w:rPr>
          <w:rFonts w:eastAsia="Calibri"/>
          <w:sz w:val="24"/>
          <w:szCs w:val="24"/>
          <w:lang w:eastAsia="en-US"/>
        </w:rPr>
        <w:t xml:space="preserve">notiek </w:t>
      </w:r>
      <w:r w:rsidRPr="00327DAE">
        <w:rPr>
          <w:rFonts w:eastAsia="Calibri"/>
          <w:sz w:val="24"/>
          <w:szCs w:val="24"/>
          <w:lang w:eastAsia="en-US"/>
        </w:rPr>
        <w:t xml:space="preserve">pat Augstākajā tiesā. Tomēr tiesu sistēmai jātiecas nodrošināt tiesiskumu jau pirmās instances tiesā, lai, nodrošinot procesuālo ekonomiju, maksimāli operatīvi un kvalitatīvi tiktu uzraudzīti valsts organizētie procesi. </w:t>
      </w:r>
    </w:p>
    <w:p w14:paraId="191FBEEA" w14:textId="3A90F04F"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Tiesību attīstība </w:t>
      </w:r>
      <w:r w:rsidR="008651D2" w:rsidRPr="00327DAE">
        <w:rPr>
          <w:rFonts w:eastAsia="Calibri"/>
          <w:sz w:val="24"/>
          <w:szCs w:val="24"/>
          <w:lang w:eastAsia="en-US"/>
        </w:rPr>
        <w:t xml:space="preserve">dažkārt </w:t>
      </w:r>
      <w:r w:rsidRPr="00327DAE">
        <w:rPr>
          <w:rFonts w:eastAsia="Calibri"/>
          <w:sz w:val="24"/>
          <w:szCs w:val="24"/>
          <w:lang w:eastAsia="en-US"/>
        </w:rPr>
        <w:t>n</w:t>
      </w:r>
      <w:r w:rsidR="008B472F">
        <w:rPr>
          <w:rFonts w:eastAsia="Calibri"/>
          <w:sz w:val="24"/>
          <w:szCs w:val="24"/>
          <w:lang w:eastAsia="en-US"/>
        </w:rPr>
        <w:t>otiek tādējādi, ka vakardienas „</w:t>
      </w:r>
      <w:r w:rsidRPr="00327DAE">
        <w:rPr>
          <w:rFonts w:eastAsia="Calibri"/>
          <w:sz w:val="24"/>
          <w:szCs w:val="24"/>
          <w:lang w:eastAsia="en-US"/>
        </w:rPr>
        <w:t>kļūda” likuma iztulkošanā rītdien kļūst par judikatūru un dominējošo doktrīnu.</w:t>
      </w:r>
      <w:r w:rsidR="0086023A" w:rsidRPr="00327DAE">
        <w:rPr>
          <w:rFonts w:eastAsia="Calibri"/>
          <w:sz w:val="24"/>
          <w:szCs w:val="24"/>
          <w:lang w:eastAsia="en-US"/>
        </w:rPr>
        <w:t xml:space="preserve"> </w:t>
      </w:r>
      <w:r w:rsidRPr="00327DAE">
        <w:rPr>
          <w:rFonts w:eastAsia="Calibri"/>
          <w:sz w:val="24"/>
          <w:szCs w:val="24"/>
          <w:lang w:eastAsia="en-US"/>
        </w:rPr>
        <w:t>No šīs tiesību attīstības dialektikas nav izdevies izvairīties nevienā valstī. Tāpēc Rietumu tiesību loka tiesību sistēm</w:t>
      </w:r>
      <w:r w:rsidR="008B472F">
        <w:rPr>
          <w:rFonts w:eastAsia="Calibri"/>
          <w:sz w:val="24"/>
          <w:szCs w:val="24"/>
          <w:lang w:eastAsia="en-US"/>
        </w:rPr>
        <w:t>as balstās uz principu, ka par „</w:t>
      </w:r>
      <w:r w:rsidRPr="00327DAE">
        <w:rPr>
          <w:rFonts w:eastAsia="Calibri"/>
          <w:sz w:val="24"/>
          <w:szCs w:val="24"/>
          <w:lang w:eastAsia="en-US"/>
        </w:rPr>
        <w:t>nepareizu” tiesību normas i</w:t>
      </w:r>
      <w:r w:rsidR="008B472F">
        <w:rPr>
          <w:rFonts w:eastAsia="Calibri"/>
          <w:sz w:val="24"/>
          <w:szCs w:val="24"/>
          <w:lang w:eastAsia="en-US"/>
        </w:rPr>
        <w:t>ztulkojumu vai lietas apstākļu „</w:t>
      </w:r>
      <w:r w:rsidRPr="00327DAE">
        <w:rPr>
          <w:rFonts w:eastAsia="Calibri"/>
          <w:sz w:val="24"/>
          <w:szCs w:val="24"/>
          <w:lang w:eastAsia="en-US"/>
        </w:rPr>
        <w:t xml:space="preserve">nepareizu” vērtējumu tiesnesis nedrīkst tikt sodīts, ciktāl viņš rīkojies labā ticībā </w:t>
      </w:r>
      <w:r w:rsidRPr="00327DAE">
        <w:rPr>
          <w:rFonts w:eastAsia="Calibri"/>
          <w:i/>
          <w:sz w:val="24"/>
          <w:szCs w:val="24"/>
          <w:lang w:eastAsia="en-US"/>
        </w:rPr>
        <w:t>(sk. Eiropas Padomes Ministru komitejas rekomendācijas dalībvalstī</w:t>
      </w:r>
      <w:r w:rsidR="008B472F">
        <w:rPr>
          <w:rFonts w:eastAsia="Calibri"/>
          <w:i/>
          <w:sz w:val="24"/>
          <w:szCs w:val="24"/>
          <w:lang w:eastAsia="en-US"/>
        </w:rPr>
        <w:t>m CM/Rec(2010)12 „</w:t>
      </w:r>
      <w:r w:rsidRPr="00327DAE">
        <w:rPr>
          <w:rFonts w:eastAsia="Calibri"/>
          <w:i/>
          <w:sz w:val="24"/>
          <w:szCs w:val="24"/>
          <w:lang w:eastAsia="en-US"/>
        </w:rPr>
        <w:t>Par tiesnešiem: neatkarība, efektivitāte un atbildība”)</w:t>
      </w:r>
      <w:r w:rsidRPr="00327DAE">
        <w:rPr>
          <w:rFonts w:eastAsia="Calibri"/>
          <w:sz w:val="24"/>
          <w:szCs w:val="24"/>
          <w:lang w:eastAsia="en-US"/>
        </w:rPr>
        <w:t>. Kļūdu vērtējums nevar būt primitīvi vienkāršots: ja atcelts nolēmums, tad jau skaidrs, ka ir nolaidība vai ļaunprātība. Jāpievērš uzmanība normatīvā regulējuma nepilnībām (uz kurām tiesnesis var atsaukties – tiesnesis ir pakļauts likumam), tiesu prakses attīstībai. Tāpat ir jāņem vērā arī tādi apstākļi kā pušu negodprātīga rīcība, ko ne vienmēr var atklāt maksātnespējas procesa ietvaros, noslēpti vai noklusēti fakti, maksātnespējas administratoru maldinoša rīcība utt.</w:t>
      </w:r>
    </w:p>
    <w:p w14:paraId="71EBE3CE" w14:textId="6D81248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Kopumā apskatītajos nolēmumos, kurus Augstāk</w:t>
      </w:r>
      <w:r w:rsidR="00464DFA">
        <w:rPr>
          <w:rFonts w:eastAsia="Calibri"/>
          <w:sz w:val="24"/>
          <w:szCs w:val="24"/>
          <w:lang w:eastAsia="en-US"/>
        </w:rPr>
        <w:t>ā</w:t>
      </w:r>
      <w:r w:rsidRPr="00327DAE">
        <w:rPr>
          <w:rFonts w:eastAsia="Calibri"/>
          <w:sz w:val="24"/>
          <w:szCs w:val="24"/>
          <w:lang w:eastAsia="en-US"/>
        </w:rPr>
        <w:t xml:space="preserve"> tiesa vēlāk atcēla, formāli var atsaukties uz vienotas prakses neesību, likuma neskaidrību, komplicētiem faktiskajiem </w:t>
      </w:r>
      <w:r w:rsidRPr="00327DAE">
        <w:rPr>
          <w:rFonts w:eastAsia="Calibri"/>
          <w:sz w:val="24"/>
          <w:szCs w:val="24"/>
          <w:lang w:eastAsia="en-US"/>
        </w:rPr>
        <w:lastRenderedPageBreak/>
        <w:t xml:space="preserve">apstākļiem. Taču no lietas apstākļiem bieži bija redzams, ka maksātnespējas process vai tiesiskās aizsardzības process tiek izmantots negodprātīgi un, iespējams, tiek būtiski aizskartas kāda no procesa dalībniekiem (pārsvarā – viena vai vairāku kreditoru) intereses. Tiesneši, kuru darbību analizēja eksperti, daudzkārt rīkojās formāli, </w:t>
      </w:r>
      <w:r w:rsidR="00EA0497">
        <w:rPr>
          <w:rFonts w:eastAsia="Calibri"/>
          <w:sz w:val="24"/>
          <w:szCs w:val="24"/>
          <w:lang w:eastAsia="en-US"/>
        </w:rPr>
        <w:t>ievērojot likuma burtu, bet nepievēršot pienācīgu uzmanību apstākļiem, kuri var norādīt uz negodprātīgu rīcību.</w:t>
      </w:r>
      <w:r w:rsidRPr="00327DAE">
        <w:rPr>
          <w:rFonts w:eastAsia="Calibri"/>
          <w:sz w:val="24"/>
          <w:szCs w:val="24"/>
          <w:lang w:eastAsia="en-US"/>
        </w:rPr>
        <w:t xml:space="preserve"> Kopsakarā ar citiem apstākļiem atsevišķu tiesnešu nolēmumi vērot</w:t>
      </w:r>
      <w:r w:rsidR="00464DFA">
        <w:rPr>
          <w:rFonts w:eastAsia="Calibri"/>
          <w:sz w:val="24"/>
          <w:szCs w:val="24"/>
          <w:lang w:eastAsia="en-US"/>
        </w:rPr>
        <w:t>ā</w:t>
      </w:r>
      <w:r w:rsidRPr="00327DAE">
        <w:rPr>
          <w:rFonts w:eastAsia="Calibri"/>
          <w:sz w:val="24"/>
          <w:szCs w:val="24"/>
          <w:lang w:eastAsia="en-US"/>
        </w:rPr>
        <w:t>jam no malas varēja radīt pamatotas šaubas par šī tiesneša kompetenci un godaprātu. Maksātnespējas jomas kompleksais regulējums neattaisno to, ka tiesas nolēmums sabiedrībai nav saprotami izskaidrojams un pamatojams.</w:t>
      </w:r>
    </w:p>
    <w:p w14:paraId="0603567C" w14:textId="5F37EE69" w:rsidR="00EE6CD1"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Kļūdas, kas sastopamas arī vairākās izskatītajās lietās, </w:t>
      </w:r>
      <w:r w:rsidR="00EA0497">
        <w:rPr>
          <w:rFonts w:eastAsia="Calibri"/>
          <w:sz w:val="24"/>
          <w:szCs w:val="24"/>
          <w:lang w:eastAsia="en-US"/>
        </w:rPr>
        <w:t xml:space="preserve">lielākoties </w:t>
      </w:r>
      <w:r w:rsidRPr="00327DAE">
        <w:rPr>
          <w:rFonts w:eastAsia="Calibri"/>
          <w:sz w:val="24"/>
          <w:szCs w:val="24"/>
          <w:lang w:eastAsia="en-US"/>
        </w:rPr>
        <w:t xml:space="preserve">ir lietas būtisku apstākļu neizvērtēšana, nolēmuma nemotivēšana u.c. procesuāli trūkumi tiesneša darbībā, it īpaši tādi, kuri var ietekmēt lietas iznākumu. Tās likumā noteiktos gadījumos var būt par pamatu tiesnešu disciplināratbildībai, </w:t>
      </w:r>
      <w:proofErr w:type="gramStart"/>
      <w:r w:rsidRPr="00327DAE">
        <w:rPr>
          <w:rFonts w:eastAsia="Calibri"/>
          <w:sz w:val="24"/>
          <w:szCs w:val="24"/>
          <w:lang w:eastAsia="en-US"/>
        </w:rPr>
        <w:t>ja tās pieļautas tīši vai aiz rupjas neuzmanības</w:t>
      </w:r>
      <w:proofErr w:type="gramEnd"/>
      <w:r w:rsidRPr="00327DAE">
        <w:rPr>
          <w:rFonts w:eastAsia="Calibri"/>
          <w:sz w:val="24"/>
          <w:szCs w:val="24"/>
          <w:lang w:eastAsia="en-US"/>
        </w:rPr>
        <w:t xml:space="preserve"> vai nepildot tiesneša pienākumus, vai rupji pārkāpjot tiesneša ētiku (Tiesnešu disciplinārās atbildības likuma </w:t>
      </w:r>
      <w:r w:rsidR="00CD5766" w:rsidRPr="00327DAE">
        <w:rPr>
          <w:rFonts w:eastAsia="Calibri"/>
          <w:sz w:val="24"/>
          <w:szCs w:val="24"/>
          <w:lang w:eastAsia="en-US"/>
        </w:rPr>
        <w:t>1. panta pirmā daļa</w:t>
      </w:r>
      <w:r w:rsidRPr="00327DAE">
        <w:rPr>
          <w:rFonts w:eastAsia="Calibri"/>
          <w:sz w:val="24"/>
          <w:szCs w:val="24"/>
          <w:lang w:eastAsia="en-US"/>
        </w:rPr>
        <w:t xml:space="preserve">). </w:t>
      </w:r>
      <w:r w:rsidR="00EA0497">
        <w:rPr>
          <w:rFonts w:eastAsia="Calibri"/>
          <w:sz w:val="24"/>
          <w:szCs w:val="24"/>
          <w:lang w:eastAsia="en-US"/>
        </w:rPr>
        <w:t xml:space="preserve">Par pazīmēm, kas norāda uz šādu iespējamu kvalifikāciju </w:t>
      </w:r>
      <w:r w:rsidR="00902141">
        <w:rPr>
          <w:rFonts w:eastAsia="Calibri"/>
          <w:sz w:val="24"/>
          <w:szCs w:val="24"/>
          <w:lang w:eastAsia="en-US"/>
        </w:rPr>
        <w:t>sīkāk sk</w:t>
      </w:r>
      <w:r w:rsidR="00EA0497">
        <w:rPr>
          <w:rFonts w:eastAsia="Calibri"/>
          <w:sz w:val="24"/>
          <w:szCs w:val="24"/>
          <w:lang w:eastAsia="en-US"/>
        </w:rPr>
        <w:t>atīt</w:t>
      </w:r>
      <w:r w:rsidR="00902141">
        <w:rPr>
          <w:rFonts w:eastAsia="Calibri"/>
          <w:sz w:val="24"/>
          <w:szCs w:val="24"/>
          <w:lang w:eastAsia="en-US"/>
        </w:rPr>
        <w:t xml:space="preserve"> sadaļu „</w:t>
      </w:r>
      <w:r w:rsidR="00EA0497">
        <w:rPr>
          <w:rFonts w:eastAsia="Calibri"/>
          <w:sz w:val="24"/>
          <w:szCs w:val="24"/>
          <w:lang w:eastAsia="en-US"/>
        </w:rPr>
        <w:t>Konstatētie trūkumi”</w:t>
      </w:r>
      <w:r w:rsidRPr="00327DAE">
        <w:rPr>
          <w:rFonts w:eastAsia="Calibri"/>
          <w:sz w:val="24"/>
          <w:szCs w:val="24"/>
          <w:lang w:eastAsia="en-US"/>
        </w:rPr>
        <w:t>. Tomēr jānorāda, ka ekspertu grupas rīcībā nav instrumentu, lai spētu šos trūkumus objektīvi saklasificēt</w:t>
      </w:r>
      <w:r w:rsidR="00EE6CD1">
        <w:rPr>
          <w:rFonts w:eastAsia="Calibri"/>
          <w:sz w:val="24"/>
          <w:szCs w:val="24"/>
          <w:lang w:eastAsia="en-US"/>
        </w:rPr>
        <w:t>.</w:t>
      </w:r>
      <w:r w:rsidRPr="00327DAE">
        <w:rPr>
          <w:rFonts w:eastAsia="Calibri"/>
          <w:sz w:val="24"/>
          <w:szCs w:val="24"/>
          <w:lang w:eastAsia="en-US"/>
        </w:rPr>
        <w:t xml:space="preserve"> </w:t>
      </w:r>
      <w:r w:rsidR="00EE6CD1">
        <w:rPr>
          <w:rFonts w:eastAsia="Calibri"/>
          <w:sz w:val="24"/>
          <w:szCs w:val="24"/>
          <w:lang w:eastAsia="en-US"/>
        </w:rPr>
        <w:t xml:space="preserve">Tiesneša saukšanai pie disciplināratbildības ievērojamas likumā noteiktās formalitātes, tāpēc šajās lietās būs iestājies </w:t>
      </w:r>
      <w:proofErr w:type="spellStart"/>
      <w:r w:rsidR="00EE6CD1">
        <w:rPr>
          <w:rFonts w:eastAsia="Calibri"/>
          <w:sz w:val="24"/>
          <w:szCs w:val="24"/>
          <w:lang w:eastAsia="en-US"/>
        </w:rPr>
        <w:t>discilplināratbildības</w:t>
      </w:r>
      <w:proofErr w:type="spellEnd"/>
      <w:r w:rsidR="00EE6CD1">
        <w:rPr>
          <w:rFonts w:eastAsia="Calibri"/>
          <w:sz w:val="24"/>
          <w:szCs w:val="24"/>
          <w:lang w:eastAsia="en-US"/>
        </w:rPr>
        <w:t xml:space="preserve"> noilgums.</w:t>
      </w:r>
    </w:p>
    <w:p w14:paraId="6E28E830" w14:textId="5F3DB6E2"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Tāpat jāņem vērā, ka šāda veida lietu izpēte pašā savā būtībā nevar nedz apstiprināt, nedz noliegt publiskajā telpā izdarītos pieņēmumus par iespējamu tīši neobjektīvu (koruptīvu) tiesas spriešanu, bet var tikai identificēt gadījumus, kuros lietas izskatīšanas rezultāts ir grūti izskaidrojams ar vienkāršu kļūdīšanos faktu noskaidrošanā va</w:t>
      </w:r>
      <w:r w:rsidR="00A10611" w:rsidRPr="00327DAE">
        <w:rPr>
          <w:rFonts w:eastAsia="Calibri"/>
          <w:sz w:val="24"/>
          <w:szCs w:val="24"/>
          <w:lang w:eastAsia="en-US"/>
        </w:rPr>
        <w:t>i tiesību normu interpretācijā.</w:t>
      </w:r>
    </w:p>
    <w:p w14:paraId="32607C43" w14:textId="77777777" w:rsidR="004546C7" w:rsidRPr="00327DAE" w:rsidRDefault="004546C7" w:rsidP="0025317F">
      <w:pPr>
        <w:pStyle w:val="Heading2"/>
        <w:rPr>
          <w:rFonts w:cs="Times New Roman"/>
          <w:szCs w:val="24"/>
          <w:lang w:eastAsia="en-US"/>
        </w:rPr>
      </w:pPr>
      <w:bookmarkStart w:id="7" w:name="_Toc522527483"/>
      <w:r w:rsidRPr="00327DAE">
        <w:rPr>
          <w:rFonts w:cs="Times New Roman"/>
          <w:szCs w:val="24"/>
          <w:lang w:eastAsia="en-US"/>
        </w:rPr>
        <w:t>Konstatētie trūkumi un problēmas</w:t>
      </w:r>
      <w:bookmarkEnd w:id="7"/>
    </w:p>
    <w:p w14:paraId="3A8BF5E0"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Vērtējot vispārīgo kvalitātes līmeni, jāpatur prātā, ka Augstākajā tiesā protesta kārtībā pārbaudīto un darba grupas caurskatīto lietu skaits ir ārkārtīgi niecīga daļa no tiesās izskatītajām maksātnespējas lietām un arī no katra atsevišķā tiesneša izskatītajām lietām. Var ļoti vispārīgi pieņemt, ka protestētie un atceltie nolēmumi uzrāda nopietnākās problēmas, bet skaitļi vienmēr jāvērtē attiecībā pret tādu nesalīdzināmi lielāku nolēmumu skaitu, kas nav bijis pamats protestam.</w:t>
      </w:r>
    </w:p>
    <w:p w14:paraId="26645C8E"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Darba grupa kopumā (atšķirīgi viedokļi atsevišķos jautājumos un atsevišķu lietu vērtējumos pastāv un tiek nodoti apsvēršanai Tieslietu padomei) uzskatīja, ka pastāv daži cēloņi, kuri </w:t>
      </w:r>
      <w:r w:rsidRPr="00327DAE">
        <w:rPr>
          <w:rFonts w:eastAsia="Calibri"/>
          <w:i/>
          <w:sz w:val="24"/>
          <w:szCs w:val="24"/>
          <w:lang w:eastAsia="en-US"/>
        </w:rPr>
        <w:t>daļā</w:t>
      </w:r>
      <w:r w:rsidRPr="00327DAE">
        <w:rPr>
          <w:rFonts w:eastAsia="Calibri"/>
          <w:sz w:val="24"/>
          <w:szCs w:val="24"/>
          <w:lang w:eastAsia="en-US"/>
        </w:rPr>
        <w:t xml:space="preserve"> gadījumu liek atturēties no kritiska vērtējuma par tiesneša nolēmumu kvalitāti:</w:t>
      </w:r>
    </w:p>
    <w:p w14:paraId="733F86AE" w14:textId="7FC20B75" w:rsidR="004546C7" w:rsidRPr="00327DAE" w:rsidRDefault="004546C7"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1. Daļā gadījumu </w:t>
      </w:r>
      <w:r w:rsidR="00EE6CD1">
        <w:rPr>
          <w:rFonts w:eastAsia="Calibri"/>
          <w:b/>
          <w:i/>
          <w:sz w:val="24"/>
          <w:szCs w:val="24"/>
          <w:lang w:eastAsia="en-US"/>
        </w:rPr>
        <w:t>no</w:t>
      </w:r>
      <w:r w:rsidRPr="00327DAE">
        <w:rPr>
          <w:rFonts w:eastAsia="Calibri"/>
          <w:b/>
          <w:i/>
          <w:sz w:val="24"/>
          <w:szCs w:val="24"/>
          <w:lang w:eastAsia="en-US"/>
        </w:rPr>
        <w:t xml:space="preserve">lēmumu atcelšanas pamats bijis tāds tiesību jautājums, kurā objektīvi bijušas neskaidrības tiesu praksē. </w:t>
      </w:r>
    </w:p>
    <w:p w14:paraId="671EABE8"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Šeit ir tomēr jānodala divas grupas: tādi, </w:t>
      </w:r>
      <w:proofErr w:type="gramStart"/>
      <w:r w:rsidRPr="00327DAE">
        <w:rPr>
          <w:rFonts w:eastAsia="Calibri"/>
          <w:sz w:val="24"/>
          <w:szCs w:val="24"/>
          <w:lang w:eastAsia="en-US"/>
        </w:rPr>
        <w:t>kuros risinājums ir objektīvi ļoti sarežģīts un Augstākās tiesas atziņām</w:t>
      </w:r>
      <w:proofErr w:type="gramEnd"/>
      <w:r w:rsidRPr="00327DAE">
        <w:rPr>
          <w:rFonts w:eastAsia="Calibri"/>
          <w:sz w:val="24"/>
          <w:szCs w:val="24"/>
          <w:lang w:eastAsia="en-US"/>
        </w:rPr>
        <w:t xml:space="preserve"> bijusi izšķiroša nozīme, un tādi, kuros taisnīgu un sistēmiski pareizu risinājumu būtu normāli sagaidīt no jebkura kvalificēta tiesneša. </w:t>
      </w:r>
    </w:p>
    <w:p w14:paraId="1EB5D64C" w14:textId="04E5AB5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Pirmajā gadījumā kā piemēru var minēt jautājumu par to, vai trešā persona, kura ir ķīlas ņēmēja, būtu atzīstama par nodrošināto kreditoru jeb t.s. „trīsstūra” problemātika – šajā jautājumā darba grupas locekļi, kas bijuši saistīti ar maksātnespējas procesiem, atzina jautājuma juridisko sarežģītību (piemēram, sk. lietu Nr. C27177512 ar tajā pieņemto tiesneša </w:t>
      </w:r>
      <w:r w:rsidR="00642812">
        <w:rPr>
          <w:rFonts w:eastAsia="Calibri"/>
          <w:sz w:val="24"/>
          <w:szCs w:val="24"/>
          <w:lang w:eastAsia="en-US"/>
        </w:rPr>
        <w:t>R. </w:t>
      </w:r>
      <w:r w:rsidRPr="00327DAE">
        <w:rPr>
          <w:rFonts w:eastAsia="Calibri"/>
          <w:sz w:val="24"/>
          <w:szCs w:val="24"/>
          <w:lang w:eastAsia="en-US"/>
        </w:rPr>
        <w:t>Bula 14.11.2012. lēmumu, vienlaikus sk. prof. K.</w:t>
      </w:r>
      <w:r w:rsidR="00893D2A">
        <w:rPr>
          <w:rFonts w:eastAsia="Calibri"/>
          <w:sz w:val="24"/>
          <w:szCs w:val="24"/>
          <w:lang w:eastAsia="en-US"/>
        </w:rPr>
        <w:t> </w:t>
      </w:r>
      <w:r w:rsidRPr="00327DAE">
        <w:rPr>
          <w:rFonts w:eastAsia="Calibri"/>
          <w:sz w:val="24"/>
          <w:szCs w:val="24"/>
          <w:lang w:eastAsia="en-US"/>
        </w:rPr>
        <w:t>Torgāna nepiekrītošo viedokli).</w:t>
      </w:r>
    </w:p>
    <w:p w14:paraId="40EAF47B" w14:textId="325FC98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i/>
          <w:sz w:val="24"/>
          <w:szCs w:val="24"/>
          <w:lang w:eastAsia="en-US"/>
        </w:rPr>
        <w:lastRenderedPageBreak/>
        <w:t>2. Ir gadījumi, kuros lēmuma objektīva nepareizība atklājas tikai pēc protesta iesniegšanas</w:t>
      </w:r>
      <w:r w:rsidRPr="00327DAE">
        <w:rPr>
          <w:rFonts w:eastAsia="Calibri"/>
          <w:sz w:val="24"/>
          <w:szCs w:val="24"/>
          <w:lang w:eastAsia="en-US"/>
        </w:rPr>
        <w:t>, kad lietai tiek pievienoti jauni dokumenti un parādās jauni argumenti no kreditoriem, kas tiesnesim, pieņemot protestēto nolēmumu, nemaz nebija zināmi. Arī tādā gadījumā Augstākā tiesa nolēmumu atceļ, tomēr tādēļ vien nav pamata uzskatīt, ka rajona tiesas tiesnesis ir pieņēmis nepareizu nolēmumu, jo, balstoties uz tobrīd pieejamajiem pierādījumiem, lēmums ir bijis pamatots.</w:t>
      </w:r>
      <w:r w:rsidR="0086023A" w:rsidRPr="00327DAE">
        <w:rPr>
          <w:rFonts w:eastAsia="Calibri"/>
          <w:sz w:val="24"/>
          <w:szCs w:val="24"/>
          <w:lang w:eastAsia="en-US"/>
        </w:rPr>
        <w:t xml:space="preserve"> </w:t>
      </w:r>
    </w:p>
    <w:p w14:paraId="10B1E87B" w14:textId="2ADB878E"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Šāda situācija konstatējama, piemēram, tiesneses </w:t>
      </w:r>
      <w:r w:rsidR="00642812">
        <w:rPr>
          <w:rFonts w:eastAsia="Calibri"/>
          <w:sz w:val="24"/>
          <w:szCs w:val="24"/>
          <w:lang w:eastAsia="en-US"/>
        </w:rPr>
        <w:t>I. </w:t>
      </w:r>
      <w:proofErr w:type="spellStart"/>
      <w:r w:rsidRPr="00327DAE">
        <w:rPr>
          <w:rFonts w:eastAsia="Calibri"/>
          <w:sz w:val="24"/>
          <w:szCs w:val="24"/>
          <w:lang w:eastAsia="en-US"/>
        </w:rPr>
        <w:t>Krēvicas</w:t>
      </w:r>
      <w:proofErr w:type="spellEnd"/>
      <w:r w:rsidRPr="00327DAE">
        <w:rPr>
          <w:rFonts w:eastAsia="Calibri"/>
          <w:sz w:val="24"/>
          <w:szCs w:val="24"/>
          <w:lang w:eastAsia="en-US"/>
        </w:rPr>
        <w:t xml:space="preserve"> lietā Nr. C30623012 „</w:t>
      </w:r>
      <w:proofErr w:type="spellStart"/>
      <w:r w:rsidRPr="00327DAE">
        <w:rPr>
          <w:rFonts w:eastAsia="Calibri"/>
          <w:sz w:val="24"/>
          <w:szCs w:val="24"/>
          <w:lang w:eastAsia="en-US"/>
        </w:rPr>
        <w:t>Tomo</w:t>
      </w:r>
      <w:proofErr w:type="spellEnd"/>
      <w:r w:rsidRPr="00327DAE">
        <w:rPr>
          <w:rFonts w:eastAsia="Calibri"/>
          <w:sz w:val="24"/>
          <w:szCs w:val="24"/>
          <w:lang w:eastAsia="en-US"/>
        </w:rPr>
        <w:t>”.</w:t>
      </w:r>
    </w:p>
    <w:p w14:paraId="14306957" w14:textId="78428A32"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i/>
          <w:sz w:val="24"/>
          <w:szCs w:val="24"/>
          <w:lang w:eastAsia="en-US"/>
        </w:rPr>
        <w:t xml:space="preserve">3. </w:t>
      </w:r>
      <w:r w:rsidR="00C93139" w:rsidRPr="00327DAE">
        <w:rPr>
          <w:rFonts w:eastAsia="Calibri"/>
          <w:b/>
          <w:i/>
          <w:sz w:val="24"/>
          <w:szCs w:val="24"/>
          <w:lang w:eastAsia="en-US"/>
        </w:rPr>
        <w:t>S</w:t>
      </w:r>
      <w:r w:rsidRPr="00327DAE">
        <w:rPr>
          <w:rFonts w:eastAsia="Calibri"/>
          <w:b/>
          <w:i/>
          <w:sz w:val="24"/>
          <w:szCs w:val="24"/>
          <w:lang w:eastAsia="en-US"/>
        </w:rPr>
        <w:t>hēmu veidošana</w:t>
      </w:r>
      <w:r w:rsidR="00C93139" w:rsidRPr="00327DAE">
        <w:rPr>
          <w:rFonts w:eastAsia="Calibri"/>
          <w:b/>
          <w:i/>
          <w:sz w:val="24"/>
          <w:szCs w:val="24"/>
          <w:lang w:eastAsia="en-US"/>
        </w:rPr>
        <w:t>, lai izvairītos no saistībām</w:t>
      </w:r>
      <w:r w:rsidRPr="00327DAE">
        <w:rPr>
          <w:rFonts w:eastAsia="Calibri"/>
          <w:sz w:val="24"/>
          <w:szCs w:val="24"/>
          <w:lang w:eastAsia="en-US"/>
        </w:rPr>
        <w:t xml:space="preserve"> (gan ārpus tiesas, gan izmantojot tiesu kā instrumentu), </w:t>
      </w:r>
      <w:proofErr w:type="gramStart"/>
      <w:r w:rsidRPr="00327DAE">
        <w:rPr>
          <w:rFonts w:eastAsia="Calibri"/>
          <w:sz w:val="24"/>
          <w:szCs w:val="24"/>
          <w:lang w:eastAsia="en-US"/>
        </w:rPr>
        <w:t>kas kļūst</w:t>
      </w:r>
      <w:proofErr w:type="gramEnd"/>
      <w:r w:rsidRPr="00327DAE">
        <w:rPr>
          <w:rFonts w:eastAsia="Calibri"/>
          <w:sz w:val="24"/>
          <w:szCs w:val="24"/>
          <w:lang w:eastAsia="en-US"/>
        </w:rPr>
        <w:t xml:space="preserve"> jo sarežģītāka, jo lielāka ir maksātnespējīgā uzņēmuma mantas vērtība. Jāatzīst, ka </w:t>
      </w:r>
      <w:r w:rsidR="001D6994" w:rsidRPr="00327DAE">
        <w:rPr>
          <w:rFonts w:eastAsia="Calibri"/>
          <w:sz w:val="24"/>
          <w:szCs w:val="24"/>
          <w:lang w:eastAsia="en-US"/>
        </w:rPr>
        <w:t xml:space="preserve">ne vienmēr </w:t>
      </w:r>
      <w:r w:rsidRPr="00327DAE">
        <w:rPr>
          <w:rFonts w:eastAsia="Calibri"/>
          <w:sz w:val="24"/>
          <w:szCs w:val="24"/>
          <w:lang w:eastAsia="en-US"/>
        </w:rPr>
        <w:t>uzreiz i</w:t>
      </w:r>
      <w:r w:rsidR="001D6994" w:rsidRPr="00327DAE">
        <w:rPr>
          <w:rFonts w:eastAsia="Calibri"/>
          <w:sz w:val="24"/>
          <w:szCs w:val="24"/>
          <w:lang w:eastAsia="en-US"/>
        </w:rPr>
        <w:t>r izprotama</w:t>
      </w:r>
      <w:r w:rsidR="00CD5766" w:rsidRPr="00327DAE">
        <w:rPr>
          <w:rFonts w:eastAsia="Calibri"/>
          <w:sz w:val="24"/>
          <w:szCs w:val="24"/>
          <w:lang w:eastAsia="en-US"/>
        </w:rPr>
        <w:t xml:space="preserve"> </w:t>
      </w:r>
      <w:r w:rsidRPr="00327DAE">
        <w:rPr>
          <w:rFonts w:eastAsia="Calibri"/>
          <w:sz w:val="24"/>
          <w:szCs w:val="24"/>
          <w:lang w:eastAsia="en-US"/>
        </w:rPr>
        <w:t>atsevišķu leģitīmu darbību nozīm</w:t>
      </w:r>
      <w:r w:rsidR="001D6994" w:rsidRPr="00327DAE">
        <w:rPr>
          <w:rFonts w:eastAsia="Calibri"/>
          <w:sz w:val="24"/>
          <w:szCs w:val="24"/>
          <w:lang w:eastAsia="en-US"/>
        </w:rPr>
        <w:t>e</w:t>
      </w:r>
      <w:r w:rsidRPr="00327DAE">
        <w:rPr>
          <w:rFonts w:eastAsia="Calibri"/>
          <w:sz w:val="24"/>
          <w:szCs w:val="24"/>
          <w:lang w:eastAsia="en-US"/>
        </w:rPr>
        <w:t xml:space="preserve"> lielākā shēmā, par kuru </w:t>
      </w:r>
      <w:r w:rsidR="00893D2A" w:rsidRPr="00327DAE">
        <w:rPr>
          <w:rFonts w:eastAsia="Calibri"/>
          <w:sz w:val="24"/>
          <w:szCs w:val="24"/>
          <w:lang w:eastAsia="en-US"/>
        </w:rPr>
        <w:t xml:space="preserve">informācijas </w:t>
      </w:r>
      <w:r w:rsidRPr="00327DAE">
        <w:rPr>
          <w:rFonts w:eastAsia="Calibri"/>
          <w:sz w:val="24"/>
          <w:szCs w:val="24"/>
          <w:lang w:eastAsia="en-US"/>
        </w:rPr>
        <w:t>uz lietas izskatīšanas brīdi nav</w:t>
      </w:r>
      <w:r w:rsidR="001D6994" w:rsidRPr="00327DAE">
        <w:rPr>
          <w:rFonts w:eastAsia="Calibri"/>
          <w:sz w:val="24"/>
          <w:szCs w:val="24"/>
          <w:lang w:eastAsia="en-US"/>
        </w:rPr>
        <w:t>.</w:t>
      </w:r>
      <w:r w:rsidRPr="00327DAE">
        <w:rPr>
          <w:rFonts w:eastAsia="Calibri"/>
          <w:sz w:val="24"/>
          <w:szCs w:val="24"/>
          <w:lang w:eastAsia="en-US"/>
        </w:rPr>
        <w:t xml:space="preserve"> </w:t>
      </w:r>
      <w:r w:rsidR="001D6994" w:rsidRPr="00327DAE">
        <w:rPr>
          <w:rFonts w:eastAsia="Calibri"/>
          <w:sz w:val="24"/>
          <w:szCs w:val="24"/>
          <w:lang w:eastAsia="en-US"/>
        </w:rPr>
        <w:t>P</w:t>
      </w:r>
      <w:r w:rsidRPr="00327DAE">
        <w:rPr>
          <w:rFonts w:eastAsia="Calibri"/>
          <w:sz w:val="24"/>
          <w:szCs w:val="24"/>
          <w:lang w:eastAsia="en-US"/>
        </w:rPr>
        <w:t xml:space="preserve">iemēram, </w:t>
      </w:r>
      <w:proofErr w:type="gramStart"/>
      <w:r w:rsidRPr="00327DAE">
        <w:rPr>
          <w:rFonts w:eastAsia="Calibri"/>
          <w:sz w:val="24"/>
          <w:szCs w:val="24"/>
          <w:lang w:eastAsia="en-US"/>
        </w:rPr>
        <w:t>divu secīgu ĀTAP izmantošana</w:t>
      </w:r>
      <w:proofErr w:type="gramEnd"/>
      <w:r w:rsidRPr="00327DAE">
        <w:rPr>
          <w:rFonts w:eastAsia="Calibri"/>
          <w:sz w:val="24"/>
          <w:szCs w:val="24"/>
          <w:lang w:eastAsia="en-US"/>
        </w:rPr>
        <w:t>, lai atbrīvotos no nodrošinātā kreditora prasījuma caur trešo ĀTAP – l</w:t>
      </w:r>
      <w:r w:rsidR="00902141">
        <w:rPr>
          <w:rFonts w:eastAsia="Calibri"/>
          <w:sz w:val="24"/>
          <w:szCs w:val="24"/>
          <w:lang w:eastAsia="en-US"/>
        </w:rPr>
        <w:t>ietas „</w:t>
      </w:r>
      <w:r w:rsidRPr="00327DAE">
        <w:rPr>
          <w:rFonts w:eastAsia="Calibri"/>
          <w:sz w:val="24"/>
          <w:szCs w:val="24"/>
          <w:lang w:eastAsia="en-US"/>
        </w:rPr>
        <w:t xml:space="preserve">Arts </w:t>
      </w:r>
      <w:proofErr w:type="spellStart"/>
      <w:r w:rsidR="00902141">
        <w:rPr>
          <w:rFonts w:eastAsia="Calibri"/>
          <w:sz w:val="24"/>
          <w:szCs w:val="24"/>
          <w:lang w:eastAsia="en-US"/>
        </w:rPr>
        <w:t>Plaza</w:t>
      </w:r>
      <w:proofErr w:type="spellEnd"/>
      <w:r w:rsidR="00902141">
        <w:rPr>
          <w:rFonts w:eastAsia="Calibri"/>
          <w:sz w:val="24"/>
          <w:szCs w:val="24"/>
          <w:lang w:eastAsia="en-US"/>
        </w:rPr>
        <w:t>”, „Tērbatas centrs”, „</w:t>
      </w:r>
      <w:r w:rsidRPr="00327DAE">
        <w:rPr>
          <w:rFonts w:eastAsia="Calibri"/>
          <w:sz w:val="24"/>
          <w:szCs w:val="24"/>
          <w:lang w:eastAsia="en-US"/>
        </w:rPr>
        <w:t>Gvano”</w:t>
      </w:r>
      <w:r w:rsidR="00EE6CD1">
        <w:rPr>
          <w:rFonts w:eastAsia="Calibri"/>
          <w:sz w:val="24"/>
          <w:szCs w:val="24"/>
          <w:lang w:eastAsia="en-US"/>
        </w:rPr>
        <w:t xml:space="preserve"> (Nr. C27208110, C27205910</w:t>
      </w:r>
      <w:r w:rsidRPr="00327DAE">
        <w:rPr>
          <w:rFonts w:eastAsia="Calibri"/>
          <w:sz w:val="24"/>
          <w:szCs w:val="24"/>
          <w:lang w:eastAsia="en-US"/>
        </w:rPr>
        <w:t>,</w:t>
      </w:r>
      <w:r w:rsidR="00EE6CD1">
        <w:rPr>
          <w:rFonts w:eastAsia="Calibri"/>
          <w:sz w:val="24"/>
          <w:szCs w:val="24"/>
          <w:lang w:eastAsia="en-US"/>
        </w:rPr>
        <w:t xml:space="preserve"> C27210414 – </w:t>
      </w:r>
      <w:r w:rsidRPr="00327DAE">
        <w:rPr>
          <w:rFonts w:eastAsia="Calibri"/>
          <w:sz w:val="24"/>
          <w:szCs w:val="24"/>
          <w:lang w:eastAsia="en-US"/>
        </w:rPr>
        <w:t xml:space="preserve">sākotnējie </w:t>
      </w:r>
      <w:r w:rsidR="00EE6CD1">
        <w:rPr>
          <w:rFonts w:eastAsia="Calibri"/>
          <w:sz w:val="24"/>
          <w:szCs w:val="24"/>
          <w:lang w:eastAsia="en-US"/>
        </w:rPr>
        <w:t>divi no</w:t>
      </w:r>
      <w:r w:rsidRPr="00327DAE">
        <w:rPr>
          <w:rFonts w:eastAsia="Calibri"/>
          <w:sz w:val="24"/>
          <w:szCs w:val="24"/>
          <w:lang w:eastAsia="en-US"/>
        </w:rPr>
        <w:t xml:space="preserve">lēmumi tiesnesim </w:t>
      </w:r>
      <w:r w:rsidR="00A77BA8">
        <w:rPr>
          <w:rFonts w:eastAsia="Calibri"/>
          <w:sz w:val="24"/>
          <w:szCs w:val="24"/>
          <w:lang w:eastAsia="en-US"/>
        </w:rPr>
        <w:t>R. </w:t>
      </w:r>
      <w:r w:rsidRPr="00327DAE">
        <w:rPr>
          <w:rFonts w:eastAsia="Calibri"/>
          <w:sz w:val="24"/>
          <w:szCs w:val="24"/>
          <w:lang w:eastAsia="en-US"/>
        </w:rPr>
        <w:t>Bulam</w:t>
      </w:r>
      <w:r w:rsidR="00EE6CD1">
        <w:rPr>
          <w:rFonts w:eastAsia="Calibri"/>
          <w:sz w:val="24"/>
          <w:szCs w:val="24"/>
          <w:lang w:eastAsia="en-US"/>
        </w:rPr>
        <w:t>)</w:t>
      </w:r>
      <w:r w:rsidRPr="00327DAE">
        <w:rPr>
          <w:rFonts w:eastAsia="Calibri"/>
          <w:sz w:val="24"/>
          <w:szCs w:val="24"/>
          <w:lang w:eastAsia="en-US"/>
        </w:rPr>
        <w:t xml:space="preserve">; arī fiktīvu kreditoru iespējama legalizācija </w:t>
      </w:r>
      <w:r w:rsidR="00EE6CD1">
        <w:rPr>
          <w:rFonts w:eastAsia="Calibri"/>
          <w:sz w:val="24"/>
          <w:szCs w:val="24"/>
          <w:lang w:eastAsia="en-US"/>
        </w:rPr>
        <w:t>ar</w:t>
      </w:r>
      <w:r w:rsidRPr="00327DAE">
        <w:rPr>
          <w:rFonts w:eastAsia="Calibri"/>
          <w:sz w:val="24"/>
          <w:szCs w:val="24"/>
          <w:lang w:eastAsia="en-US"/>
        </w:rPr>
        <w:t xml:space="preserve"> tiesas lēmumu bezstrīdus vai brīdinājumā kārtībā vai </w:t>
      </w:r>
      <w:r w:rsidR="00EE6CD1">
        <w:rPr>
          <w:rFonts w:eastAsia="Calibri"/>
          <w:sz w:val="24"/>
          <w:szCs w:val="24"/>
          <w:lang w:eastAsia="en-US"/>
        </w:rPr>
        <w:t xml:space="preserve">ar </w:t>
      </w:r>
      <w:r w:rsidRPr="00327DAE">
        <w:rPr>
          <w:rFonts w:eastAsia="Calibri"/>
          <w:sz w:val="24"/>
          <w:szCs w:val="24"/>
          <w:lang w:eastAsia="en-US"/>
        </w:rPr>
        <w:t>šķīrējties</w:t>
      </w:r>
      <w:r w:rsidR="00EE6CD1">
        <w:rPr>
          <w:rFonts w:eastAsia="Calibri"/>
          <w:sz w:val="24"/>
          <w:szCs w:val="24"/>
          <w:lang w:eastAsia="en-US"/>
        </w:rPr>
        <w:t>as spriedumu</w:t>
      </w:r>
      <w:r w:rsidRPr="00327DAE">
        <w:rPr>
          <w:rFonts w:eastAsia="Calibri"/>
          <w:sz w:val="24"/>
          <w:szCs w:val="24"/>
          <w:lang w:eastAsia="en-US"/>
        </w:rPr>
        <w:t xml:space="preserve">. </w:t>
      </w:r>
    </w:p>
    <w:p w14:paraId="2045D9FE" w14:textId="579C4221" w:rsidR="004546C7" w:rsidRPr="00FD6FDF" w:rsidRDefault="00FD6FDF" w:rsidP="0025317F">
      <w:pPr>
        <w:widowControl/>
        <w:adjustRightInd/>
        <w:spacing w:after="120"/>
        <w:textAlignment w:val="auto"/>
        <w:rPr>
          <w:rFonts w:eastAsia="Calibri"/>
          <w:sz w:val="24"/>
          <w:szCs w:val="24"/>
          <w:lang w:eastAsia="en-US"/>
        </w:rPr>
      </w:pPr>
      <w:r w:rsidRPr="00FD6FDF">
        <w:rPr>
          <w:rFonts w:eastAsia="Calibri"/>
          <w:sz w:val="24"/>
          <w:szCs w:val="24"/>
          <w:lang w:eastAsia="en-US"/>
        </w:rPr>
        <w:t>Tāpat jāņem vērā, ka vismaz sākotnējā laikposmā daļa tiesnešu, ievērojot Maksātnespējas likumā ietverto procesuālo regulējumu un maksātnespējas administratora statusu un funkcijas, lielā mērā paļāvās uz maksātnespējas administratora profesionālo un neitrālo lomu. Nākas secināt, ka praksē maksātnespējas administratori vienmēr nav bijuši neitrāli, dažos gadījumos pat rīkojušies kā parādnieka vai atsevišķa kreditora aizstāvji. Augstākās tiesas nolēmumos vairākkārt norādīts uz tiesas pienākumu izvērtēt kreditoru iebildumus un nepaļauties tikai uz administratora atzinumu. Tomēr jautājums par administratora lomu maksātnespējas procesa organizēšanā ir aktuāls joprojām (sk. SKC-618/2018).</w:t>
      </w:r>
    </w:p>
    <w:p w14:paraId="32C89F45" w14:textId="1D449B83"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Attiecībā uz tiesas spēju saskatīt un novērst ļaunprātīgu rīcību, ir būtiski, vai lieta ir izskatīta agrīnajā </w:t>
      </w:r>
      <w:r w:rsidR="00EE6CD1">
        <w:rPr>
          <w:rFonts w:eastAsia="Calibri"/>
          <w:sz w:val="24"/>
          <w:szCs w:val="24"/>
          <w:lang w:eastAsia="en-US"/>
        </w:rPr>
        <w:t xml:space="preserve">maksātnespējas regulējuma attīstības </w:t>
      </w:r>
      <w:r w:rsidRPr="00327DAE">
        <w:rPr>
          <w:rFonts w:eastAsia="Calibri"/>
          <w:sz w:val="24"/>
          <w:szCs w:val="24"/>
          <w:lang w:eastAsia="en-US"/>
        </w:rPr>
        <w:t xml:space="preserve">posmā vai arī tad, kad saprātīgs un šajā tiesību nozarē </w:t>
      </w:r>
      <w:r w:rsidR="00EE6CD1">
        <w:rPr>
          <w:rFonts w:eastAsia="Calibri"/>
          <w:sz w:val="24"/>
          <w:szCs w:val="24"/>
          <w:lang w:eastAsia="en-US"/>
        </w:rPr>
        <w:t xml:space="preserve">strādājošs </w:t>
      </w:r>
      <w:r w:rsidRPr="00327DAE">
        <w:rPr>
          <w:rFonts w:eastAsia="Calibri"/>
          <w:sz w:val="24"/>
          <w:szCs w:val="24"/>
          <w:lang w:eastAsia="en-US"/>
        </w:rPr>
        <w:t xml:space="preserve">tiesnesis varēja par </w:t>
      </w:r>
      <w:r w:rsidR="00EE6CD1">
        <w:rPr>
          <w:rFonts w:eastAsia="Calibri"/>
          <w:sz w:val="24"/>
          <w:szCs w:val="24"/>
          <w:lang w:eastAsia="en-US"/>
        </w:rPr>
        <w:t>šādiem negodprātīgiem paņēmieniem</w:t>
      </w:r>
      <w:r w:rsidRPr="00327DAE">
        <w:rPr>
          <w:rFonts w:eastAsia="Calibri"/>
          <w:sz w:val="24"/>
          <w:szCs w:val="24"/>
          <w:lang w:eastAsia="en-US"/>
        </w:rPr>
        <w:t xml:space="preserve"> zināt un attiecīgi labāk novērtēt. Atsevišķos gadījumos jāatzīst, ka tiesnesis parastajā lemšanas procesā arī nevarēja (un viņam nevajadzēja) iedomāties par likuma neievērošanu no administratora puses </w:t>
      </w:r>
      <w:proofErr w:type="gramStart"/>
      <w:r w:rsidRPr="00327DAE">
        <w:rPr>
          <w:rFonts w:eastAsia="Calibri"/>
          <w:sz w:val="24"/>
          <w:szCs w:val="24"/>
          <w:lang w:eastAsia="en-US"/>
        </w:rPr>
        <w:t>(</w:t>
      </w:r>
      <w:proofErr w:type="gramEnd"/>
      <w:r w:rsidRPr="00327DAE">
        <w:rPr>
          <w:rFonts w:eastAsia="Calibri"/>
          <w:sz w:val="24"/>
          <w:szCs w:val="24"/>
          <w:lang w:eastAsia="en-US"/>
        </w:rPr>
        <w:t xml:space="preserve">piemēram, ja administrators sūtījis paziņojumu kreditoram uz nepareizu adresi, nav sagaidāms, ka tiesai būtu jāpārbauda adreses pareizība </w:t>
      </w:r>
      <w:r w:rsidR="00A77BA8">
        <w:rPr>
          <w:rFonts w:eastAsia="Calibri"/>
          <w:i/>
          <w:sz w:val="24"/>
          <w:szCs w:val="24"/>
          <w:lang w:eastAsia="en-US"/>
        </w:rPr>
        <w:t>(sk. tiesneses I. </w:t>
      </w:r>
      <w:proofErr w:type="spellStart"/>
      <w:r w:rsidRPr="00327DAE">
        <w:rPr>
          <w:rFonts w:eastAsia="Calibri"/>
          <w:i/>
          <w:sz w:val="24"/>
          <w:szCs w:val="24"/>
          <w:lang w:eastAsia="en-US"/>
        </w:rPr>
        <w:t>Krēvicas</w:t>
      </w:r>
      <w:proofErr w:type="spellEnd"/>
      <w:r w:rsidRPr="00327DAE">
        <w:rPr>
          <w:rFonts w:eastAsia="Calibri"/>
          <w:i/>
          <w:sz w:val="24"/>
          <w:szCs w:val="24"/>
          <w:lang w:eastAsia="en-US"/>
        </w:rPr>
        <w:t xml:space="preserve"> lietu Nr. C30623012 „</w:t>
      </w:r>
      <w:proofErr w:type="spellStart"/>
      <w:r w:rsidRPr="00327DAE">
        <w:rPr>
          <w:rFonts w:eastAsia="Calibri"/>
          <w:i/>
          <w:sz w:val="24"/>
          <w:szCs w:val="24"/>
          <w:lang w:eastAsia="en-US"/>
        </w:rPr>
        <w:t>Tomo</w:t>
      </w:r>
      <w:proofErr w:type="spellEnd"/>
      <w:r w:rsidRPr="00327DAE">
        <w:rPr>
          <w:rFonts w:eastAsia="Calibri"/>
          <w:i/>
          <w:sz w:val="24"/>
          <w:szCs w:val="24"/>
          <w:lang w:eastAsia="en-US"/>
        </w:rPr>
        <w:t>”)</w:t>
      </w:r>
      <w:r w:rsidRPr="00327DAE">
        <w:rPr>
          <w:rFonts w:eastAsia="Calibri"/>
          <w:sz w:val="24"/>
          <w:szCs w:val="24"/>
          <w:lang w:eastAsia="en-US"/>
        </w:rPr>
        <w:t xml:space="preserve">. Tomēr tiesnesim – neatkarīgi, vai uz to jau bijušas norādes kādā Augstākās tiesas spriedumā vai ne – nebūtu jāturpina nekritiski paļauties uz maksātnespējas administratora atzinumu, ja viņam ir iesniegti konkrēti un ar pierādījumiem pamatoti kreditoru iebildumi </w:t>
      </w:r>
      <w:r w:rsidRPr="00327DAE">
        <w:rPr>
          <w:rFonts w:eastAsia="Calibri"/>
          <w:i/>
          <w:sz w:val="24"/>
          <w:szCs w:val="24"/>
          <w:lang w:eastAsia="en-US"/>
        </w:rPr>
        <w:t>(piemēram, „</w:t>
      </w:r>
      <w:proofErr w:type="spellStart"/>
      <w:r w:rsidRPr="00327DAE">
        <w:rPr>
          <w:rFonts w:eastAsia="Calibri"/>
          <w:i/>
          <w:sz w:val="24"/>
          <w:szCs w:val="24"/>
          <w:lang w:eastAsia="en-US"/>
        </w:rPr>
        <w:t>Winergy</w:t>
      </w:r>
      <w:proofErr w:type="spellEnd"/>
      <w:r w:rsidRPr="00327DAE">
        <w:rPr>
          <w:rFonts w:eastAsia="Calibri"/>
          <w:i/>
          <w:sz w:val="24"/>
          <w:szCs w:val="24"/>
          <w:lang w:eastAsia="en-US"/>
        </w:rPr>
        <w:t xml:space="preserve">” maksātnespējas lieta Nr. C29769013, tiesnese </w:t>
      </w:r>
      <w:r w:rsidR="00A77BA8">
        <w:rPr>
          <w:rFonts w:eastAsia="Calibri"/>
          <w:i/>
          <w:sz w:val="24"/>
          <w:szCs w:val="24"/>
          <w:lang w:eastAsia="en-US"/>
        </w:rPr>
        <w:t>J. </w:t>
      </w:r>
      <w:proofErr w:type="spellStart"/>
      <w:r w:rsidRPr="00327DAE">
        <w:rPr>
          <w:rFonts w:eastAsia="Calibri"/>
          <w:i/>
          <w:sz w:val="24"/>
          <w:szCs w:val="24"/>
          <w:lang w:eastAsia="en-US"/>
        </w:rPr>
        <w:t>Zaškina</w:t>
      </w:r>
      <w:proofErr w:type="spellEnd"/>
      <w:r w:rsidRPr="00327DAE">
        <w:rPr>
          <w:rFonts w:eastAsia="Calibri"/>
          <w:i/>
          <w:sz w:val="24"/>
          <w:szCs w:val="24"/>
          <w:lang w:eastAsia="en-US"/>
        </w:rPr>
        <w:t>; „</w:t>
      </w:r>
      <w:proofErr w:type="spellStart"/>
      <w:r w:rsidRPr="00327DAE">
        <w:rPr>
          <w:rFonts w:eastAsia="Calibri"/>
          <w:i/>
          <w:sz w:val="24"/>
          <w:szCs w:val="24"/>
          <w:lang w:eastAsia="en-US"/>
        </w:rPr>
        <w:t>Winergy</w:t>
      </w:r>
      <w:proofErr w:type="spellEnd"/>
      <w:r w:rsidRPr="00327DAE">
        <w:rPr>
          <w:rFonts w:eastAsia="Calibri"/>
          <w:i/>
          <w:sz w:val="24"/>
          <w:szCs w:val="24"/>
          <w:lang w:eastAsia="en-US"/>
        </w:rPr>
        <w:t xml:space="preserve">” tiesiskās aizsardzības process, lieta Nr. C27144014, tiesnesis </w:t>
      </w:r>
      <w:r w:rsidR="00A77BA8">
        <w:rPr>
          <w:rFonts w:eastAsia="Calibri"/>
          <w:i/>
          <w:sz w:val="24"/>
          <w:szCs w:val="24"/>
          <w:lang w:eastAsia="en-US"/>
        </w:rPr>
        <w:t>I. </w:t>
      </w:r>
      <w:r w:rsidRPr="00327DAE">
        <w:rPr>
          <w:rFonts w:eastAsia="Calibri"/>
          <w:i/>
          <w:sz w:val="24"/>
          <w:szCs w:val="24"/>
          <w:lang w:eastAsia="en-US"/>
        </w:rPr>
        <w:t>Dzenis)</w:t>
      </w:r>
      <w:r w:rsidRPr="00327DAE">
        <w:rPr>
          <w:rFonts w:eastAsia="Calibri"/>
          <w:sz w:val="24"/>
          <w:szCs w:val="24"/>
          <w:lang w:eastAsia="en-US"/>
        </w:rPr>
        <w:t xml:space="preserve">. Šādi kreditoru iebildumi ir jāvērtē vismaz </w:t>
      </w:r>
      <w:proofErr w:type="spellStart"/>
      <w:r w:rsidRPr="00327DAE">
        <w:rPr>
          <w:rFonts w:eastAsia="Calibri"/>
          <w:sz w:val="24"/>
          <w:szCs w:val="24"/>
          <w:lang w:eastAsia="en-US"/>
        </w:rPr>
        <w:t>pirmšķietamības</w:t>
      </w:r>
      <w:proofErr w:type="spellEnd"/>
      <w:r w:rsidRPr="00327DAE">
        <w:rPr>
          <w:rFonts w:eastAsia="Calibri"/>
          <w:sz w:val="24"/>
          <w:szCs w:val="24"/>
          <w:lang w:eastAsia="en-US"/>
        </w:rPr>
        <w:t xml:space="preserve"> līmenī.</w:t>
      </w:r>
    </w:p>
    <w:p w14:paraId="5592E42B" w14:textId="21D5E31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Apsverot šos papildu cēloņus kļūdainiem nolēmumiem, atzinumā ietvertais lietu apskats uzrāda, ka lielākajā daļā </w:t>
      </w:r>
      <w:r w:rsidR="00BD270C">
        <w:rPr>
          <w:rFonts w:eastAsia="Calibri"/>
          <w:sz w:val="24"/>
          <w:szCs w:val="24"/>
          <w:lang w:eastAsia="en-US"/>
        </w:rPr>
        <w:t xml:space="preserve">(~ ¾) </w:t>
      </w:r>
      <w:r w:rsidRPr="00327DAE">
        <w:rPr>
          <w:rFonts w:eastAsia="Calibri"/>
          <w:sz w:val="24"/>
          <w:szCs w:val="24"/>
          <w:lang w:eastAsia="en-US"/>
        </w:rPr>
        <w:t>pārbaudīto lietu</w:t>
      </w:r>
      <w:r w:rsidRPr="00327DAE">
        <w:rPr>
          <w:rFonts w:eastAsia="Calibri"/>
          <w:i/>
          <w:sz w:val="24"/>
          <w:szCs w:val="24"/>
          <w:lang w:eastAsia="en-US"/>
        </w:rPr>
        <w:t xml:space="preserve"> </w:t>
      </w:r>
      <w:r w:rsidRPr="00327DAE">
        <w:rPr>
          <w:rFonts w:eastAsia="Calibri"/>
          <w:sz w:val="24"/>
          <w:szCs w:val="24"/>
          <w:lang w:eastAsia="en-US"/>
        </w:rPr>
        <w:t>(t.i., „Ir” publikācijā pieminēto lietu)</w:t>
      </w:r>
      <w:r w:rsidRPr="00327DAE">
        <w:rPr>
          <w:rFonts w:eastAsia="Calibri"/>
          <w:i/>
          <w:sz w:val="24"/>
          <w:szCs w:val="24"/>
          <w:lang w:eastAsia="en-US"/>
        </w:rPr>
        <w:t xml:space="preserve"> </w:t>
      </w:r>
      <w:r w:rsidRPr="00327DAE">
        <w:rPr>
          <w:rFonts w:eastAsia="Calibri"/>
          <w:sz w:val="24"/>
          <w:szCs w:val="24"/>
          <w:lang w:eastAsia="en-US"/>
        </w:rPr>
        <w:t xml:space="preserve">ir pieļautas </w:t>
      </w:r>
      <w:r w:rsidR="00D136A5" w:rsidRPr="00327DAE">
        <w:rPr>
          <w:rFonts w:eastAsia="Calibri"/>
          <w:sz w:val="24"/>
          <w:szCs w:val="24"/>
          <w:lang w:eastAsia="en-US"/>
        </w:rPr>
        <w:t xml:space="preserve">mazāk nopietnas </w:t>
      </w:r>
      <w:r w:rsidRPr="00327DAE">
        <w:rPr>
          <w:rFonts w:eastAsia="Calibri"/>
          <w:sz w:val="24"/>
          <w:szCs w:val="24"/>
          <w:lang w:eastAsia="en-US"/>
        </w:rPr>
        <w:t>kļūdas</w:t>
      </w:r>
      <w:r w:rsidRPr="00327DAE">
        <w:rPr>
          <w:rFonts w:eastAsia="Calibri"/>
          <w:i/>
          <w:sz w:val="24"/>
          <w:szCs w:val="24"/>
          <w:lang w:eastAsia="en-US"/>
        </w:rPr>
        <w:t xml:space="preserve">. </w:t>
      </w:r>
      <w:r w:rsidRPr="00327DAE">
        <w:rPr>
          <w:rFonts w:eastAsia="Calibri"/>
          <w:sz w:val="24"/>
          <w:szCs w:val="24"/>
          <w:lang w:eastAsia="en-US"/>
        </w:rPr>
        <w:t>Šādu kļūdu labošana parastā gadījumā ir augstākas instances tiesas uzdevums normālas tiesu prakses veidošanās ietvaros. Nereti īpašo nozīmi pārkāpumam/kļūdai publiskajā diskusijā šādos gadījumos rada žurnālistikai raksturīgs brīvāks pasniegšanas veids, kurā, lai vērstu sabiedrības uzmanību uz iespējamām problēmām, mēdz izdarīt vispārīgus pieņēmumus par šādu kļūdu cēloņiem vai nozīmi, izcelt atsevišķus faktus no konteksta u.tml.</w:t>
      </w:r>
    </w:p>
    <w:p w14:paraId="7F48381C" w14:textId="77777777" w:rsidR="004546C7" w:rsidRPr="00327DAE" w:rsidRDefault="004546C7" w:rsidP="0025317F">
      <w:pPr>
        <w:widowControl/>
        <w:adjustRightInd/>
        <w:spacing w:after="120"/>
        <w:textAlignment w:val="auto"/>
        <w:rPr>
          <w:rFonts w:eastAsia="Calibri"/>
          <w:sz w:val="24"/>
          <w:szCs w:val="24"/>
          <w:lang w:eastAsia="en-US"/>
        </w:rPr>
      </w:pPr>
    </w:p>
    <w:p w14:paraId="109D78FE" w14:textId="72AFB2E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Šāda veida kļūdās var ieskaitīt lielāko daļu to nolēmumu, kuros ir atšķīries zemākas un augstākas instances tiesas viedoklis par tiesību normu piemērošanu vai pat par apstākļu vērtējumu. Ir vairāki tiesību jautājumi (sīkāk to var redzēt no lietu apkopojuma tabulas), par kuriem var saprātīgi pamatot atšķirīgus viedokļus, un līdzīgi, vērtējot pārbaudāmos nolēmumus, viedokļi daudzos tiesību un faktu vērtēšanas jautājumos dalījās arī ekspertu grupā.</w:t>
      </w:r>
    </w:p>
    <w:p w14:paraId="043774A1" w14:textId="0734572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Tāpat daļa lietu iezīmē faktu pārbaudes problēmu, par ko jau tika runāts Tieslietu padomes sēdēs: jārēķinās ar tiesas pārbaudes robežām, un šī robeža daudzu gadu laikā ir bijusi diezgan neskaidra un tikusi iezīmēta kazuistiski, reaģējot arī uz ļaunprātīgu rīcību atpazīšanu. </w:t>
      </w:r>
      <w:r w:rsidR="00CD5766" w:rsidRPr="00327DAE">
        <w:rPr>
          <w:rFonts w:eastAsia="Calibri"/>
          <w:sz w:val="24"/>
          <w:szCs w:val="24"/>
          <w:lang w:eastAsia="en-US"/>
        </w:rPr>
        <w:t>M</w:t>
      </w:r>
      <w:r w:rsidRPr="00327DAE">
        <w:rPr>
          <w:rFonts w:eastAsia="Calibri"/>
          <w:sz w:val="24"/>
          <w:szCs w:val="24"/>
          <w:lang w:eastAsia="en-US"/>
        </w:rPr>
        <w:t>aksātnespējas procesa specifika un īsie izskatīšanas termiņi reizē ir lielākais šķērslis tiesas uzraudzībai pār maksātnespējas procesu tiesiskumu. Ja reiz tiesas process ir vērsts uz ātrumu un efektivitāti, nevar no tiesas objektīvi prasīt (turklāt tas neatbilstu civilprocesa principiem), ka tiesa veiks objektīvo izmeklēšanu, lai pati noskaidrotu apstākļus. Maksātnespējas regulējums ir veidots tā, ka maksātnespējas administratoram par noteiktām lietām ir jāuzņemas pilnīga atbildība. Piemēram, lai noskaidrotu, vai maksātnespējas cēlonis nav pašas personas nodoms vai rupja neuzmanība, tieši administratoram ir iespēja un pienākums apzināt, vai persona nav atsavinājusi īpašumus trīs gadu laikā pirms maksātnespējas iestāšanās; tiesa šādā gadījumā nevar veikt objektīvo izmeklēšanu, lai objektīvi noskaidrotu personas mantisko stāvokli trīs gadu periodā.</w:t>
      </w:r>
    </w:p>
    <w:p w14:paraId="5E81FB7C" w14:textId="54415671"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Šī dilemma nav pilnībā atrisināma, vienlaikus saglabājot ātrumu un pārmetot tiesai paļaušanos uz tai iesniegtajiem dokumentiem, sabiedrības</w:t>
      </w:r>
      <w:r w:rsidR="00D136A5" w:rsidRPr="00327DAE">
        <w:rPr>
          <w:rFonts w:eastAsia="Calibri"/>
          <w:sz w:val="24"/>
          <w:szCs w:val="24"/>
          <w:lang w:eastAsia="en-US"/>
        </w:rPr>
        <w:t xml:space="preserve"> (publikācijās izteiktā)</w:t>
      </w:r>
      <w:r w:rsidRPr="00327DAE">
        <w:rPr>
          <w:rFonts w:eastAsia="Calibri"/>
          <w:sz w:val="24"/>
          <w:szCs w:val="24"/>
          <w:lang w:eastAsia="en-US"/>
        </w:rPr>
        <w:t xml:space="preserve"> kritika lielā daļā gadījumu nav pamatota.</w:t>
      </w:r>
    </w:p>
    <w:p w14:paraId="3B99AA53"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Vienlaikus tiesai ir jābūt pietiekami profesionālai gadījumos, kad ir pieļaujams un ir iespējams novērtēt faktus, kas uzrāda maksātnespējas procesa ļaunprātīgas izmantošanas pazīmes gan no maksātnespējīgās personas, gan no citu personu puses. Jo īpaši, ja šādi brīdinoši argumenti parādās iesniegtajos dokumentos (parasti no kreditoru puses). </w:t>
      </w:r>
    </w:p>
    <w:p w14:paraId="112809AC" w14:textId="225B039D"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Tieši šajā aspektā tiesneša stājai un spējai piemērot likumu atbilstoši tā mērķim un (vēlāk likumā skaidri ierakstītajam) labticības principam ir bijusi vislielākā nozīme. </w:t>
      </w:r>
      <w:r w:rsidRPr="00327DAE">
        <w:rPr>
          <w:rFonts w:eastAsia="Calibri"/>
          <w:b/>
          <w:sz w:val="24"/>
          <w:szCs w:val="24"/>
          <w:lang w:eastAsia="en-US"/>
        </w:rPr>
        <w:t xml:space="preserve">Atsevišķās lietās tieši atturēšanās saskatīt problēmu vai nespēja atrast likuma burtā tās risinājumus radījusi būtiskas negatīvas sekas gan mantiskā ziņā konkrētām personām, gan tiesu </w:t>
      </w:r>
      <w:r w:rsidR="00A10611" w:rsidRPr="00327DAE">
        <w:rPr>
          <w:rFonts w:eastAsia="Calibri"/>
          <w:b/>
          <w:sz w:val="24"/>
          <w:szCs w:val="24"/>
          <w:lang w:eastAsia="en-US"/>
        </w:rPr>
        <w:t>un konkrētā tiesneša reputācijai</w:t>
      </w:r>
      <w:r w:rsidR="00A10611" w:rsidRPr="00327DAE">
        <w:rPr>
          <w:rFonts w:eastAsia="Calibri"/>
          <w:sz w:val="24"/>
          <w:szCs w:val="24"/>
          <w:lang w:eastAsia="en-US"/>
        </w:rPr>
        <w:t>.</w:t>
      </w:r>
      <w:r w:rsidR="008F3EDF" w:rsidRPr="00327DAE">
        <w:rPr>
          <w:rFonts w:eastAsia="Calibri"/>
          <w:b/>
          <w:sz w:val="24"/>
          <w:szCs w:val="24"/>
          <w:lang w:eastAsia="en-US"/>
        </w:rPr>
        <w:t xml:space="preserve"> </w:t>
      </w:r>
      <w:r w:rsidRPr="00327DAE">
        <w:rPr>
          <w:rFonts w:eastAsia="Calibri"/>
          <w:sz w:val="24"/>
          <w:szCs w:val="24"/>
          <w:lang w:eastAsia="en-US"/>
        </w:rPr>
        <w:t xml:space="preserve">No lietām konstatējams, ka Augstākā tiesa pastāvīgi vēršas pret likuma burta negodprātīgu izmantošanu un tiesas procesa </w:t>
      </w:r>
      <w:proofErr w:type="spellStart"/>
      <w:r w:rsidRPr="00327DAE">
        <w:rPr>
          <w:rFonts w:eastAsia="Calibri"/>
          <w:sz w:val="24"/>
          <w:szCs w:val="24"/>
          <w:lang w:eastAsia="en-US"/>
        </w:rPr>
        <w:t>instrumentalizēšanu</w:t>
      </w:r>
      <w:proofErr w:type="spellEnd"/>
      <w:r w:rsidRPr="00327DAE">
        <w:rPr>
          <w:rFonts w:eastAsia="Calibri"/>
          <w:sz w:val="24"/>
          <w:szCs w:val="24"/>
          <w:lang w:eastAsia="en-US"/>
        </w:rPr>
        <w:t>, tomēr šāda pieeja ne vienmēr ir vērojama rajona tiesās. Šķiet, būtu vērtīgi šīs jomas pieredzi izmantot, lai rajona tiesu tiesnešiem atgādinātu par likuma jēgas un mērķa prevalēšanu pār burtu, Civillikuma 1.</w:t>
      </w:r>
      <w:r w:rsidR="00A10611" w:rsidRPr="00327DAE">
        <w:rPr>
          <w:rFonts w:eastAsia="Calibri"/>
          <w:sz w:val="24"/>
          <w:szCs w:val="24"/>
          <w:lang w:eastAsia="en-US"/>
        </w:rPr>
        <w:t> </w:t>
      </w:r>
      <w:r w:rsidRPr="00327DAE">
        <w:rPr>
          <w:rFonts w:eastAsia="Calibri"/>
          <w:sz w:val="24"/>
          <w:szCs w:val="24"/>
          <w:lang w:eastAsia="en-US"/>
        </w:rPr>
        <w:t>pantā ietverto labās ticības principu un tiesību normu pienācīgu interpretāciju.</w:t>
      </w:r>
    </w:p>
    <w:p w14:paraId="4807C4F4" w14:textId="7E00ABDD"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Tomēr, iepazīstoties ar lietām, nācās konstatēt </w:t>
      </w:r>
      <w:r w:rsidRPr="00327DAE">
        <w:rPr>
          <w:rFonts w:eastAsia="Calibri"/>
          <w:i/>
          <w:sz w:val="24"/>
          <w:szCs w:val="24"/>
          <w:lang w:eastAsia="en-US"/>
        </w:rPr>
        <w:t>atsevišķus gadījumus</w:t>
      </w:r>
      <w:r w:rsidRPr="00327DAE">
        <w:rPr>
          <w:rFonts w:eastAsia="Calibri"/>
          <w:sz w:val="24"/>
          <w:szCs w:val="24"/>
          <w:lang w:eastAsia="en-US"/>
        </w:rPr>
        <w:t xml:space="preserve">, kuros pieņemtie tiesnešu nolēmumi ir </w:t>
      </w:r>
      <w:r w:rsidRPr="00327DAE">
        <w:rPr>
          <w:rFonts w:eastAsia="Calibri"/>
          <w:i/>
          <w:sz w:val="24"/>
          <w:szCs w:val="24"/>
          <w:lang w:eastAsia="en-US"/>
        </w:rPr>
        <w:t>tāda rakstura kļūdām, kuras nav izskaidrojamas ar iepriekš raksturotajām grūtībām vai vienkārši kļūdīšanos faktu noskaidrošanas vai tiesību normu interpretācijas jautājumā</w:t>
      </w:r>
      <w:r w:rsidRPr="00327DAE">
        <w:rPr>
          <w:rFonts w:eastAsia="Calibri"/>
          <w:sz w:val="24"/>
          <w:szCs w:val="24"/>
          <w:lang w:eastAsia="en-US"/>
        </w:rPr>
        <w:t xml:space="preserve">. Tas jo īpaši rada bažas, ja tiesnesis ir ar pietiekamu darba pieredzi un pozitīvi novērtēts Tiesnešu kvalifikācijas kolēģijā. Konkrētās problēmas un konkrētie tiesneši </w:t>
      </w:r>
      <w:r w:rsidR="00F0159A">
        <w:rPr>
          <w:rFonts w:eastAsia="Calibri"/>
          <w:sz w:val="24"/>
          <w:szCs w:val="24"/>
          <w:lang w:eastAsia="en-US"/>
        </w:rPr>
        <w:t>minēti</w:t>
      </w:r>
      <w:r w:rsidR="00F0159A" w:rsidRPr="00327DAE">
        <w:rPr>
          <w:rFonts w:eastAsia="Calibri"/>
          <w:sz w:val="24"/>
          <w:szCs w:val="24"/>
          <w:lang w:eastAsia="en-US"/>
        </w:rPr>
        <w:t xml:space="preserve"> </w:t>
      </w:r>
      <w:r w:rsidRPr="00327DAE">
        <w:rPr>
          <w:rFonts w:eastAsia="Calibri"/>
          <w:sz w:val="24"/>
          <w:szCs w:val="24"/>
          <w:lang w:eastAsia="en-US"/>
        </w:rPr>
        <w:t>atsevišķās turpmākajās sadaļās.</w:t>
      </w:r>
    </w:p>
    <w:p w14:paraId="6D1BAAB1" w14:textId="07B6398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lastRenderedPageBreak/>
        <w:t xml:space="preserve">Lietu analīzes gaitā izkristalizējās vairāki problēmjautājumi, kuri norāda uz </w:t>
      </w:r>
      <w:r w:rsidR="00BD15C6">
        <w:rPr>
          <w:rFonts w:eastAsia="Calibri"/>
          <w:sz w:val="24"/>
          <w:szCs w:val="24"/>
          <w:lang w:eastAsia="en-US"/>
        </w:rPr>
        <w:t xml:space="preserve">būtiskiem </w:t>
      </w:r>
      <w:r w:rsidRPr="00327DAE">
        <w:rPr>
          <w:rFonts w:eastAsia="Calibri"/>
          <w:sz w:val="24"/>
          <w:szCs w:val="24"/>
          <w:lang w:eastAsia="en-US"/>
        </w:rPr>
        <w:t>trūkumiem maksātnespējas lietu izskatīšan</w:t>
      </w:r>
      <w:r w:rsidR="00F0159A">
        <w:rPr>
          <w:rFonts w:eastAsia="Calibri"/>
          <w:sz w:val="24"/>
          <w:szCs w:val="24"/>
          <w:lang w:eastAsia="en-US"/>
        </w:rPr>
        <w:t>ā</w:t>
      </w:r>
      <w:r w:rsidRPr="00327DAE">
        <w:rPr>
          <w:rFonts w:eastAsia="Calibri"/>
          <w:sz w:val="24"/>
          <w:szCs w:val="24"/>
          <w:lang w:eastAsia="en-US"/>
        </w:rPr>
        <w:t xml:space="preserve"> aplūkojamā periodā un uz kuriem būtu vēršama Tieslietu padomes uzmanība: </w:t>
      </w:r>
    </w:p>
    <w:p w14:paraId="215465C7" w14:textId="53A12706" w:rsidR="00A10611" w:rsidRPr="00327DAE" w:rsidRDefault="004546C7" w:rsidP="0025317F">
      <w:pPr>
        <w:widowControl/>
        <w:numPr>
          <w:ilvl w:val="0"/>
          <w:numId w:val="7"/>
        </w:numPr>
        <w:adjustRightInd/>
        <w:spacing w:after="120"/>
        <w:textAlignment w:val="auto"/>
        <w:rPr>
          <w:rFonts w:eastAsia="Calibri"/>
          <w:sz w:val="24"/>
          <w:szCs w:val="24"/>
          <w:lang w:eastAsia="en-US"/>
        </w:rPr>
      </w:pPr>
      <w:r w:rsidRPr="00327DAE">
        <w:rPr>
          <w:rFonts w:eastAsia="Calibri"/>
          <w:sz w:val="24"/>
          <w:szCs w:val="24"/>
          <w:lang w:eastAsia="en-US"/>
        </w:rPr>
        <w:t>Uz izskatīšanas brīdi lietā atspoguļoto faktu ignorēšana par fiktīvajiem kreditoriem, lai gan bija iespēja tos ņemt vērā un attiecīgi novērtēt, tostarp ievērojot Maksātnespējas likumā tiešā tekstā norādīto labticības principu (tiesneses lēmums, noraidot sūdzību par maksātnespējas administratoru saistībā ar „</w:t>
      </w:r>
      <w:proofErr w:type="spellStart"/>
      <w:r w:rsidRPr="00327DAE">
        <w:rPr>
          <w:rFonts w:eastAsia="Calibri"/>
          <w:sz w:val="24"/>
          <w:szCs w:val="24"/>
          <w:lang w:eastAsia="en-US"/>
        </w:rPr>
        <w:t>Winergy</w:t>
      </w:r>
      <w:proofErr w:type="spellEnd"/>
      <w:r w:rsidRPr="00327DAE">
        <w:rPr>
          <w:rFonts w:eastAsia="Calibri"/>
          <w:sz w:val="24"/>
          <w:szCs w:val="24"/>
          <w:lang w:eastAsia="en-US"/>
        </w:rPr>
        <w:t>” maksātnespējas lietu Nr. C29769013, tiesneša Dzeņa spriedums par tiesiskās aizsardzības procesa īstenošanu lietā „</w:t>
      </w:r>
      <w:proofErr w:type="spellStart"/>
      <w:r w:rsidRPr="00327DAE">
        <w:rPr>
          <w:rFonts w:eastAsia="Calibri"/>
          <w:sz w:val="24"/>
          <w:szCs w:val="24"/>
          <w:lang w:eastAsia="en-US"/>
        </w:rPr>
        <w:t>Winergy</w:t>
      </w:r>
      <w:proofErr w:type="spellEnd"/>
      <w:r w:rsidRPr="00327DAE">
        <w:rPr>
          <w:rFonts w:eastAsia="Calibri"/>
          <w:sz w:val="24"/>
          <w:szCs w:val="24"/>
          <w:lang w:eastAsia="en-US"/>
        </w:rPr>
        <w:t>” Nr. C27144014);</w:t>
      </w:r>
    </w:p>
    <w:p w14:paraId="401F36B4" w14:textId="65C2ED37" w:rsidR="004546C7" w:rsidRPr="00327DAE" w:rsidRDefault="004546C7" w:rsidP="0025317F">
      <w:pPr>
        <w:widowControl/>
        <w:numPr>
          <w:ilvl w:val="0"/>
          <w:numId w:val="7"/>
        </w:numPr>
        <w:adjustRightInd/>
        <w:spacing w:after="120"/>
        <w:textAlignment w:val="auto"/>
        <w:rPr>
          <w:rFonts w:eastAsia="Calibri"/>
          <w:sz w:val="24"/>
          <w:szCs w:val="24"/>
          <w:lang w:eastAsia="en-US"/>
        </w:rPr>
      </w:pPr>
      <w:r w:rsidRPr="00327DAE">
        <w:rPr>
          <w:rFonts w:eastAsia="Calibri"/>
          <w:sz w:val="24"/>
          <w:szCs w:val="24"/>
          <w:lang w:eastAsia="en-US"/>
        </w:rPr>
        <w:t>Uz izskatīšanas brīdi lietā atspoguļoto faktu ignorēšana par kreditora saistību (atrašanos koncernā) parādnieku (tiesneses vēstule SIA „Gvano” lietā Nr. C27210414, būtībā bez argumentiem un pretēji lietas materiāliem ar vēstuli noraidot iesniegumu par kreditora atrašanos koncernā ar parādnieku);</w:t>
      </w:r>
    </w:p>
    <w:p w14:paraId="08825CEE" w14:textId="073E99D0"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K</w:t>
      </w:r>
      <w:r w:rsidR="004546C7" w:rsidRPr="00327DAE">
        <w:rPr>
          <w:rFonts w:eastAsia="Calibri"/>
          <w:sz w:val="24"/>
          <w:szCs w:val="24"/>
          <w:lang w:eastAsia="en-US"/>
        </w:rPr>
        <w:t xml:space="preserve">reditora, pat nodrošinātā kreditora, izstumšana </w:t>
      </w:r>
      <w:r>
        <w:rPr>
          <w:rFonts w:eastAsia="Calibri"/>
          <w:sz w:val="24"/>
          <w:szCs w:val="24"/>
          <w:lang w:eastAsia="en-US"/>
        </w:rPr>
        <w:t>ar</w:t>
      </w:r>
      <w:r w:rsidRPr="00327DAE">
        <w:rPr>
          <w:rFonts w:eastAsia="Calibri"/>
          <w:sz w:val="24"/>
          <w:szCs w:val="24"/>
          <w:lang w:eastAsia="en-US"/>
        </w:rPr>
        <w:t xml:space="preserve"> </w:t>
      </w:r>
      <w:r w:rsidR="004546C7" w:rsidRPr="00327DAE">
        <w:rPr>
          <w:rFonts w:eastAsia="Calibri"/>
          <w:sz w:val="24"/>
          <w:szCs w:val="24"/>
          <w:lang w:eastAsia="en-US"/>
        </w:rPr>
        <w:t xml:space="preserve">formāliem iemesliem (tiesneša lēmums, noraidot sūdzību par administratoru saistībā ar lietām </w:t>
      </w:r>
      <w:r w:rsidR="00902141">
        <w:rPr>
          <w:rFonts w:eastAsia="Calibri"/>
          <w:sz w:val="24"/>
          <w:szCs w:val="24"/>
          <w:lang w:eastAsia="en-US"/>
        </w:rPr>
        <w:t xml:space="preserve">Nr. C27242009, C27125610 – SIA „Troja </w:t>
      </w:r>
      <w:proofErr w:type="spellStart"/>
      <w:r w:rsidR="00902141">
        <w:rPr>
          <w:rFonts w:eastAsia="Calibri"/>
          <w:sz w:val="24"/>
          <w:szCs w:val="24"/>
          <w:lang w:eastAsia="en-US"/>
        </w:rPr>
        <w:t>Immobilien</w:t>
      </w:r>
      <w:proofErr w:type="spellEnd"/>
      <w:r w:rsidR="00902141">
        <w:rPr>
          <w:rFonts w:eastAsia="Calibri"/>
          <w:sz w:val="24"/>
          <w:szCs w:val="24"/>
          <w:lang w:eastAsia="en-US"/>
        </w:rPr>
        <w:t>” un SIA „Ceturtā planēta” ar kreditoru „</w:t>
      </w:r>
      <w:proofErr w:type="spellStart"/>
      <w:r w:rsidR="004546C7" w:rsidRPr="00327DAE">
        <w:rPr>
          <w:rFonts w:eastAsia="Calibri"/>
          <w:sz w:val="24"/>
          <w:szCs w:val="24"/>
          <w:lang w:eastAsia="en-US"/>
        </w:rPr>
        <w:t>Danske</w:t>
      </w:r>
      <w:proofErr w:type="spellEnd"/>
      <w:r w:rsidR="004546C7" w:rsidRPr="00327DAE">
        <w:rPr>
          <w:rFonts w:eastAsia="Calibri"/>
          <w:sz w:val="24"/>
          <w:szCs w:val="24"/>
          <w:lang w:eastAsia="en-US"/>
        </w:rPr>
        <w:t xml:space="preserve"> </w:t>
      </w:r>
      <w:proofErr w:type="spellStart"/>
      <w:r w:rsidR="004546C7" w:rsidRPr="00327DAE">
        <w:rPr>
          <w:rFonts w:eastAsia="Calibri"/>
          <w:sz w:val="24"/>
          <w:szCs w:val="24"/>
          <w:lang w:eastAsia="en-US"/>
        </w:rPr>
        <w:t>Bank</w:t>
      </w:r>
      <w:proofErr w:type="spellEnd"/>
      <w:r w:rsidR="004546C7" w:rsidRPr="00327DAE">
        <w:rPr>
          <w:rFonts w:eastAsia="Calibri"/>
          <w:sz w:val="24"/>
          <w:szCs w:val="24"/>
          <w:lang w:eastAsia="en-US"/>
        </w:rPr>
        <w:t>”, tiesneses 2014</w:t>
      </w:r>
      <w:proofErr w:type="gramStart"/>
      <w:r>
        <w:rPr>
          <w:rFonts w:eastAsia="Calibri"/>
          <w:sz w:val="24"/>
          <w:szCs w:val="24"/>
          <w:lang w:eastAsia="en-US"/>
        </w:rPr>
        <w:t> </w:t>
      </w:r>
      <w:r w:rsidR="004546C7" w:rsidRPr="00327DAE">
        <w:rPr>
          <w:rFonts w:eastAsia="Calibri"/>
          <w:sz w:val="24"/>
          <w:szCs w:val="24"/>
          <w:lang w:eastAsia="en-US"/>
        </w:rPr>
        <w:t>.</w:t>
      </w:r>
      <w:proofErr w:type="gramEnd"/>
      <w:r w:rsidR="004546C7" w:rsidRPr="00327DAE">
        <w:rPr>
          <w:rFonts w:eastAsia="Calibri"/>
          <w:sz w:val="24"/>
          <w:szCs w:val="24"/>
          <w:lang w:eastAsia="en-US"/>
        </w:rPr>
        <w:t>gada 28.</w:t>
      </w:r>
      <w:r>
        <w:rPr>
          <w:rFonts w:eastAsia="Calibri"/>
          <w:sz w:val="24"/>
          <w:szCs w:val="24"/>
          <w:lang w:eastAsia="en-US"/>
        </w:rPr>
        <w:t> </w:t>
      </w:r>
      <w:r w:rsidR="004546C7" w:rsidRPr="00327DAE">
        <w:rPr>
          <w:rFonts w:eastAsia="Calibri"/>
          <w:sz w:val="24"/>
          <w:szCs w:val="24"/>
          <w:lang w:eastAsia="en-US"/>
        </w:rPr>
        <w:t xml:space="preserve">janvāra lēmums, noraidot sūdzību </w:t>
      </w:r>
      <w:r w:rsidR="00902141">
        <w:rPr>
          <w:rFonts w:eastAsia="Calibri"/>
          <w:sz w:val="24"/>
          <w:szCs w:val="24"/>
          <w:lang w:eastAsia="en-US"/>
        </w:rPr>
        <w:t>par administratoru saistībā ar „</w:t>
      </w:r>
      <w:proofErr w:type="spellStart"/>
      <w:r w:rsidR="004546C7" w:rsidRPr="00327DAE">
        <w:rPr>
          <w:rFonts w:eastAsia="Calibri"/>
          <w:sz w:val="24"/>
          <w:szCs w:val="24"/>
          <w:lang w:eastAsia="en-US"/>
        </w:rPr>
        <w:t>Winergy</w:t>
      </w:r>
      <w:proofErr w:type="spellEnd"/>
      <w:r w:rsidR="004546C7" w:rsidRPr="00327DAE">
        <w:rPr>
          <w:rFonts w:eastAsia="Calibri"/>
          <w:sz w:val="24"/>
          <w:szCs w:val="24"/>
          <w:lang w:eastAsia="en-US"/>
        </w:rPr>
        <w:t>” maksātnespējas lietu Nr. C29769013)</w:t>
      </w:r>
      <w:r>
        <w:rPr>
          <w:rFonts w:eastAsia="Calibri"/>
          <w:sz w:val="24"/>
          <w:szCs w:val="24"/>
          <w:lang w:eastAsia="en-US"/>
        </w:rPr>
        <w:t>;</w:t>
      </w:r>
    </w:p>
    <w:p w14:paraId="0C33B928" w14:textId="7E6F8535"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S</w:t>
      </w:r>
      <w:r w:rsidR="004546C7" w:rsidRPr="00327DAE">
        <w:rPr>
          <w:rFonts w:eastAsia="Calibri"/>
          <w:sz w:val="24"/>
          <w:szCs w:val="24"/>
          <w:lang w:eastAsia="en-US"/>
        </w:rPr>
        <w:t>ūdzību noraidīšana par maksātnespējas administratora atrašanos interešu konfliktā vai par administratora rīcību vai lēmumu, tiesai nepieļaujami formāli vai nepareizi novērtējot sūdzības argumentus, kas noved pie tā, ka tiek ierobežotas kreditoru tiesības (saistītās lieta</w:t>
      </w:r>
      <w:r w:rsidR="00902141">
        <w:rPr>
          <w:rFonts w:eastAsia="Calibri"/>
          <w:sz w:val="24"/>
          <w:szCs w:val="24"/>
          <w:lang w:eastAsia="en-US"/>
        </w:rPr>
        <w:t>s Nr. C27242009, C27125610 SIA „</w:t>
      </w:r>
      <w:r w:rsidR="004546C7" w:rsidRPr="00327DAE">
        <w:rPr>
          <w:rFonts w:eastAsia="Calibri"/>
          <w:sz w:val="24"/>
          <w:szCs w:val="24"/>
          <w:lang w:eastAsia="en-US"/>
        </w:rPr>
        <w:t xml:space="preserve">Troja </w:t>
      </w:r>
      <w:proofErr w:type="spellStart"/>
      <w:r w:rsidR="004546C7" w:rsidRPr="00327DAE">
        <w:rPr>
          <w:rFonts w:eastAsia="Calibri"/>
          <w:sz w:val="24"/>
          <w:szCs w:val="24"/>
          <w:lang w:eastAsia="en-US"/>
        </w:rPr>
        <w:t>Immobilien</w:t>
      </w:r>
      <w:proofErr w:type="spellEnd"/>
      <w:r w:rsidR="004546C7" w:rsidRPr="00327DAE">
        <w:rPr>
          <w:rFonts w:eastAsia="Calibri"/>
          <w:sz w:val="24"/>
          <w:szCs w:val="24"/>
          <w:lang w:eastAsia="en-US"/>
        </w:rPr>
        <w:t xml:space="preserve">” un SIA </w:t>
      </w:r>
      <w:r w:rsidR="00902141">
        <w:rPr>
          <w:rFonts w:eastAsia="Calibri"/>
          <w:sz w:val="24"/>
          <w:szCs w:val="24"/>
          <w:lang w:eastAsia="en-US"/>
        </w:rPr>
        <w:t>“Ceturtā planēta” ar kreditoru „</w:t>
      </w:r>
      <w:proofErr w:type="spellStart"/>
      <w:r w:rsidR="004546C7" w:rsidRPr="00327DAE">
        <w:rPr>
          <w:rFonts w:eastAsia="Calibri"/>
          <w:sz w:val="24"/>
          <w:szCs w:val="24"/>
          <w:lang w:eastAsia="en-US"/>
        </w:rPr>
        <w:t>Danske</w:t>
      </w:r>
      <w:proofErr w:type="spellEnd"/>
      <w:r w:rsidR="004546C7" w:rsidRPr="00327DAE">
        <w:rPr>
          <w:rFonts w:eastAsia="Calibri"/>
          <w:sz w:val="24"/>
          <w:szCs w:val="24"/>
          <w:lang w:eastAsia="en-US"/>
        </w:rPr>
        <w:t xml:space="preserve"> </w:t>
      </w:r>
      <w:proofErr w:type="spellStart"/>
      <w:r w:rsidR="004546C7" w:rsidRPr="00327DAE">
        <w:rPr>
          <w:rFonts w:eastAsia="Calibri"/>
          <w:sz w:val="24"/>
          <w:szCs w:val="24"/>
          <w:lang w:eastAsia="en-US"/>
        </w:rPr>
        <w:t>Bank</w:t>
      </w:r>
      <w:proofErr w:type="spellEnd"/>
      <w:r w:rsidR="004546C7" w:rsidRPr="00327DAE">
        <w:rPr>
          <w:rFonts w:eastAsia="Calibri"/>
          <w:sz w:val="24"/>
          <w:szCs w:val="24"/>
          <w:lang w:eastAsia="en-US"/>
        </w:rPr>
        <w:t>”, divi tiesneses lēmumi s</w:t>
      </w:r>
      <w:r w:rsidR="00902141">
        <w:rPr>
          <w:rFonts w:eastAsia="Calibri"/>
          <w:sz w:val="24"/>
          <w:szCs w:val="24"/>
          <w:lang w:eastAsia="en-US"/>
        </w:rPr>
        <w:t>aistībā ar lietu Nr. C29769013 „</w:t>
      </w:r>
      <w:proofErr w:type="spellStart"/>
      <w:r w:rsidR="004546C7" w:rsidRPr="00327DAE">
        <w:rPr>
          <w:rFonts w:eastAsia="Calibri"/>
          <w:sz w:val="24"/>
          <w:szCs w:val="24"/>
          <w:lang w:eastAsia="en-US"/>
        </w:rPr>
        <w:t>Winergy</w:t>
      </w:r>
      <w:proofErr w:type="spellEnd"/>
      <w:r w:rsidR="004546C7" w:rsidRPr="00327DAE">
        <w:rPr>
          <w:rFonts w:eastAsia="Calibri"/>
          <w:sz w:val="24"/>
          <w:szCs w:val="24"/>
          <w:lang w:eastAsia="en-US"/>
        </w:rPr>
        <w:t>”, tiesneses lēmums saistībā ar lietu Nr. C29547016 „Peltes īpašumi”, tiesneses lēmums s</w:t>
      </w:r>
      <w:r w:rsidR="00902141">
        <w:rPr>
          <w:rFonts w:eastAsia="Calibri"/>
          <w:sz w:val="24"/>
          <w:szCs w:val="24"/>
          <w:lang w:eastAsia="en-US"/>
        </w:rPr>
        <w:t>aistībā ar „</w:t>
      </w:r>
      <w:proofErr w:type="spellStart"/>
      <w:r w:rsidR="004546C7" w:rsidRPr="00327DAE">
        <w:rPr>
          <w:rFonts w:eastAsia="Calibri"/>
          <w:sz w:val="24"/>
          <w:szCs w:val="24"/>
          <w:lang w:eastAsia="en-US"/>
        </w:rPr>
        <w:t>Mežlejas</w:t>
      </w:r>
      <w:proofErr w:type="spellEnd"/>
      <w:r w:rsidR="004546C7" w:rsidRPr="00327DAE">
        <w:rPr>
          <w:rFonts w:eastAsia="Calibri"/>
          <w:sz w:val="24"/>
          <w:szCs w:val="24"/>
          <w:lang w:eastAsia="en-US"/>
        </w:rPr>
        <w:t>” ĀTAP lietu Nr. C35142311); ja pieņem darba grupā apskatītos apsvērumus, ka ir pamatoti nevērtēt tiesas procesā neiesaistītā (neatzītā) kreditora iebildumus maksātnespējas pasludināšanas procesā un ka civiltiesiskās apgrozības labad ir pamatoti drīzāk pasludināt nekā nepasludināt maksātnespēju (respektīvi, iebildumi par fiktīvu kreditoru vai citādu patiesā kreditora izstumšanu var netikt pienācīgi izvērtēti pašā maksātnespējas procesā), tad tomēr administratora darbības pienācīga uzraudzība bija instruments, lai nepieļautu prettiesisku maksātnespējas procesa izmantošanu;</w:t>
      </w:r>
    </w:p>
    <w:p w14:paraId="3752EAD4" w14:textId="4FDA118D"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L</w:t>
      </w:r>
      <w:r w:rsidR="004546C7" w:rsidRPr="00327DAE">
        <w:rPr>
          <w:rFonts w:eastAsia="Calibri"/>
          <w:sz w:val="24"/>
          <w:szCs w:val="24"/>
          <w:lang w:eastAsia="en-US"/>
        </w:rPr>
        <w:t xml:space="preserve">ēmuma pieņemšana par pāreju no TAP/ĀTAP uz maksātnespējas procesu tūlīt pēc tam, </w:t>
      </w:r>
      <w:proofErr w:type="gramStart"/>
      <w:r w:rsidR="004546C7" w:rsidRPr="00327DAE">
        <w:rPr>
          <w:rFonts w:eastAsia="Calibri"/>
          <w:sz w:val="24"/>
          <w:szCs w:val="24"/>
          <w:lang w:eastAsia="en-US"/>
        </w:rPr>
        <w:t>kad iesniegts protests un ierosināta tiesvedība Augstākajā tiesā par TAP/ĀTAP procesā pieņemto lēmumu, tādējādi saglabājot kā maksātnespējas administratoru iepriekš paša uzņēmuma izvēlēto</w:t>
      </w:r>
      <w:r w:rsidR="00902141">
        <w:rPr>
          <w:rFonts w:eastAsia="Calibri"/>
          <w:sz w:val="24"/>
          <w:szCs w:val="24"/>
          <w:lang w:eastAsia="en-US"/>
        </w:rPr>
        <w:t xml:space="preserve"> personu</w:t>
      </w:r>
      <w:proofErr w:type="gramEnd"/>
      <w:r w:rsidR="00902141">
        <w:rPr>
          <w:rFonts w:eastAsia="Calibri"/>
          <w:sz w:val="24"/>
          <w:szCs w:val="24"/>
          <w:lang w:eastAsia="en-US"/>
        </w:rPr>
        <w:t xml:space="preserve"> </w:t>
      </w:r>
      <w:r w:rsidR="00734CC0">
        <w:rPr>
          <w:rFonts w:eastAsia="Calibri"/>
          <w:sz w:val="24"/>
          <w:szCs w:val="24"/>
          <w:lang w:eastAsia="en-US"/>
        </w:rPr>
        <w:t xml:space="preserve">un cenšoties izvairīties no protesta izskatīšanas </w:t>
      </w:r>
      <w:r w:rsidR="00902141">
        <w:rPr>
          <w:rFonts w:eastAsia="Calibri"/>
          <w:sz w:val="24"/>
          <w:szCs w:val="24"/>
          <w:lang w:eastAsia="en-US"/>
        </w:rPr>
        <w:t>(lietas Nr. C35058010 „CCP finanses”, Nr. C35072510 „Jurta”, Nr. C35076014 „</w:t>
      </w:r>
      <w:r w:rsidR="004546C7" w:rsidRPr="00327DAE">
        <w:rPr>
          <w:rFonts w:eastAsia="Calibri"/>
          <w:sz w:val="24"/>
          <w:szCs w:val="24"/>
          <w:lang w:eastAsia="en-US"/>
        </w:rPr>
        <w:t>Zemzari”, turklāt trešajā lietā atkārtoti pieļauts tāds pats pārkāpums pēc tam, kad Augstākā tiesa otrajā lietā bija norādījusi, ka tas nav pieļaujams)</w:t>
      </w:r>
      <w:r>
        <w:rPr>
          <w:rFonts w:eastAsia="Calibri"/>
          <w:sz w:val="24"/>
          <w:szCs w:val="24"/>
          <w:lang w:eastAsia="en-US"/>
        </w:rPr>
        <w:t>;</w:t>
      </w:r>
    </w:p>
    <w:p w14:paraId="0307A2CF" w14:textId="257C15A7"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F</w:t>
      </w:r>
      <w:r w:rsidR="004546C7" w:rsidRPr="00327DAE">
        <w:rPr>
          <w:rFonts w:eastAsia="Calibri"/>
          <w:sz w:val="24"/>
          <w:szCs w:val="24"/>
          <w:lang w:eastAsia="en-US"/>
        </w:rPr>
        <w:t xml:space="preserve">ormāla fiziskās personas maksātnespējas procesa pasludināšana, nepārbaudot, vai nepastāv maksātnespējas procesa pasludināšanas ierobežojumi – arī tajā apjomā, kas izrietēja no lietas materiāliem (īpaši apstāklis, ka maksātnespējas cēlonis </w:t>
      </w:r>
      <w:r w:rsidR="00BE50D2" w:rsidRPr="00327DAE">
        <w:rPr>
          <w:rFonts w:eastAsia="Calibri"/>
          <w:sz w:val="24"/>
          <w:szCs w:val="24"/>
          <w:lang w:eastAsia="en-US"/>
        </w:rPr>
        <w:t xml:space="preserve">varētu būt </w:t>
      </w:r>
      <w:r w:rsidR="004546C7" w:rsidRPr="00327DAE">
        <w:rPr>
          <w:rFonts w:eastAsia="Calibri"/>
          <w:sz w:val="24"/>
          <w:szCs w:val="24"/>
          <w:lang w:eastAsia="en-US"/>
        </w:rPr>
        <w:t xml:space="preserve">šīs personas nodoms vai rupja neuzmanība pēdējo triju gadu laikā pirms maksātnespējas procesa lietas ierosināšanas dienas) (šāda veida </w:t>
      </w:r>
      <w:r w:rsidR="004546C7" w:rsidRPr="00327DAE">
        <w:rPr>
          <w:rFonts w:eastAsia="Calibri"/>
          <w:sz w:val="24"/>
          <w:szCs w:val="24"/>
          <w:lang w:eastAsia="en-US"/>
        </w:rPr>
        <w:lastRenderedPageBreak/>
        <w:t>kļūdas –</w:t>
      </w:r>
      <w:r>
        <w:rPr>
          <w:rFonts w:eastAsia="Calibri"/>
          <w:sz w:val="24"/>
          <w:szCs w:val="24"/>
          <w:lang w:eastAsia="en-US"/>
        </w:rPr>
        <w:t xml:space="preserve"> </w:t>
      </w:r>
      <w:r w:rsidR="004546C7" w:rsidRPr="00327DAE">
        <w:rPr>
          <w:rFonts w:eastAsia="Calibri"/>
          <w:sz w:val="24"/>
          <w:szCs w:val="24"/>
          <w:lang w:eastAsia="en-US"/>
        </w:rPr>
        <w:t>lieta Nr.</w:t>
      </w:r>
      <w:r>
        <w:rPr>
          <w:rFonts w:eastAsia="Calibri"/>
          <w:sz w:val="24"/>
          <w:szCs w:val="24"/>
          <w:lang w:eastAsia="en-US"/>
        </w:rPr>
        <w:t> </w:t>
      </w:r>
      <w:r w:rsidR="004546C7" w:rsidRPr="00327DAE">
        <w:rPr>
          <w:rFonts w:eastAsia="Calibri"/>
          <w:sz w:val="24"/>
          <w:szCs w:val="24"/>
          <w:lang w:eastAsia="en-US"/>
        </w:rPr>
        <w:t>C24064010, lieta Nr. C26143710, kurā netika pēc būtības pārbaudīti arī kreditora attiecīgie iebildumi, tāpat lieta Nr. C30664610)</w:t>
      </w:r>
      <w:r w:rsidR="00BE50D2" w:rsidRPr="00327DAE">
        <w:rPr>
          <w:rFonts w:eastAsia="Calibri"/>
          <w:sz w:val="24"/>
          <w:szCs w:val="24"/>
          <w:lang w:eastAsia="en-US"/>
        </w:rPr>
        <w:t>, vai ir redzams mēģinājums izvairīties no kreditoriem, atsavinot īpašumu bez atlīdzības</w:t>
      </w:r>
      <w:r>
        <w:rPr>
          <w:rFonts w:eastAsia="Calibri"/>
          <w:sz w:val="24"/>
          <w:szCs w:val="24"/>
          <w:lang w:eastAsia="en-US"/>
        </w:rPr>
        <w:t>.</w:t>
      </w:r>
    </w:p>
    <w:p w14:paraId="56FD7FDE" w14:textId="472251BB"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Jāuzsver, ka šādas lietas ar </w:t>
      </w:r>
      <w:r w:rsidR="00BE50D2" w:rsidRPr="00327DAE">
        <w:rPr>
          <w:rFonts w:eastAsia="Calibri"/>
          <w:sz w:val="24"/>
          <w:szCs w:val="24"/>
          <w:lang w:eastAsia="en-US"/>
        </w:rPr>
        <w:t xml:space="preserve">nopietnām </w:t>
      </w:r>
      <w:r w:rsidRPr="00327DAE">
        <w:rPr>
          <w:rFonts w:eastAsia="Calibri"/>
          <w:sz w:val="24"/>
          <w:szCs w:val="24"/>
          <w:lang w:eastAsia="en-US"/>
        </w:rPr>
        <w:t xml:space="preserve">un grūti izskaidrojamām kļūdām tomēr ir maz un pārkāpumi mēdz izrietēt viens no otra </w:t>
      </w:r>
      <w:proofErr w:type="gramStart"/>
      <w:r w:rsidRPr="00327DAE">
        <w:rPr>
          <w:rFonts w:eastAsia="Calibri"/>
          <w:sz w:val="24"/>
          <w:szCs w:val="24"/>
          <w:lang w:eastAsia="en-US"/>
        </w:rPr>
        <w:t>(</w:t>
      </w:r>
      <w:proofErr w:type="gramEnd"/>
      <w:r w:rsidRPr="00327DAE">
        <w:rPr>
          <w:rFonts w:eastAsia="Calibri"/>
          <w:sz w:val="24"/>
          <w:szCs w:val="24"/>
          <w:lang w:eastAsia="en-US"/>
        </w:rPr>
        <w:t>piemēram, faktu ignorēšana par fiktīvajiem kreditoriem ir pieļauta tajā pašā lietā, kurā – būtībā tā rezul</w:t>
      </w:r>
      <w:r w:rsidR="00734CC0">
        <w:rPr>
          <w:rFonts w:eastAsia="Calibri"/>
          <w:sz w:val="24"/>
          <w:szCs w:val="24"/>
          <w:lang w:eastAsia="en-US"/>
        </w:rPr>
        <w:t xml:space="preserve">tātā – notikusi lielāko </w:t>
      </w:r>
      <w:r w:rsidRPr="00327DAE">
        <w:rPr>
          <w:rFonts w:eastAsia="Calibri"/>
          <w:sz w:val="24"/>
          <w:szCs w:val="24"/>
          <w:lang w:eastAsia="en-US"/>
        </w:rPr>
        <w:t>kreditoru izstumšana (</w:t>
      </w:r>
      <w:r w:rsidR="00902141">
        <w:rPr>
          <w:rFonts w:eastAsia="Calibri"/>
          <w:i/>
          <w:sz w:val="24"/>
          <w:szCs w:val="24"/>
          <w:lang w:eastAsia="en-US"/>
        </w:rPr>
        <w:t>sk. lietu Nr. C29769013 „</w:t>
      </w:r>
      <w:proofErr w:type="spellStart"/>
      <w:r w:rsidRPr="00327DAE">
        <w:rPr>
          <w:rFonts w:eastAsia="Calibri"/>
          <w:i/>
          <w:sz w:val="24"/>
          <w:szCs w:val="24"/>
          <w:lang w:eastAsia="en-US"/>
        </w:rPr>
        <w:t>Winergy</w:t>
      </w:r>
      <w:proofErr w:type="spellEnd"/>
      <w:r w:rsidRPr="00327DAE">
        <w:rPr>
          <w:rFonts w:eastAsia="Calibri"/>
          <w:i/>
          <w:sz w:val="24"/>
          <w:szCs w:val="24"/>
          <w:lang w:eastAsia="en-US"/>
        </w:rPr>
        <w:t>”</w:t>
      </w:r>
      <w:r w:rsidRPr="00327DAE">
        <w:rPr>
          <w:rFonts w:eastAsia="Calibri"/>
          <w:sz w:val="24"/>
          <w:szCs w:val="24"/>
          <w:lang w:eastAsia="en-US"/>
        </w:rPr>
        <w:t xml:space="preserve">). Lietas ar būtiskākajiem pārkāpumiem ir ne tikai izsaukušas sabiedrības kritiku, bet arī agrāk vai vēlāk panākušas taisnīgu noregulējumu – ar Augstākās tiesas nolēmumiem, ar zaudējumu atlīdzību, arī kriminālprocesuālu izmeklēšanu, kurā pastāv izredzes noskaidrot noziedzīga nodarījuma esību, ja tāds pieļauts. Līdz ar to ir pamats runāt nevis par ļoti nekvalitatīvu vai negodprātīgu lēmumu pieņemšanas tendenci tiesās šajā lietu kategorijā, bet par </w:t>
      </w:r>
      <w:r w:rsidRPr="00327DAE">
        <w:rPr>
          <w:rFonts w:eastAsia="Calibri"/>
          <w:b/>
          <w:sz w:val="24"/>
          <w:szCs w:val="24"/>
          <w:lang w:eastAsia="en-US"/>
        </w:rPr>
        <w:t>konkrētām neliela skaita lietām, kurās parādās nopietni jautājumi par tiesneša profesionalitāti vai pat neitralitāti</w:t>
      </w:r>
      <w:r w:rsidR="00B462B1" w:rsidRPr="00327DAE">
        <w:rPr>
          <w:rFonts w:eastAsia="Calibri"/>
          <w:sz w:val="24"/>
          <w:szCs w:val="24"/>
          <w:lang w:eastAsia="en-US"/>
        </w:rPr>
        <w:t>,</w:t>
      </w:r>
      <w:r w:rsidR="00B462B1" w:rsidRPr="00327DAE">
        <w:rPr>
          <w:rFonts w:eastAsia="Calibri"/>
          <w:b/>
          <w:sz w:val="24"/>
          <w:szCs w:val="24"/>
          <w:lang w:eastAsia="en-US"/>
        </w:rPr>
        <w:t xml:space="preserve"> </w:t>
      </w:r>
      <w:r w:rsidRPr="00327DAE">
        <w:rPr>
          <w:rFonts w:eastAsia="Calibri"/>
          <w:sz w:val="24"/>
          <w:szCs w:val="24"/>
          <w:lang w:eastAsia="en-US"/>
        </w:rPr>
        <w:t xml:space="preserve">no kuram liela daļa, </w:t>
      </w:r>
      <w:r w:rsidR="00734CC0">
        <w:rPr>
          <w:rFonts w:eastAsia="Calibri"/>
          <w:sz w:val="24"/>
          <w:szCs w:val="24"/>
          <w:lang w:eastAsia="en-US"/>
        </w:rPr>
        <w:t xml:space="preserve">iesniedzot protestus un atceļot nolēmumus Augstākajā tiesā, </w:t>
      </w:r>
      <w:r w:rsidRPr="00327DAE">
        <w:rPr>
          <w:rFonts w:eastAsia="Calibri"/>
          <w:sz w:val="24"/>
          <w:szCs w:val="24"/>
          <w:lang w:eastAsia="en-US"/>
        </w:rPr>
        <w:t>visticamāk, tikušas līdz šim arī identificētas, kā arī nevar neņemt vērā, ka tiesu sistēmā pastāv tiesiskās aizsardzības līdzekļi, kas, lai arī ne vienmēr nekavējoši, tomēr panāk taisnīgu noregulējumu.</w:t>
      </w:r>
      <w:r w:rsidR="00734CC0">
        <w:rPr>
          <w:rFonts w:eastAsia="Calibri"/>
          <w:sz w:val="24"/>
          <w:szCs w:val="24"/>
          <w:lang w:eastAsia="en-US"/>
        </w:rPr>
        <w:t xml:space="preserve"> Secināms, ka izvirzītā hipotēze par krīzi – neapstiprinās.</w:t>
      </w:r>
    </w:p>
    <w:p w14:paraId="0606BA07" w14:textId="4B1B6533" w:rsidR="00734CC0" w:rsidRPr="00734CC0" w:rsidRDefault="00902141" w:rsidP="00734CC0">
      <w:pPr>
        <w:pStyle w:val="Heading2"/>
        <w:rPr>
          <w:rFonts w:cs="Times New Roman"/>
          <w:szCs w:val="24"/>
          <w:lang w:eastAsia="en-US"/>
        </w:rPr>
      </w:pPr>
      <w:bookmarkStart w:id="8" w:name="_Toc522527484"/>
      <w:r>
        <w:rPr>
          <w:rFonts w:cs="Times New Roman"/>
          <w:szCs w:val="24"/>
          <w:lang w:eastAsia="en-US"/>
        </w:rPr>
        <w:t>Par „</w:t>
      </w:r>
      <w:r w:rsidR="004546C7" w:rsidRPr="00327DAE">
        <w:rPr>
          <w:rFonts w:cs="Times New Roman"/>
          <w:szCs w:val="24"/>
          <w:lang w:eastAsia="en-US"/>
        </w:rPr>
        <w:t xml:space="preserve">ceļošanu” un </w:t>
      </w:r>
      <w:r>
        <w:rPr>
          <w:rFonts w:cs="Times New Roman"/>
          <w:szCs w:val="24"/>
          <w:lang w:eastAsia="en-US"/>
        </w:rPr>
        <w:t>„</w:t>
      </w:r>
      <w:r w:rsidR="004546C7" w:rsidRPr="00327DAE">
        <w:rPr>
          <w:rFonts w:cs="Times New Roman"/>
          <w:szCs w:val="24"/>
          <w:lang w:eastAsia="en-US"/>
        </w:rPr>
        <w:t>tiesnešu izvēli”</w:t>
      </w:r>
      <w:bookmarkEnd w:id="8"/>
    </w:p>
    <w:p w14:paraId="093FB428" w14:textId="2B8E9480"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Viens no publikācijās visbiežāk minētajiem apstākļiem, kurš</w:t>
      </w:r>
      <w:r w:rsidR="00F0159A">
        <w:rPr>
          <w:rFonts w:eastAsia="Calibri"/>
          <w:sz w:val="24"/>
          <w:szCs w:val="24"/>
          <w:lang w:eastAsia="en-US"/>
        </w:rPr>
        <w:t>,</w:t>
      </w:r>
      <w:r w:rsidRPr="00327DAE">
        <w:rPr>
          <w:rFonts w:eastAsia="Calibri"/>
          <w:sz w:val="24"/>
          <w:szCs w:val="24"/>
          <w:lang w:eastAsia="en-US"/>
        </w:rPr>
        <w:t xml:space="preserve"> publikāciju autoru ieskatā</w:t>
      </w:r>
      <w:r w:rsidR="00F0159A">
        <w:rPr>
          <w:rFonts w:eastAsia="Calibri"/>
          <w:sz w:val="24"/>
          <w:szCs w:val="24"/>
          <w:lang w:eastAsia="en-US"/>
        </w:rPr>
        <w:t>,</w:t>
      </w:r>
      <w:r w:rsidRPr="00327DAE">
        <w:rPr>
          <w:rFonts w:eastAsia="Calibri"/>
          <w:sz w:val="24"/>
          <w:szCs w:val="24"/>
          <w:lang w:eastAsia="en-US"/>
        </w:rPr>
        <w:t xml:space="preserve"> norāda uz koruptīvām saitēm starp pieteikuma iesniedzējiem un tiesnešiem, ir juridiskās adreses maiņa pirms pieteikuma iesniegšanas tiesā ar mērķi mainīt lietas piekritību, lai tā tiktu izskatīta konkrētā tiesā. Šis apstāklis tiek minēts kā publikāciju vispār </w:t>
      </w:r>
      <w:proofErr w:type="spellStart"/>
      <w:r w:rsidRPr="00327DAE">
        <w:rPr>
          <w:rFonts w:eastAsia="Calibri"/>
          <w:sz w:val="24"/>
          <w:szCs w:val="24"/>
          <w:lang w:eastAsia="en-US"/>
        </w:rPr>
        <w:t>pamatiemesls</w:t>
      </w:r>
      <w:proofErr w:type="spellEnd"/>
      <w:r w:rsidRPr="00327DAE">
        <w:rPr>
          <w:rFonts w:eastAsia="Calibri"/>
          <w:sz w:val="24"/>
          <w:szCs w:val="24"/>
          <w:lang w:eastAsia="en-US"/>
        </w:rPr>
        <w:t xml:space="preserve">. </w:t>
      </w:r>
    </w:p>
    <w:p w14:paraId="6BEF1661" w14:textId="1246A0FF"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Ekspertu grupa konstatē, ka juridiskās adreses maiņa pirms pieteikuma iesniegšanas ir notikusi daudzos gadījumos. Tas, lai gan liek uzdot jautājumus par šāda</w:t>
      </w:r>
      <w:r w:rsidR="001D6918" w:rsidRPr="00327DAE">
        <w:rPr>
          <w:rFonts w:eastAsia="Calibri"/>
          <w:sz w:val="24"/>
          <w:szCs w:val="24"/>
          <w:lang w:eastAsia="en-US"/>
        </w:rPr>
        <w:t>s parādības</w:t>
      </w:r>
      <w:r w:rsidRPr="00327DAE">
        <w:rPr>
          <w:rFonts w:eastAsia="Calibri"/>
          <w:sz w:val="24"/>
          <w:szCs w:val="24"/>
          <w:lang w:eastAsia="en-US"/>
        </w:rPr>
        <w:t xml:space="preserve"> iemesliem, tomēr automātiski neļauj uzskatīt, ka attiecīgās tiesas tiesneši </w:t>
      </w:r>
      <w:r w:rsidR="003A2386">
        <w:rPr>
          <w:rFonts w:eastAsia="Calibri"/>
          <w:sz w:val="24"/>
          <w:szCs w:val="24"/>
          <w:lang w:eastAsia="en-US"/>
        </w:rPr>
        <w:t xml:space="preserve">prettiesiski </w:t>
      </w:r>
      <w:r w:rsidRPr="00327DAE">
        <w:rPr>
          <w:rFonts w:eastAsia="Calibri"/>
          <w:sz w:val="24"/>
          <w:szCs w:val="24"/>
          <w:lang w:eastAsia="en-US"/>
        </w:rPr>
        <w:t xml:space="preserve">sadarbotos ar šādiem pieteikumu iesniedzējiem un administratoriem. </w:t>
      </w:r>
    </w:p>
    <w:p w14:paraId="4E3A7BC0" w14:textId="4ABD8E79"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Tiesneši nelemj par konkrētu lietu izskatīšanas piekritību, jo lietu sadale notiek centralizēti katrā tiesā. Par to, vai nevainojami darbojās nejaušības princips lietu sadalē, ir vairākas piezīmes. Taču, ekspertu vērtējumā, nebija pareizi žurnālā norādīt visus 19 tiesnešus, kuri skatījuši „ceļotāju” lietas, kā iespējamus</w:t>
      </w:r>
      <w:r w:rsidR="005D605D" w:rsidRPr="00327DAE">
        <w:rPr>
          <w:rFonts w:eastAsia="Calibri"/>
          <w:sz w:val="24"/>
          <w:szCs w:val="24"/>
          <w:lang w:eastAsia="en-US"/>
        </w:rPr>
        <w:t xml:space="preserve"> </w:t>
      </w:r>
      <w:r w:rsidRPr="00327DAE">
        <w:rPr>
          <w:rFonts w:eastAsia="Calibri"/>
          <w:sz w:val="24"/>
          <w:szCs w:val="24"/>
          <w:lang w:eastAsia="en-US"/>
        </w:rPr>
        <w:t>šaubīgu lēmumu pieņēmējus, tostarp arī tos, kuriem neviens nolēmums nav protestēts un atcelts. Ņemot vērā, ka lietas dalībnieku motivāciju adreses maiņai noskaidrot nav iespējams, ekspertu ieskatā</w:t>
      </w:r>
      <w:r w:rsidR="0015418F">
        <w:rPr>
          <w:rFonts w:eastAsia="Calibri"/>
          <w:sz w:val="24"/>
          <w:szCs w:val="24"/>
          <w:lang w:eastAsia="en-US"/>
        </w:rPr>
        <w:t>,</w:t>
      </w:r>
      <w:r w:rsidRPr="00327DAE">
        <w:rPr>
          <w:rFonts w:eastAsia="Calibri"/>
          <w:sz w:val="24"/>
          <w:szCs w:val="24"/>
          <w:lang w:eastAsia="en-US"/>
        </w:rPr>
        <w:t xml:space="preserve"> svarīgi atbildēt uz jautājumu, vai pastāv racionāli iemesli, kāpēc notikusi adreses maiņa tieši īpaši pieminētajos gadījumos, proti, vai adreses maiņas iemesls nebija noteikta administratora izvēle vai cits ar procesu tiesā nesaistīts iemesls.</w:t>
      </w:r>
    </w:p>
    <w:p w14:paraId="2E131FBB" w14:textId="77777777" w:rsidR="00734CC0"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Viens no izskaidrojumiem, ko norādīja arī AT CLD vēstulē Tieslietu padomei, ka tas varētu būt izskaidrojams ar dažādo tiesību piemērošanas praksi dažādās tiesās.</w:t>
      </w:r>
    </w:p>
    <w:p w14:paraId="34AA5FF9" w14:textId="2EB5021B" w:rsidR="004546C7" w:rsidRPr="00327DAE" w:rsidRDefault="00734CC0" w:rsidP="0025317F">
      <w:pPr>
        <w:widowControl/>
        <w:adjustRightInd/>
        <w:spacing w:after="120"/>
        <w:textAlignment w:val="auto"/>
        <w:rPr>
          <w:rFonts w:eastAsia="Calibri"/>
          <w:sz w:val="24"/>
          <w:szCs w:val="24"/>
          <w:lang w:eastAsia="en-US"/>
        </w:rPr>
      </w:pPr>
      <w:r>
        <w:rPr>
          <w:rFonts w:eastAsia="Calibri"/>
          <w:sz w:val="24"/>
          <w:szCs w:val="24"/>
          <w:lang w:eastAsia="en-US"/>
        </w:rPr>
        <w:t>Racionāls izskaidrojums varētu būt arī administratora vēlme taupīt savus resursus, koncentrējot visu lietu izskatīšanu vienā tiesā atbilstoši savai adresei.</w:t>
      </w:r>
    </w:p>
    <w:p w14:paraId="0730AA87"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Jāņem vērā arī, ka tiesnesis nevar kontrolēt juridiskās adreses maiņu un pēc likuma nedrīkst atteikties no lietas izskatīšanas, izņemot, ja to pieļauj likums. Adreses maiņa aplūkojamā periodā nebija pamats atteikumam pieņemt lietu. </w:t>
      </w:r>
    </w:p>
    <w:p w14:paraId="710AB310"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lastRenderedPageBreak/>
        <w:t>Tāpat nevar vispārināt no publikācijām secināmo pieņēmumu, ka tiesnesis, kas izskatījis atkārtoto pieteikumu (t.i., pēc atteikuma citā tiesā un adreses pārreģistrācijas) un</w:t>
      </w:r>
      <w:proofErr w:type="gramStart"/>
      <w:r w:rsidRPr="00327DAE">
        <w:rPr>
          <w:rFonts w:eastAsia="Calibri"/>
          <w:sz w:val="24"/>
          <w:szCs w:val="24"/>
          <w:lang w:eastAsia="en-US"/>
        </w:rPr>
        <w:t xml:space="preserve"> nonācis pie cita rezultāta</w:t>
      </w:r>
      <w:proofErr w:type="gramEnd"/>
      <w:r w:rsidRPr="00327DAE">
        <w:rPr>
          <w:rFonts w:eastAsia="Calibri"/>
          <w:sz w:val="24"/>
          <w:szCs w:val="24"/>
          <w:lang w:eastAsia="en-US"/>
        </w:rPr>
        <w:t>, pieļāvis kļūdu: darba grupa konstatēja, ka vairākās lietās atkārtotais pieteikums ir cita veida pieteikums vai ir pamatots ar citiem apstākļiem, vai tiesā iesniegts cits pierādījumu kopums, tātad cits rezultāts ir likumsakarīgs.</w:t>
      </w:r>
    </w:p>
    <w:p w14:paraId="42846B97" w14:textId="07F7AD01" w:rsidR="004546C7" w:rsidRPr="00327DAE" w:rsidRDefault="004546C7" w:rsidP="0025317F">
      <w:pPr>
        <w:widowControl/>
        <w:adjustRightInd/>
        <w:spacing w:after="120"/>
        <w:textAlignment w:val="auto"/>
        <w:rPr>
          <w:rFonts w:eastAsia="Calibri"/>
          <w:b/>
          <w:sz w:val="24"/>
          <w:szCs w:val="24"/>
          <w:lang w:eastAsia="en-US"/>
        </w:rPr>
      </w:pPr>
      <w:r w:rsidRPr="00327DAE">
        <w:rPr>
          <w:rFonts w:eastAsia="Calibri"/>
          <w:sz w:val="24"/>
          <w:szCs w:val="24"/>
          <w:lang w:eastAsia="en-US"/>
        </w:rPr>
        <w:t>Tas tomēr nedod atbildi uz jautājumu, vai un kādā veidā tiesu vara pati ir radījusi pamatu subjektīvai vēlmei mainīt tiesu piekritību, kas, kā redzams no publikācijām, ir saskatāma tendence virzienā uz atsevišķām tiesām</w:t>
      </w:r>
      <w:r w:rsidR="00B462B1" w:rsidRPr="00327DAE">
        <w:rPr>
          <w:rFonts w:eastAsia="Calibri"/>
          <w:sz w:val="24"/>
          <w:szCs w:val="24"/>
          <w:lang w:eastAsia="en-US"/>
        </w:rPr>
        <w:t>.</w:t>
      </w:r>
    </w:p>
    <w:p w14:paraId="6D206694" w14:textId="6C83001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Secinājumi šeit var būt tikai vispārīga rakstura pieņēmumi, jo darba grupai nav </w:t>
      </w:r>
      <w:r w:rsidR="003A2386">
        <w:rPr>
          <w:rFonts w:eastAsia="Calibri"/>
          <w:sz w:val="24"/>
          <w:szCs w:val="24"/>
          <w:lang w:eastAsia="en-US"/>
        </w:rPr>
        <w:t xml:space="preserve">nedz pilnvaru, nedz </w:t>
      </w:r>
      <w:r w:rsidRPr="00327DAE">
        <w:rPr>
          <w:rFonts w:eastAsia="Calibri"/>
          <w:sz w:val="24"/>
          <w:szCs w:val="24"/>
          <w:lang w:eastAsia="en-US"/>
        </w:rPr>
        <w:t>iespēju tieši noskaidrot adrešu maiņā iesaistīto personu viedokļus</w:t>
      </w:r>
      <w:r w:rsidR="003A2386">
        <w:rPr>
          <w:rFonts w:eastAsia="Calibri"/>
          <w:sz w:val="24"/>
          <w:szCs w:val="24"/>
          <w:lang w:eastAsia="en-US"/>
        </w:rPr>
        <w:t xml:space="preserve"> un motīvus adrešu maiņai</w:t>
      </w:r>
      <w:r w:rsidRPr="00327DAE">
        <w:rPr>
          <w:rFonts w:eastAsia="Calibri"/>
          <w:sz w:val="24"/>
          <w:szCs w:val="24"/>
          <w:lang w:eastAsia="en-US"/>
        </w:rPr>
        <w:t>.</w:t>
      </w:r>
    </w:p>
    <w:p w14:paraId="0F0C3D18"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Var izteikt hipotēzi, ka fizisko personu virzība uz </w:t>
      </w:r>
      <w:r w:rsidRPr="00902141">
        <w:rPr>
          <w:rFonts w:eastAsia="Calibri"/>
          <w:sz w:val="24"/>
          <w:szCs w:val="24"/>
          <w:lang w:eastAsia="en-US"/>
        </w:rPr>
        <w:t>Ogres rajona tiesu</w:t>
      </w:r>
      <w:r w:rsidRPr="00327DAE">
        <w:rPr>
          <w:rFonts w:eastAsia="Calibri"/>
          <w:b/>
          <w:sz w:val="24"/>
          <w:szCs w:val="24"/>
          <w:lang w:eastAsia="en-US"/>
        </w:rPr>
        <w:t xml:space="preserve"> </w:t>
      </w:r>
      <w:r w:rsidRPr="00327DAE">
        <w:rPr>
          <w:rFonts w:eastAsia="Calibri"/>
          <w:sz w:val="24"/>
          <w:szCs w:val="24"/>
          <w:lang w:eastAsia="en-US"/>
        </w:rPr>
        <w:t xml:space="preserve">varētu būt izskaidrojama ar tiesneša Plauža konsekventi uzturēto labvēlīgāku likuma interpretāciju fiziskajām personām, kuras, nebūdami komersanti, nodarbojas ar saimniecisko darbību, un tiesneša vispārīgu uzskatu par ekonomiskās krīzes seku ietekmi uz personu finansēm (kā to var redzēt lietā, kur bez konkrētu faktu pārbaudes vispārīgi tiek pieņemta iespēja, ka nekustamie īpašumi pirms maksātnespējas pieteikšanas tiek atsavināti, mēģinot izvairīties no tālākas cenu krišanās, nevis ļaunprātīgi). </w:t>
      </w:r>
    </w:p>
    <w:p w14:paraId="639088F9" w14:textId="048BA74F"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Par šo parādību, pirmkārt, ievērojot tiesības uz taisnīgu tiesu, kas ietver arī vienveidīgu likuma piemērošanu, no tiesu varas vajadzētu sagaidīt, ka katrs tiesnesis spēj juridiski pamatot savus atšķirīgos uzskatus, vai arī tiesu prakse ar laiku vienādojas, apzinot prakses atšķirības. Tādēļ vispārīgā gadījumā šāda „labvēlīgāka” tiesību normu interpretācija kādā tiesā drīkstētu būt vien īslaicīga parādība. </w:t>
      </w:r>
    </w:p>
    <w:p w14:paraId="3AE3AEB2" w14:textId="18C7AB0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Otrkārt, nevar tomēr nepamanīt, ka Augstākās tiesas atceltie nolēmumi uzrāda, ka Ogres rajona tiesas tiesnesis ne tik daudz atšķirīgi interpretējis tiesību normas, bet arī faktu noskaidrošanā un novērtēšanā kļūdījies par labu tieši maksātnespējas pieteikuma iesniedzējiem</w:t>
      </w:r>
      <w:r w:rsidR="004C7644" w:rsidRPr="00327DAE">
        <w:rPr>
          <w:rFonts w:eastAsia="Calibri"/>
          <w:sz w:val="24"/>
          <w:szCs w:val="24"/>
          <w:lang w:eastAsia="en-US"/>
        </w:rPr>
        <w:t xml:space="preserve"> (lietas Nr. C24103109, C24064010, C24166312)</w:t>
      </w:r>
      <w:r w:rsidRPr="00327DAE">
        <w:rPr>
          <w:rFonts w:eastAsia="Calibri"/>
          <w:sz w:val="24"/>
          <w:szCs w:val="24"/>
          <w:lang w:eastAsia="en-US"/>
        </w:rPr>
        <w:t>.</w:t>
      </w:r>
      <w:r w:rsidRPr="00327DAE">
        <w:rPr>
          <w:rFonts w:eastAsia="Calibri"/>
          <w:b/>
          <w:sz w:val="24"/>
          <w:szCs w:val="24"/>
          <w:lang w:eastAsia="en-US"/>
        </w:rPr>
        <w:t xml:space="preserve"> </w:t>
      </w:r>
      <w:r w:rsidRPr="00327DAE">
        <w:rPr>
          <w:rFonts w:eastAsia="Calibri"/>
          <w:sz w:val="24"/>
          <w:szCs w:val="24"/>
          <w:lang w:eastAsia="en-US"/>
        </w:rPr>
        <w:t>Tas nevar apstiprināt izskaidrojumu dzīvesvietu pārreģistrācijas iemesliem, bet vērotājam no malas var radīt bažas par konkrēta tiesneša nepieļaujami labvēlīgu pieeju pret noteiktu personu grupu, kas saistīta ne tikai ar labvēlīgāku likuma interpretāciju pieļaujamās robežās, bet arī ar faktu noskaidrošanas kļūdām par labu tieši konkrētai personu grupai. Diemžēl analizētās lietas neuzrādīja faktus, lai sabiedrībā vērojamo šīs tendences skaidrojumu skaidri izslēgtu.</w:t>
      </w:r>
    </w:p>
    <w:p w14:paraId="4BB1AE44"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Lielākas bažas ir par Siguldas tiesu un Rīgas pilsētas Latgales priekšpilsētas tiesu, jo to pastiprina tiesneša un administratora sakrišana vairākās lietās (Siguldas tiesa, sk. tālāk) un cits varbūtējais paņēmiens konkrēta tiesneša atrašanai – vairāku vienlaicīgu pieteikumu iesniegšana ar trūkumiem, trūkumus pēc tam novēršot tikai vienā no tām (Latgales priekšpilsētas tiesa, sk. tālāk).</w:t>
      </w:r>
    </w:p>
    <w:p w14:paraId="26C65FFA" w14:textId="46BB198C" w:rsidR="00B462B1" w:rsidRPr="00327DAE" w:rsidRDefault="00B462B1"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1. Vairāku pieteikumu iesniegšana vienā tiesā, pieļaujot formālus trūkumus, bet tikai vienā lietā trūkumi tiek novērsti un lieta ierosināta, kas tādējādi var radīt aizdomas, ka ar procesuālām manipulācijām tiek rasta iespēja, ka lietu izskatīs konkrēts tiesnesis (tiesnese </w:t>
      </w:r>
      <w:r w:rsidR="00A77BA8">
        <w:rPr>
          <w:rFonts w:eastAsia="Calibri"/>
          <w:sz w:val="24"/>
          <w:szCs w:val="24"/>
          <w:lang w:eastAsia="en-US"/>
        </w:rPr>
        <w:t>J. </w:t>
      </w:r>
      <w:proofErr w:type="spellStart"/>
      <w:r w:rsidR="00902141">
        <w:rPr>
          <w:rFonts w:eastAsia="Calibri"/>
          <w:sz w:val="24"/>
          <w:szCs w:val="24"/>
          <w:lang w:eastAsia="en-US"/>
        </w:rPr>
        <w:t>Zaškina</w:t>
      </w:r>
      <w:proofErr w:type="spellEnd"/>
      <w:r w:rsidR="00902141">
        <w:rPr>
          <w:rFonts w:eastAsia="Calibri"/>
          <w:sz w:val="24"/>
          <w:szCs w:val="24"/>
          <w:lang w:eastAsia="en-US"/>
        </w:rPr>
        <w:t>, lieta Nr. C29769013, „</w:t>
      </w:r>
      <w:proofErr w:type="spellStart"/>
      <w:r w:rsidRPr="00327DAE">
        <w:rPr>
          <w:rFonts w:eastAsia="Calibri"/>
          <w:sz w:val="24"/>
          <w:szCs w:val="24"/>
          <w:lang w:eastAsia="en-US"/>
        </w:rPr>
        <w:t>Winergy</w:t>
      </w:r>
      <w:proofErr w:type="spellEnd"/>
      <w:r w:rsidRPr="00327DAE">
        <w:rPr>
          <w:rFonts w:eastAsia="Calibri"/>
          <w:sz w:val="24"/>
          <w:szCs w:val="24"/>
          <w:lang w:eastAsia="en-US"/>
        </w:rPr>
        <w:t>”). Darba grupas loceklis H</w:t>
      </w:r>
      <w:r w:rsidR="00922310">
        <w:rPr>
          <w:rFonts w:eastAsia="Calibri"/>
          <w:sz w:val="24"/>
          <w:szCs w:val="24"/>
          <w:lang w:eastAsia="en-US"/>
        </w:rPr>
        <w:t>. </w:t>
      </w:r>
      <w:r w:rsidRPr="00327DAE">
        <w:rPr>
          <w:rFonts w:eastAsia="Calibri"/>
          <w:sz w:val="24"/>
          <w:szCs w:val="24"/>
          <w:lang w:eastAsia="en-US"/>
        </w:rPr>
        <w:t>Jauja uzrādīja arī citu gadījumu ārpus šīs darba grupas pārbaudāmajām lietām, kurā process uzsākts analoģiskā veidā</w:t>
      </w:r>
      <w:r w:rsidR="0015418F">
        <w:rPr>
          <w:rFonts w:eastAsia="Calibri"/>
          <w:sz w:val="24"/>
          <w:szCs w:val="24"/>
          <w:lang w:eastAsia="en-US"/>
        </w:rPr>
        <w:t>.</w:t>
      </w:r>
      <w:r w:rsidRPr="00327DAE">
        <w:rPr>
          <w:rFonts w:eastAsia="Calibri"/>
          <w:sz w:val="24"/>
          <w:szCs w:val="24"/>
          <w:lang w:eastAsia="en-US"/>
        </w:rPr>
        <w:t xml:space="preserve"> </w:t>
      </w:r>
      <w:r w:rsidR="0015418F">
        <w:rPr>
          <w:rFonts w:eastAsia="Calibri"/>
          <w:sz w:val="24"/>
          <w:szCs w:val="24"/>
          <w:lang w:eastAsia="en-US"/>
        </w:rPr>
        <w:t>L</w:t>
      </w:r>
      <w:r w:rsidRPr="00327DAE">
        <w:rPr>
          <w:rFonts w:eastAsia="Calibri"/>
          <w:sz w:val="24"/>
          <w:szCs w:val="24"/>
          <w:lang w:eastAsia="en-US"/>
        </w:rPr>
        <w:t xml:space="preserve">īdz ar to Tieslietu padomes uzmanība būtu vēršama uz faktu, ka pie atsevišķiem tiesnešiem lietas nonāk šādā ceļā, radot pamatu aizdomām par mērķtiecīgu </w:t>
      </w:r>
      <w:r w:rsidR="003A2386">
        <w:rPr>
          <w:rFonts w:eastAsia="Calibri"/>
          <w:sz w:val="24"/>
          <w:szCs w:val="24"/>
          <w:lang w:eastAsia="en-US"/>
        </w:rPr>
        <w:t xml:space="preserve">konkrēta </w:t>
      </w:r>
      <w:r w:rsidRPr="00327DAE">
        <w:rPr>
          <w:rFonts w:eastAsia="Calibri"/>
          <w:sz w:val="24"/>
          <w:szCs w:val="24"/>
          <w:lang w:eastAsia="en-US"/>
        </w:rPr>
        <w:t>tiesneša izvēli.</w:t>
      </w:r>
    </w:p>
    <w:p w14:paraId="54EFC428" w14:textId="12CFE68E" w:rsidR="00B462B1" w:rsidRPr="00327DAE" w:rsidRDefault="00B462B1" w:rsidP="0025317F">
      <w:pPr>
        <w:widowControl/>
        <w:adjustRightInd/>
        <w:spacing w:after="120"/>
        <w:textAlignment w:val="auto"/>
        <w:rPr>
          <w:rFonts w:eastAsia="Calibri"/>
          <w:sz w:val="24"/>
          <w:szCs w:val="24"/>
          <w:lang w:eastAsia="en-US"/>
        </w:rPr>
      </w:pPr>
      <w:r w:rsidRPr="00327DAE">
        <w:rPr>
          <w:rFonts w:eastAsia="Calibri"/>
          <w:sz w:val="24"/>
          <w:szCs w:val="24"/>
          <w:lang w:eastAsia="en-US"/>
        </w:rPr>
        <w:lastRenderedPageBreak/>
        <w:t xml:space="preserve">2. Vairākkārtēja viena un tā paša tiesneša un administratora sakrišana vienā lietā, kas tika konstatēts attiecībā uz tiesnesi </w:t>
      </w:r>
      <w:r w:rsidR="00902141">
        <w:rPr>
          <w:rFonts w:eastAsia="Calibri"/>
          <w:sz w:val="24"/>
          <w:szCs w:val="24"/>
          <w:lang w:eastAsia="en-US"/>
        </w:rPr>
        <w:t>V. </w:t>
      </w:r>
      <w:proofErr w:type="spellStart"/>
      <w:r w:rsidRPr="00327DAE">
        <w:rPr>
          <w:rFonts w:eastAsia="Calibri"/>
          <w:sz w:val="24"/>
          <w:szCs w:val="24"/>
          <w:lang w:eastAsia="en-US"/>
        </w:rPr>
        <w:t>Grebežnieci</w:t>
      </w:r>
      <w:proofErr w:type="spellEnd"/>
      <w:r w:rsidRPr="00327DAE">
        <w:rPr>
          <w:rFonts w:eastAsia="Calibri"/>
          <w:sz w:val="24"/>
          <w:szCs w:val="24"/>
          <w:lang w:eastAsia="en-US"/>
        </w:rPr>
        <w:t xml:space="preserve"> un administratoru Andri Bērziņu (sk. lietu novērtējuma apkopojumu); caurskatītās lietas turklāt uzrāda, ka dažās no šīm lietām tiesnese izlēma par TAP/ĀTAP izbeigšanu un maksātnespējas pasludināšanu (tādējādi saglabājot sākotnēji noteikto administratoru) laikā, kad TAP/ĀTAP procesā pieņemtais tiesas spriedums ticis noprotestēts Augstākajā tiesā pat bez lietas materiāliem un pat pēc tam, kad Augstākā tiesa šīs pašas tiesneses lēmumu tieši šā iemesla dēļ iepriekš bija atcēlusi. Respektīvi, maksātnespējīgajam uzņēmumam </w:t>
      </w:r>
      <w:r w:rsidR="003A2386">
        <w:rPr>
          <w:rFonts w:eastAsia="Calibri"/>
          <w:sz w:val="24"/>
          <w:szCs w:val="24"/>
          <w:lang w:eastAsia="en-US"/>
        </w:rPr>
        <w:t xml:space="preserve">un administratoram </w:t>
      </w:r>
      <w:r w:rsidRPr="00327DAE">
        <w:rPr>
          <w:rFonts w:eastAsia="Calibri"/>
          <w:sz w:val="24"/>
          <w:szCs w:val="24"/>
          <w:lang w:eastAsia="en-US"/>
        </w:rPr>
        <w:t>īpaši labvēlīga lēmumu pieņemšanas secība sakrīt lietā, kurā ir gan atkārtoti tas pats administrators, gan tas notiek tiesā, uz kuru tiek mainīta adrese.</w:t>
      </w:r>
    </w:p>
    <w:p w14:paraId="239A2BAC" w14:textId="77777777" w:rsidR="004546C7" w:rsidRPr="00327DAE" w:rsidRDefault="004546C7" w:rsidP="0025317F">
      <w:pPr>
        <w:pStyle w:val="Heading2"/>
        <w:rPr>
          <w:rFonts w:cs="Times New Roman"/>
          <w:szCs w:val="24"/>
          <w:lang w:eastAsia="en-US"/>
        </w:rPr>
      </w:pPr>
      <w:bookmarkStart w:id="9" w:name="_Toc522527485"/>
      <w:r w:rsidRPr="00327DAE">
        <w:rPr>
          <w:rFonts w:cs="Times New Roman"/>
          <w:szCs w:val="24"/>
          <w:lang w:eastAsia="en-US"/>
        </w:rPr>
        <w:t>Par administratora un tiesas kompetenci</w:t>
      </w:r>
      <w:bookmarkEnd w:id="9"/>
      <w:r w:rsidRPr="00327DAE">
        <w:rPr>
          <w:rFonts w:cs="Times New Roman"/>
          <w:szCs w:val="24"/>
          <w:lang w:eastAsia="en-US"/>
        </w:rPr>
        <w:t xml:space="preserve"> </w:t>
      </w:r>
    </w:p>
    <w:p w14:paraId="727F24F8" w14:textId="6C2065DE"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Visos maksātnespējas likumos, kas bijuši spēkā kopš 1996.</w:t>
      </w:r>
      <w:r w:rsidR="00B462B1" w:rsidRPr="00327DAE">
        <w:rPr>
          <w:rFonts w:eastAsia="Calibri"/>
          <w:sz w:val="24"/>
          <w:szCs w:val="24"/>
          <w:lang w:eastAsia="en-US"/>
        </w:rPr>
        <w:t> </w:t>
      </w:r>
      <w:r w:rsidRPr="00327DAE">
        <w:rPr>
          <w:rFonts w:eastAsia="Calibri"/>
          <w:sz w:val="24"/>
          <w:szCs w:val="24"/>
          <w:lang w:eastAsia="en-US"/>
        </w:rPr>
        <w:t>gada, bija noteikts, ka administratora pienākums ir nodrošināt procesa likumīgu norisi (</w:t>
      </w:r>
      <w:r w:rsidR="00B462B1" w:rsidRPr="00327DAE">
        <w:rPr>
          <w:rFonts w:eastAsia="Calibri"/>
          <w:sz w:val="24"/>
          <w:szCs w:val="24"/>
          <w:lang w:eastAsia="en-US"/>
        </w:rPr>
        <w:t>likuma “Par uzņēmumu un uzņēmējsabiedrību maksātnespēju 19. panta pirmā daļa, 2007. gada Maksātnespējas likuma 26. panta otrā daļa,</w:t>
      </w:r>
      <w:r w:rsidRPr="00327DAE">
        <w:rPr>
          <w:rFonts w:eastAsia="Calibri"/>
          <w:sz w:val="24"/>
          <w:szCs w:val="24"/>
          <w:lang w:eastAsia="en-US"/>
        </w:rPr>
        <w:t xml:space="preserve"> </w:t>
      </w:r>
      <w:r w:rsidR="00B462B1" w:rsidRPr="00327DAE">
        <w:rPr>
          <w:rFonts w:eastAsia="Calibri"/>
          <w:sz w:val="24"/>
          <w:szCs w:val="24"/>
          <w:lang w:eastAsia="en-US"/>
        </w:rPr>
        <w:t>2010. gada Maksātnespējas likuma 26. panta otrā daļa)</w:t>
      </w:r>
      <w:r w:rsidRPr="00327DAE">
        <w:rPr>
          <w:rFonts w:eastAsia="Calibri"/>
          <w:sz w:val="24"/>
          <w:szCs w:val="24"/>
          <w:lang w:eastAsia="en-US"/>
        </w:rPr>
        <w:t>. Arī Civilprocesa likuma komentāros (2012) skaidrots, ka administratora pienākums un arī viņa atzinuma mērķis ir atvieglot tiesas darbu un sniegt tai objektīvu un ne</w:t>
      </w:r>
      <w:r w:rsidR="00B462B1" w:rsidRPr="00327DAE">
        <w:rPr>
          <w:rFonts w:eastAsia="Calibri"/>
          <w:sz w:val="24"/>
          <w:szCs w:val="24"/>
          <w:lang w:eastAsia="en-US"/>
        </w:rPr>
        <w:t xml:space="preserve">atkarīgu speciālista viedokli. </w:t>
      </w:r>
    </w:p>
    <w:p w14:paraId="0AFDDD80" w14:textId="04333537"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 xml:space="preserve">Tiesvedība maksātnespējas un TAP procesos nenotiek klasiskā sacīkstes principa ietvaros. Šie procesi notiek t.s. sevišķās tiesāšanas kārtībā </w:t>
      </w:r>
      <w:r w:rsidRPr="00902141">
        <w:rPr>
          <w:rFonts w:eastAsia="Calibri"/>
          <w:sz w:val="24"/>
          <w:szCs w:val="24"/>
          <w:lang w:eastAsia="en-US"/>
        </w:rPr>
        <w:t>(CPL</w:t>
      </w:r>
      <w:r w:rsidR="00902141" w:rsidRPr="00902141">
        <w:rPr>
          <w:rFonts w:eastAsia="Calibri"/>
          <w:sz w:val="24"/>
          <w:szCs w:val="24"/>
          <w:lang w:eastAsia="en-US"/>
        </w:rPr>
        <w:t xml:space="preserve"> sestā sadaļa</w:t>
      </w:r>
      <w:r w:rsidR="00902141">
        <w:rPr>
          <w:rFonts w:eastAsia="Calibri"/>
          <w:sz w:val="24"/>
          <w:szCs w:val="24"/>
          <w:lang w:eastAsia="en-US"/>
        </w:rPr>
        <w:t xml:space="preserve">). </w:t>
      </w:r>
      <w:r w:rsidRPr="00327DAE">
        <w:rPr>
          <w:rFonts w:eastAsia="Calibri"/>
          <w:sz w:val="24"/>
          <w:szCs w:val="24"/>
          <w:lang w:eastAsia="en-US"/>
        </w:rPr>
        <w:t xml:space="preserve">Šādā procesā nav </w:t>
      </w:r>
      <w:proofErr w:type="gramStart"/>
      <w:r w:rsidRPr="00327DAE">
        <w:rPr>
          <w:rFonts w:eastAsia="Calibri"/>
          <w:sz w:val="24"/>
          <w:szCs w:val="24"/>
          <w:lang w:eastAsia="en-US"/>
        </w:rPr>
        <w:t>pretēju pušu</w:t>
      </w:r>
      <w:proofErr w:type="gramEnd"/>
      <w:r w:rsidRPr="00327DAE">
        <w:rPr>
          <w:rFonts w:eastAsia="Calibri"/>
          <w:sz w:val="24"/>
          <w:szCs w:val="24"/>
          <w:lang w:eastAsia="en-US"/>
        </w:rPr>
        <w:t xml:space="preserve"> un nav arī strīda</w:t>
      </w:r>
      <w:r w:rsidR="003A2386">
        <w:rPr>
          <w:rFonts w:eastAsia="Calibri"/>
          <w:sz w:val="24"/>
          <w:szCs w:val="24"/>
          <w:lang w:eastAsia="en-US"/>
        </w:rPr>
        <w:t>,</w:t>
      </w:r>
      <w:r w:rsidRPr="00327DAE">
        <w:rPr>
          <w:rFonts w:eastAsia="Calibri"/>
          <w:sz w:val="24"/>
          <w:szCs w:val="24"/>
          <w:lang w:eastAsia="en-US"/>
        </w:rPr>
        <w:t xml:space="preserve"> un līdz ar to nav arī sacīkstes</w:t>
      </w:r>
      <w:r w:rsidR="003A2386">
        <w:rPr>
          <w:rFonts w:eastAsia="Calibri"/>
          <w:sz w:val="24"/>
          <w:szCs w:val="24"/>
          <w:lang w:eastAsia="en-US"/>
        </w:rPr>
        <w:t xml:space="preserve"> tādā formā, kāda tā ir prasības tiesvedībā</w:t>
      </w:r>
      <w:r w:rsidRPr="00327DAE">
        <w:rPr>
          <w:rFonts w:eastAsia="Calibri"/>
          <w:sz w:val="24"/>
          <w:szCs w:val="24"/>
          <w:lang w:eastAsia="en-US"/>
        </w:rPr>
        <w:t>. Sacīkstes elementi var parādīties šajos procesos izņēmuma kārtā, kad kāds kreditors, uzzinot par pieteikumu, ceļ iebildumus</w:t>
      </w:r>
      <w:r w:rsidR="00902141">
        <w:rPr>
          <w:rFonts w:eastAsia="Calibri"/>
          <w:sz w:val="24"/>
          <w:szCs w:val="24"/>
          <w:lang w:eastAsia="en-US"/>
        </w:rPr>
        <w:t xml:space="preserve"> </w:t>
      </w:r>
      <w:r w:rsidR="004529AC" w:rsidRPr="00327DAE">
        <w:rPr>
          <w:rFonts w:eastAsia="Calibri"/>
          <w:sz w:val="24"/>
          <w:szCs w:val="24"/>
          <w:lang w:eastAsia="en-US"/>
        </w:rPr>
        <w:t>vai iesniedz sūdzības</w:t>
      </w:r>
      <w:r w:rsidRPr="00327DAE">
        <w:rPr>
          <w:rFonts w:eastAsia="Calibri"/>
          <w:sz w:val="24"/>
          <w:szCs w:val="24"/>
          <w:lang w:eastAsia="en-US"/>
        </w:rPr>
        <w:t>, iesniedz pierādījumus u.tml. Šādā procesā it īpaši izteikti parādās iepriekšminētās administratora funkcijas loma – nodrošināt maksātnespējas procesa likumīgu gaitu. Administrators ir vienīgais subjekts, kurš šajos procesos var tiesai sniegt objektīvu un profesionālu viedokli par konkrētās lietas faktiem, jo gan parādnieks, gan kreditors ir ieinteresēti lietas iznākumā, līdz ar ko uz tiem nevar paļauties kā uz objektīvas informācijas avotiem. Savukārt administratoram ir visas iespējas izpētīt konkrētā parādnieka situāciju, saistību rašanās apstākļus, iemeslus saistību nepildīšanai, iespējamos šķēršļus maksātnespējas (TAP) uzsākšanai un sniegt tiesai par to visu ob</w:t>
      </w:r>
      <w:r w:rsidR="003A2386">
        <w:rPr>
          <w:rFonts w:eastAsia="Calibri"/>
          <w:sz w:val="24"/>
          <w:szCs w:val="24"/>
          <w:lang w:eastAsia="en-US"/>
        </w:rPr>
        <w:t>jektīvu, profesionālu atzinumu.</w:t>
      </w:r>
    </w:p>
    <w:p w14:paraId="48273F48" w14:textId="29191980"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Izpētītās lietas norāda, ka praksē maksātnespējas administratori reizēm neietur neitrālu pozīciju, bet rīkojas kā parādnieka vai atsevišķa kreditora aizstāvji</w:t>
      </w:r>
      <w:r w:rsidR="003A2386">
        <w:rPr>
          <w:rFonts w:eastAsia="Calibri"/>
          <w:sz w:val="24"/>
          <w:szCs w:val="24"/>
          <w:lang w:eastAsia="en-US"/>
        </w:rPr>
        <w:t xml:space="preserve">. </w:t>
      </w:r>
      <w:r w:rsidRPr="00327DAE">
        <w:rPr>
          <w:rFonts w:eastAsia="Calibri"/>
          <w:sz w:val="24"/>
          <w:szCs w:val="24"/>
          <w:lang w:eastAsia="en-US"/>
        </w:rPr>
        <w:t xml:space="preserve">Piemēram, </w:t>
      </w:r>
      <w:r w:rsidRPr="003A2386">
        <w:rPr>
          <w:rFonts w:eastAsia="Calibri"/>
          <w:sz w:val="24"/>
          <w:szCs w:val="24"/>
          <w:lang w:eastAsia="en-US"/>
        </w:rPr>
        <w:t xml:space="preserve">lietā </w:t>
      </w:r>
      <w:r w:rsidR="003A2386" w:rsidRPr="003A2386">
        <w:rPr>
          <w:rFonts w:eastAsia="Calibri"/>
          <w:sz w:val="24"/>
          <w:szCs w:val="24"/>
          <w:lang w:eastAsia="en-US"/>
        </w:rPr>
        <w:t>N</w:t>
      </w:r>
      <w:r w:rsidRPr="003A2386">
        <w:rPr>
          <w:rFonts w:eastAsia="Calibri"/>
          <w:sz w:val="24"/>
          <w:szCs w:val="24"/>
          <w:lang w:eastAsia="en-US"/>
        </w:rPr>
        <w:t>r</w:t>
      </w:r>
      <w:r w:rsidR="003A2386" w:rsidRPr="003A2386">
        <w:rPr>
          <w:rFonts w:eastAsia="Calibri"/>
          <w:sz w:val="24"/>
          <w:szCs w:val="24"/>
          <w:lang w:eastAsia="en-US"/>
        </w:rPr>
        <w:t>. C24103109</w:t>
      </w:r>
      <w:r w:rsidRPr="00327DAE">
        <w:rPr>
          <w:rFonts w:eastAsia="Calibri"/>
          <w:sz w:val="24"/>
          <w:szCs w:val="24"/>
          <w:lang w:eastAsia="en-US"/>
        </w:rPr>
        <w:t xml:space="preserve"> administrator</w:t>
      </w:r>
      <w:r w:rsidR="003A2386">
        <w:rPr>
          <w:rFonts w:eastAsia="Calibri"/>
          <w:sz w:val="24"/>
          <w:szCs w:val="24"/>
          <w:lang w:eastAsia="en-US"/>
        </w:rPr>
        <w:t>s</w:t>
      </w:r>
      <w:r w:rsidRPr="00327DAE">
        <w:rPr>
          <w:rFonts w:eastAsia="Calibri"/>
          <w:sz w:val="24"/>
          <w:szCs w:val="24"/>
          <w:lang w:eastAsia="en-US"/>
        </w:rPr>
        <w:t xml:space="preserve"> atzinumā norāda, ka nav šķēršļu fiziskās personas maksātnespējas pasludināšanai, kas neatbilst patiesībai, uz ko norāda pat pieteikumam pievienotie dokumenti. Tiesneši šādā situācijā ir pieļāvuši kļūdas, paļaujoties uz administratora atzinumu un nepārbaudot atzinumam pievienotos dokumentus, kas ir pretrunā atzinumam. Jau 2010.</w:t>
      </w:r>
      <w:r w:rsidR="00AB2475">
        <w:rPr>
          <w:rFonts w:eastAsia="Calibri"/>
          <w:sz w:val="24"/>
          <w:szCs w:val="24"/>
          <w:lang w:eastAsia="en-US"/>
        </w:rPr>
        <w:t> </w:t>
      </w:r>
      <w:r w:rsidRPr="00327DAE">
        <w:rPr>
          <w:rFonts w:eastAsia="Calibri"/>
          <w:sz w:val="24"/>
          <w:szCs w:val="24"/>
          <w:lang w:eastAsia="en-US"/>
        </w:rPr>
        <w:t xml:space="preserve">gadā Augstākā tiesa norādījusi, ka, neskatoties uz administratora atzinumu, jāpārbauda kreditoru iebildumi, iepretim rajona tiesas tiesneša viedoklim, ka, ievērojot maksātnespējas administratora funkcijas, noteicošais ir maksātnespējas administratora atzinums </w:t>
      </w:r>
      <w:r w:rsidRPr="00327DAE">
        <w:rPr>
          <w:rFonts w:eastAsia="Calibri"/>
          <w:i/>
          <w:sz w:val="24"/>
          <w:szCs w:val="24"/>
          <w:lang w:eastAsia="en-US"/>
        </w:rPr>
        <w:t>(SPC-77/2010 (C27160009))</w:t>
      </w:r>
      <w:r w:rsidRPr="00327DAE">
        <w:rPr>
          <w:rFonts w:eastAsia="Calibri"/>
          <w:sz w:val="24"/>
          <w:szCs w:val="24"/>
          <w:lang w:eastAsia="en-US"/>
        </w:rPr>
        <w:t xml:space="preserve">; arī vēlākos Augstākās tiesas nolēmumos parādās kritisks vērtējums administratora rīcībai un lēmumiem konkrētās lietās, vienlaikus norādot uz administratora likumā paredzēto neitrālo funkciju </w:t>
      </w:r>
      <w:r w:rsidR="003A2386" w:rsidRPr="003A2386">
        <w:rPr>
          <w:rFonts w:eastAsia="Calibri"/>
          <w:i/>
          <w:sz w:val="24"/>
          <w:szCs w:val="24"/>
          <w:lang w:eastAsia="en-US"/>
        </w:rPr>
        <w:t>(sk. SKC-618/2018</w:t>
      </w:r>
      <w:r w:rsidRPr="003A2386">
        <w:rPr>
          <w:rFonts w:eastAsia="Calibri"/>
          <w:i/>
          <w:sz w:val="24"/>
          <w:szCs w:val="24"/>
          <w:lang w:eastAsia="en-US"/>
        </w:rPr>
        <w:t>)</w:t>
      </w:r>
      <w:r w:rsidRPr="003A2386">
        <w:rPr>
          <w:rFonts w:eastAsia="Calibri"/>
          <w:sz w:val="24"/>
          <w:szCs w:val="24"/>
          <w:lang w:eastAsia="en-US"/>
        </w:rPr>
        <w:t>.</w:t>
      </w:r>
      <w:r w:rsidRPr="00327DAE">
        <w:rPr>
          <w:rFonts w:eastAsia="Calibri"/>
          <w:sz w:val="24"/>
          <w:szCs w:val="24"/>
          <w:lang w:eastAsia="en-US"/>
        </w:rPr>
        <w:t xml:space="preserve"> Tomēr šis jautājums nav atrisināts un ir aktuāls joprojām </w:t>
      </w:r>
      <w:r w:rsidRPr="003A2386">
        <w:rPr>
          <w:rFonts w:eastAsia="Calibri"/>
          <w:i/>
          <w:sz w:val="24"/>
          <w:szCs w:val="24"/>
          <w:lang w:eastAsia="en-US"/>
        </w:rPr>
        <w:t>(sk. SKC-</w:t>
      </w:r>
      <w:r w:rsidR="003A2386" w:rsidRPr="003A2386">
        <w:rPr>
          <w:rFonts w:eastAsia="Calibri"/>
          <w:i/>
          <w:sz w:val="24"/>
          <w:szCs w:val="24"/>
          <w:lang w:eastAsia="en-US"/>
        </w:rPr>
        <w:t>193</w:t>
      </w:r>
      <w:r w:rsidRPr="003A2386">
        <w:rPr>
          <w:rFonts w:eastAsia="Calibri"/>
          <w:i/>
          <w:sz w:val="24"/>
          <w:szCs w:val="24"/>
          <w:lang w:eastAsia="en-US"/>
        </w:rPr>
        <w:t>/2018</w:t>
      </w:r>
      <w:r w:rsidR="003A2386" w:rsidRPr="003A2386">
        <w:rPr>
          <w:rFonts w:eastAsia="Calibri"/>
          <w:i/>
          <w:sz w:val="24"/>
          <w:szCs w:val="24"/>
          <w:lang w:eastAsia="en-US"/>
        </w:rPr>
        <w:t>)</w:t>
      </w:r>
      <w:r w:rsidRPr="00327DAE">
        <w:rPr>
          <w:rFonts w:eastAsia="Calibri"/>
          <w:sz w:val="24"/>
          <w:szCs w:val="24"/>
          <w:lang w:eastAsia="en-US"/>
        </w:rPr>
        <w:t>.</w:t>
      </w:r>
    </w:p>
    <w:p w14:paraId="2386304D" w14:textId="77777777" w:rsidR="00B462B1" w:rsidRPr="00327DAE" w:rsidRDefault="00B462B1" w:rsidP="0025317F">
      <w:pPr>
        <w:widowControl/>
        <w:adjustRightInd/>
        <w:spacing w:after="120"/>
        <w:rPr>
          <w:rFonts w:eastAsia="Calibri"/>
          <w:sz w:val="24"/>
          <w:szCs w:val="24"/>
          <w:lang w:eastAsia="en-US"/>
        </w:rPr>
      </w:pPr>
    </w:p>
    <w:p w14:paraId="2331D2D7" w14:textId="1C524A92" w:rsidR="004546C7" w:rsidRPr="00327DAE" w:rsidRDefault="004546C7" w:rsidP="0025317F">
      <w:pPr>
        <w:pStyle w:val="Heading2"/>
        <w:rPr>
          <w:rFonts w:cs="Times New Roman"/>
          <w:szCs w:val="24"/>
          <w:lang w:eastAsia="en-US"/>
        </w:rPr>
      </w:pPr>
      <w:bookmarkStart w:id="10" w:name="_Toc522527486"/>
      <w:r w:rsidRPr="00327DAE">
        <w:rPr>
          <w:rFonts w:cs="Times New Roman"/>
          <w:szCs w:val="24"/>
          <w:lang w:eastAsia="en-US"/>
        </w:rPr>
        <w:lastRenderedPageBreak/>
        <w:t>H</w:t>
      </w:r>
      <w:r w:rsidR="00B462B1" w:rsidRPr="00327DAE">
        <w:rPr>
          <w:rFonts w:cs="Times New Roman"/>
          <w:szCs w:val="24"/>
          <w:lang w:eastAsia="en-US"/>
        </w:rPr>
        <w:t>. </w:t>
      </w:r>
      <w:r w:rsidRPr="00327DAE">
        <w:rPr>
          <w:rFonts w:cs="Times New Roman"/>
          <w:szCs w:val="24"/>
          <w:lang w:eastAsia="en-US"/>
        </w:rPr>
        <w:t>Jaujas komentārs</w:t>
      </w:r>
      <w:bookmarkEnd w:id="10"/>
    </w:p>
    <w:p w14:paraId="497248C3" w14:textId="72148BEE"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2016.</w:t>
      </w:r>
      <w:r w:rsidR="00AB2475">
        <w:rPr>
          <w:rFonts w:eastAsia="Calibri"/>
          <w:sz w:val="24"/>
          <w:szCs w:val="24"/>
          <w:lang w:eastAsia="en-US"/>
        </w:rPr>
        <w:t> </w:t>
      </w:r>
      <w:r w:rsidRPr="00327DAE">
        <w:rPr>
          <w:rFonts w:eastAsia="Calibri"/>
          <w:sz w:val="24"/>
          <w:szCs w:val="24"/>
          <w:lang w:eastAsia="en-US"/>
        </w:rPr>
        <w:t xml:space="preserve">gadā apogeju sasniedza sabiedrības uzticības krīze maksātnespējas sistēmai un beidzot valsts līmenī tika atzīts, ka pastāv plaša un sistemātiska maksātnespējas ļaunprātīgas izmantošanas prakse, nodarot ievērojamu kaitējumu valsts tautsaimniecībai un tiesiskumam. Kā galvenie “grēkāži” tika pasludināti negodprātīgi maksātnespējas administratori. Tam sekoja žurnālā “IR” rakstu sērija, kurā tika norādīts, </w:t>
      </w:r>
      <w:r w:rsidR="00F4593F">
        <w:rPr>
          <w:rFonts w:eastAsia="Calibri"/>
          <w:sz w:val="24"/>
          <w:szCs w:val="24"/>
          <w:lang w:eastAsia="en-US"/>
        </w:rPr>
        <w:t xml:space="preserve">ka </w:t>
      </w:r>
      <w:r w:rsidRPr="00327DAE">
        <w:rPr>
          <w:rFonts w:eastAsia="Calibri"/>
          <w:sz w:val="24"/>
          <w:szCs w:val="24"/>
          <w:lang w:eastAsia="en-US"/>
        </w:rPr>
        <w:t>vērienīgās maksātnespējas shēmas nebūtu iespējamas bez tiesnešu akcepta</w:t>
      </w:r>
      <w:r w:rsidR="00F4593F">
        <w:rPr>
          <w:rFonts w:eastAsia="Calibri"/>
          <w:sz w:val="24"/>
          <w:szCs w:val="24"/>
          <w:lang w:eastAsia="en-US"/>
        </w:rPr>
        <w:t>,</w:t>
      </w:r>
      <w:r w:rsidRPr="00327DAE">
        <w:rPr>
          <w:rFonts w:eastAsia="Calibri"/>
          <w:sz w:val="24"/>
          <w:szCs w:val="24"/>
          <w:lang w:eastAsia="en-US"/>
        </w:rPr>
        <w:t xml:space="preserve"> un tika izteiktas aizdomas, ka atsevišķi tiesneši varētu būt apzināti iesaistīti maksātnespējas shēmu piesegšanā. Pētījumā tika norādīts uz vairākiem tiesnešiem, kuri aizdomīgos apstākļos visvairāk ir pieņēmuši nolēmumus lietās, kurās</w:t>
      </w:r>
      <w:r w:rsidR="00924ED8">
        <w:rPr>
          <w:rFonts w:eastAsia="Calibri"/>
          <w:sz w:val="24"/>
          <w:szCs w:val="24"/>
          <w:lang w:eastAsia="en-US"/>
        </w:rPr>
        <w:t>,</w:t>
      </w:r>
      <w:r w:rsidRPr="00327DAE">
        <w:rPr>
          <w:rFonts w:eastAsia="Calibri"/>
          <w:sz w:val="24"/>
          <w:szCs w:val="24"/>
          <w:lang w:eastAsia="en-US"/>
        </w:rPr>
        <w:t xml:space="preserve"> iespējams</w:t>
      </w:r>
      <w:r w:rsidR="00924ED8">
        <w:rPr>
          <w:rFonts w:eastAsia="Calibri"/>
          <w:sz w:val="24"/>
          <w:szCs w:val="24"/>
          <w:lang w:eastAsia="en-US"/>
        </w:rPr>
        <w:t>,</w:t>
      </w:r>
      <w:r w:rsidRPr="00327DAE">
        <w:rPr>
          <w:rFonts w:eastAsia="Calibri"/>
          <w:sz w:val="24"/>
          <w:szCs w:val="24"/>
          <w:lang w:eastAsia="en-US"/>
        </w:rPr>
        <w:t xml:space="preserve"> ļaunprātīgi ir izmantots maksātnespējas process.</w:t>
      </w:r>
    </w:p>
    <w:p w14:paraId="405E45B2" w14:textId="75A79C3B"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Ekspertu komisija izvērtēja maksātnespējas procesa un TAP/Ā</w:t>
      </w:r>
      <w:r w:rsidR="00902141">
        <w:rPr>
          <w:rFonts w:eastAsia="Calibri"/>
          <w:sz w:val="24"/>
          <w:szCs w:val="24"/>
          <w:lang w:eastAsia="en-US"/>
        </w:rPr>
        <w:t>TAP lietas, kuras bija minētas „</w:t>
      </w:r>
      <w:r w:rsidRPr="00327DAE">
        <w:rPr>
          <w:rFonts w:eastAsia="Calibri"/>
          <w:sz w:val="24"/>
          <w:szCs w:val="24"/>
          <w:lang w:eastAsia="en-US"/>
        </w:rPr>
        <w:t>IR” publikāc</w:t>
      </w:r>
      <w:r w:rsidR="00902141">
        <w:rPr>
          <w:rFonts w:eastAsia="Calibri"/>
          <w:sz w:val="24"/>
          <w:szCs w:val="24"/>
          <w:lang w:eastAsia="en-US"/>
        </w:rPr>
        <w:t>ijās, „</w:t>
      </w:r>
      <w:r w:rsidRPr="00327DAE">
        <w:rPr>
          <w:rFonts w:eastAsia="Calibri"/>
          <w:sz w:val="24"/>
          <w:szCs w:val="24"/>
          <w:lang w:eastAsia="en-US"/>
        </w:rPr>
        <w:t>IR” publikācijā īpaši minēto tiesnešu nolēmumus, kurus bija atcēlis AT CLD, kā arī atsevišķas šo tiesnešu lietas, kuras varētu apstiprināt vai atspēkot šaubas par attiecīga tiesneša kompetenci, objektivitāti un godaprātu.</w:t>
      </w:r>
    </w:p>
    <w:p w14:paraId="7163E36A" w14:textId="1850B3F8"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No visām analizētajām lietām tikai divu tiesnešu daži nolēmumi</w:t>
      </w:r>
      <w:r w:rsidR="0080171A" w:rsidRPr="00327DAE">
        <w:rPr>
          <w:rFonts w:eastAsia="Calibri"/>
          <w:sz w:val="24"/>
          <w:szCs w:val="24"/>
          <w:lang w:eastAsia="en-US"/>
        </w:rPr>
        <w:t xml:space="preserve"> </w:t>
      </w:r>
      <w:r w:rsidRPr="00327DAE">
        <w:rPr>
          <w:rFonts w:eastAsia="Calibri"/>
          <w:sz w:val="24"/>
          <w:szCs w:val="24"/>
          <w:lang w:eastAsia="en-US"/>
        </w:rPr>
        <w:t>bija acīmredzamā pretrunā ar likumu/iepriekšpieņemtu praksi/AT CLD nolēmumiem par tā paša tiesneša nolēmumiem cita lietā. Liela daļa no aplūkotajiem nolēmumiem, kas bija minēti arī “IR” publikācijās un kurus bija atcēlis arī AT CLD, bija pieņemti normas gramatiskā teksta ietvaros, situācijā, kura juridiski bija nepietiekami skaidra. Atsevišķās lietās, kur tiesneša nolēmumu bija atcēlis AT CLD, tiesneša rīcīb</w:t>
      </w:r>
      <w:r w:rsidR="00924ED8">
        <w:rPr>
          <w:rFonts w:eastAsia="Calibri"/>
          <w:sz w:val="24"/>
          <w:szCs w:val="24"/>
          <w:lang w:eastAsia="en-US"/>
        </w:rPr>
        <w:t>ā</w:t>
      </w:r>
      <w:r w:rsidRPr="00327DAE">
        <w:rPr>
          <w:rFonts w:eastAsia="Calibri"/>
          <w:sz w:val="24"/>
          <w:szCs w:val="24"/>
          <w:lang w:eastAsia="en-US"/>
        </w:rPr>
        <w:t xml:space="preserve"> nebija informācijas, kura bija par pamatu nolēmuma atcelšanai AT CLD.</w:t>
      </w:r>
    </w:p>
    <w:p w14:paraId="20185ECF" w14:textId="237D88DA"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Tiesnešu nolēmumus, kuri taisīti juridiski neskaidrā situācijā un kurus vēlāk ir atcēlis AT CLD, protams, var skaidrot ar to, ka maksātnespējas regulējums bieži mainījās, atsevišķi jautājumi (piemēram, par kreditoru statusu TAP vai trešo personu ķīlas attiecībām) likumā nebija pietiekami skaidri noregulēt</w:t>
      </w:r>
      <w:r w:rsidR="00924ED8">
        <w:rPr>
          <w:rFonts w:eastAsia="Calibri"/>
          <w:sz w:val="24"/>
          <w:szCs w:val="24"/>
          <w:lang w:eastAsia="en-US"/>
        </w:rPr>
        <w:t>i</w:t>
      </w:r>
      <w:r w:rsidRPr="00327DAE">
        <w:rPr>
          <w:rFonts w:eastAsia="Calibri"/>
          <w:sz w:val="24"/>
          <w:szCs w:val="24"/>
          <w:lang w:eastAsia="en-US"/>
        </w:rPr>
        <w:t xml:space="preserve"> vai nebija </w:t>
      </w:r>
      <w:r w:rsidR="00924ED8" w:rsidRPr="00327DAE">
        <w:rPr>
          <w:rFonts w:eastAsia="Calibri"/>
          <w:sz w:val="24"/>
          <w:szCs w:val="24"/>
          <w:lang w:eastAsia="en-US"/>
        </w:rPr>
        <w:t>regulēt</w:t>
      </w:r>
      <w:r w:rsidR="00924ED8">
        <w:rPr>
          <w:rFonts w:eastAsia="Calibri"/>
          <w:sz w:val="24"/>
          <w:szCs w:val="24"/>
          <w:lang w:eastAsia="en-US"/>
        </w:rPr>
        <w:t>i</w:t>
      </w:r>
      <w:r w:rsidR="00924ED8" w:rsidRPr="00327DAE">
        <w:rPr>
          <w:rFonts w:eastAsia="Calibri"/>
          <w:sz w:val="24"/>
          <w:szCs w:val="24"/>
          <w:lang w:eastAsia="en-US"/>
        </w:rPr>
        <w:t xml:space="preserve"> </w:t>
      </w:r>
      <w:r w:rsidRPr="00327DAE">
        <w:rPr>
          <w:rFonts w:eastAsia="Calibri"/>
          <w:sz w:val="24"/>
          <w:szCs w:val="24"/>
          <w:lang w:eastAsia="en-US"/>
        </w:rPr>
        <w:t>vispār. Tāpat var atzīt, ka maksātnespējas un TAP/ĀTAP lietas ir samērā komplicētas</w:t>
      </w:r>
      <w:r w:rsidR="00924ED8">
        <w:rPr>
          <w:rFonts w:eastAsia="Calibri"/>
          <w:sz w:val="24"/>
          <w:szCs w:val="24"/>
          <w:lang w:eastAsia="en-US"/>
        </w:rPr>
        <w:t>.</w:t>
      </w:r>
      <w:r w:rsidRPr="00327DAE">
        <w:rPr>
          <w:rFonts w:eastAsia="Calibri"/>
          <w:sz w:val="24"/>
          <w:szCs w:val="24"/>
          <w:lang w:eastAsia="en-US"/>
        </w:rPr>
        <w:t xml:space="preserve"> </w:t>
      </w:r>
      <w:r w:rsidR="00924ED8">
        <w:rPr>
          <w:rFonts w:eastAsia="Calibri"/>
          <w:sz w:val="24"/>
          <w:szCs w:val="24"/>
          <w:lang w:eastAsia="en-US"/>
        </w:rPr>
        <w:t>L</w:t>
      </w:r>
      <w:r w:rsidRPr="00327DAE">
        <w:rPr>
          <w:rFonts w:eastAsia="Calibri"/>
          <w:sz w:val="24"/>
          <w:szCs w:val="24"/>
          <w:lang w:eastAsia="en-US"/>
        </w:rPr>
        <w:t>ai tajās pilnvērtīgi orientētos, ir labi jāpārzina arī uzņēmējdarbības ekonomikas pamatprincipi. Droši vien komplicētu jautājumu izskatīšanas kvalitāti tiesās neveicina arī tiesnešu noslodze.</w:t>
      </w:r>
    </w:p>
    <w:p w14:paraId="61F9E411" w14:textId="4B3BD1C8"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 xml:space="preserve">Neskatoties uz visiem objektīvajiem attaisnojumiem, vispārējā tendence tiesnešu nolēmumiem, kurus analizēja eksperti (jo par to taisnīgumu bija izteiktas publiskas šaubas), ir tāda, ka tie ir pieņemti likuma burta ietvaros, bet ir pretēji likuma garam un ir noveduši pie netaisnīga rezultāta, jo ar tiem ir akceptēta negodprātīga rīcība. Turklāt lielā skaitā gadījumu lietas apstākļi vairāk vai mazāk norādīja uz to, ka notiek blēdības vai maksātnespējas procesa/TAP ļaunprātīga izmantošana. Savukārt tiesību sistēma ļāva atrast un izmantot tādus risinājumus, kas ierobežotu lietas dalībnieku negodprātīgo rīcību (to apliecina arī AT CLD nolēmumi). Tā vietā, lai meklētu juridiskus risinājumus, kas ierobežotu negodprātīgo rīcību, tiesneši ir gājuši formālo ceļu. Pat ja pieņemtu, ka visos šajos gadījumos tiesneši nav rīkojušies apzināti, lai lemtu par labu negodprātīgiem lietas dalībniekiem, šī tendence pati par sevi norāda uz tiesu sistēmas vājajām vietām. Jo ir jāapzinās, ka personas, kurām ir negodprātīgi mērķi, parasti savus nodomus maskē aiz šķietami tiesiskām darbībām, kuras bieži vien formāli atbilst likuma burtam. Lai šādos gadījumos pieņemtu taisnīgu un juridiski korektu nolēmumu, neapšaubāmi ir nepieciešama augsta kvalifikācija un tiesiskā apziņa. </w:t>
      </w:r>
    </w:p>
    <w:p w14:paraId="4AAF5B35" w14:textId="025737B2"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To</w:t>
      </w:r>
      <w:r w:rsidR="00371D20">
        <w:rPr>
          <w:rFonts w:eastAsia="Calibri"/>
          <w:sz w:val="24"/>
          <w:szCs w:val="24"/>
          <w:lang w:eastAsia="en-US"/>
        </w:rPr>
        <w:t>,</w:t>
      </w:r>
      <w:r w:rsidRPr="00327DAE">
        <w:rPr>
          <w:rFonts w:eastAsia="Calibri"/>
          <w:sz w:val="24"/>
          <w:szCs w:val="24"/>
          <w:lang w:eastAsia="en-US"/>
        </w:rPr>
        <w:t xml:space="preserve"> vai atsevišķās tiesnešu rupjās kļūdas un strīdīgo situāciju interpretācijas, kas ir ļāvušas negodprātīgām personām sasniegt savus mērķus, ir bijušas nejaušas vai </w:t>
      </w:r>
      <w:r w:rsidRPr="00327DAE">
        <w:rPr>
          <w:rFonts w:eastAsia="Calibri"/>
          <w:sz w:val="24"/>
          <w:szCs w:val="24"/>
          <w:lang w:eastAsia="en-US"/>
        </w:rPr>
        <w:lastRenderedPageBreak/>
        <w:t>apzinātas, protams, nav iespējams viennozīmīgi pateikt. Taču, analizējot vairāku tiesnešu nolēmumus un ar to pieņemšanu saistītos apstākļus, saprātīgam vērotājam no malas var rasties pamatotas šaubas par attiecīgā tiesneša objektivitāti un godaprātu. Analizētie nolēmumi un lietas apstākļi drīzāk apstiprina</w:t>
      </w:r>
      <w:proofErr w:type="gramStart"/>
      <w:r w:rsidRPr="00327DAE">
        <w:rPr>
          <w:rFonts w:eastAsia="Calibri"/>
          <w:sz w:val="24"/>
          <w:szCs w:val="24"/>
          <w:lang w:eastAsia="en-US"/>
        </w:rPr>
        <w:t xml:space="preserve"> nekā atspēko aizdomas par to, ka maksātnespējas shēmu piesegšan</w:t>
      </w:r>
      <w:r w:rsidR="002A71D4" w:rsidRPr="00327DAE">
        <w:rPr>
          <w:rFonts w:eastAsia="Calibri"/>
          <w:sz w:val="24"/>
          <w:szCs w:val="24"/>
          <w:lang w:eastAsia="en-US"/>
        </w:rPr>
        <w:t>ā</w:t>
      </w:r>
      <w:r w:rsidRPr="00327DAE">
        <w:rPr>
          <w:rFonts w:eastAsia="Calibri"/>
          <w:sz w:val="24"/>
          <w:szCs w:val="24"/>
          <w:lang w:eastAsia="en-US"/>
        </w:rPr>
        <w:t xml:space="preserve"> tomēr varētu būt iesaistīti atsevišķi publikācijā minētie tiesneši</w:t>
      </w:r>
      <w:proofErr w:type="gramEnd"/>
      <w:r w:rsidR="00371D20">
        <w:rPr>
          <w:rFonts w:eastAsia="Calibri"/>
          <w:sz w:val="24"/>
          <w:szCs w:val="24"/>
          <w:lang w:eastAsia="en-US"/>
        </w:rPr>
        <w:t>.</w:t>
      </w:r>
      <w:r w:rsidRPr="00327DAE">
        <w:rPr>
          <w:rFonts w:eastAsia="Calibri"/>
          <w:sz w:val="24"/>
          <w:szCs w:val="24"/>
          <w:lang w:eastAsia="en-US"/>
        </w:rPr>
        <w:t xml:space="preserve"> </w:t>
      </w:r>
    </w:p>
    <w:p w14:paraId="444AE3D5" w14:textId="67006135"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Tiesneši, kuru darbības rada aizdomas</w:t>
      </w:r>
      <w:r w:rsidR="00371D20">
        <w:rPr>
          <w:rFonts w:eastAsia="Calibri"/>
          <w:sz w:val="24"/>
          <w:szCs w:val="24"/>
          <w:lang w:eastAsia="en-US"/>
        </w:rPr>
        <w:t>,</w:t>
      </w:r>
      <w:r w:rsidRPr="00327DAE">
        <w:rPr>
          <w:rFonts w:eastAsia="Calibri"/>
          <w:sz w:val="24"/>
          <w:szCs w:val="24"/>
          <w:lang w:eastAsia="en-US"/>
        </w:rPr>
        <w:t xml:space="preserve"> ir R. Buls, V. </w:t>
      </w:r>
      <w:proofErr w:type="spellStart"/>
      <w:r w:rsidRPr="00327DAE">
        <w:rPr>
          <w:rFonts w:eastAsia="Calibri"/>
          <w:sz w:val="24"/>
          <w:szCs w:val="24"/>
          <w:lang w:eastAsia="en-US"/>
        </w:rPr>
        <w:t>Grebežniece</w:t>
      </w:r>
      <w:proofErr w:type="spellEnd"/>
      <w:r w:rsidRPr="00327DAE">
        <w:rPr>
          <w:rFonts w:eastAsia="Calibri"/>
          <w:sz w:val="24"/>
          <w:szCs w:val="24"/>
          <w:lang w:eastAsia="en-US"/>
        </w:rPr>
        <w:t xml:space="preserve"> un J. </w:t>
      </w:r>
      <w:proofErr w:type="spellStart"/>
      <w:r w:rsidRPr="00327DAE">
        <w:rPr>
          <w:rFonts w:eastAsia="Calibri"/>
          <w:sz w:val="24"/>
          <w:szCs w:val="24"/>
          <w:lang w:eastAsia="en-US"/>
        </w:rPr>
        <w:t>Zaškina</w:t>
      </w:r>
      <w:proofErr w:type="spellEnd"/>
      <w:r w:rsidRPr="00327DAE">
        <w:rPr>
          <w:rFonts w:eastAsia="Calibri"/>
          <w:sz w:val="24"/>
          <w:szCs w:val="24"/>
          <w:lang w:eastAsia="en-US"/>
        </w:rPr>
        <w:t>. Jo vairāki apstākļi liecina, ka pieteicēji varētu būt mērķtiecīgi mēģinājuši panākt lietas skatīšanu pie šiem tiesnešiem, savukārt šie tiesneši ir konsekventi lēmuši par labu pieteicējiem situācijās (gan atklāti pārkāpjot likumu, gan izvēloties pieteicējam labvēlīgu interpretāciju strīdīgos jautājumos). Saprātīgam vērot</w:t>
      </w:r>
      <w:r w:rsidR="00371D20">
        <w:rPr>
          <w:rFonts w:eastAsia="Calibri"/>
          <w:sz w:val="24"/>
          <w:szCs w:val="24"/>
          <w:lang w:eastAsia="en-US"/>
        </w:rPr>
        <w:t>ā</w:t>
      </w:r>
      <w:r w:rsidRPr="00327DAE">
        <w:rPr>
          <w:rFonts w:eastAsia="Calibri"/>
          <w:sz w:val="24"/>
          <w:szCs w:val="24"/>
          <w:lang w:eastAsia="en-US"/>
        </w:rPr>
        <w:t>jam no malas aizdomas var radīt arī divi tiesneses V.</w:t>
      </w:r>
      <w:r w:rsidR="00371D20">
        <w:rPr>
          <w:rFonts w:eastAsia="Calibri"/>
          <w:sz w:val="24"/>
          <w:szCs w:val="24"/>
          <w:lang w:eastAsia="en-US"/>
        </w:rPr>
        <w:t> </w:t>
      </w:r>
      <w:r w:rsidRPr="00327DAE">
        <w:rPr>
          <w:rFonts w:eastAsia="Calibri"/>
          <w:sz w:val="24"/>
          <w:szCs w:val="24"/>
          <w:lang w:eastAsia="en-US"/>
        </w:rPr>
        <w:t>Gailītes lēmumi, ar kuriem ir akceptēta acīmredzami negodprātīga lietas dalībnieku rīcība.</w:t>
      </w:r>
    </w:p>
    <w:p w14:paraId="08134B95" w14:textId="149E1B48"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Lietu izpētes gaitā apstiprinājās aizdomas, ka atsevišķās lietās pieteicēji ir apzināti mainījuši juridiskās adreses, lai panāktu sev vēlamo tiesu piekritību (nešaubīgi tas ir attiecībā uz Siguldas un Ogres tiesu (attiecīgi tiesnese V. </w:t>
      </w:r>
      <w:proofErr w:type="spellStart"/>
      <w:r w:rsidRPr="00327DAE">
        <w:rPr>
          <w:rFonts w:eastAsia="Calibri"/>
          <w:sz w:val="24"/>
          <w:szCs w:val="24"/>
          <w:lang w:eastAsia="en-US"/>
        </w:rPr>
        <w:t>Grebežniece</w:t>
      </w:r>
      <w:proofErr w:type="spellEnd"/>
      <w:r w:rsidRPr="00327DAE">
        <w:rPr>
          <w:rFonts w:eastAsia="Calibri"/>
          <w:sz w:val="24"/>
          <w:szCs w:val="24"/>
          <w:lang w:eastAsia="en-US"/>
        </w:rPr>
        <w:t xml:space="preserve"> un tiesnesis D. Plaudis)</w:t>
      </w:r>
      <w:r w:rsidR="00371D20">
        <w:rPr>
          <w:rFonts w:eastAsia="Calibri"/>
          <w:sz w:val="24"/>
          <w:szCs w:val="24"/>
          <w:lang w:eastAsia="en-US"/>
        </w:rPr>
        <w:t>)</w:t>
      </w:r>
      <w:r w:rsidRPr="00327DAE">
        <w:rPr>
          <w:rFonts w:eastAsia="Calibri"/>
          <w:sz w:val="24"/>
          <w:szCs w:val="24"/>
          <w:lang w:eastAsia="en-US"/>
        </w:rPr>
        <w:t>. Sistemātiskums, lielais gadījumu skaits salīdzinoši īsā laika periodā, kā arī vienas un tās pašas iesaistītās personas nedod iespēju rast nevienu citu kaut cik racionālu skaidrojumu. Tāpat nāca klajā fakti par to, kā lietas dalībnieki nepārprotami bija veikuši darbības, lai vienas tiesas ietvaros panāktu lietas izskatīšanu pie kāda no tiesnešiem</w:t>
      </w:r>
      <w:r w:rsidR="00371D20">
        <w:rPr>
          <w:rFonts w:eastAsia="Calibri"/>
          <w:sz w:val="24"/>
          <w:szCs w:val="24"/>
          <w:lang w:eastAsia="en-US"/>
        </w:rPr>
        <w:t>,</w:t>
      </w:r>
      <w:r w:rsidRPr="00327DAE">
        <w:rPr>
          <w:rFonts w:eastAsia="Calibri"/>
          <w:sz w:val="24"/>
          <w:szCs w:val="24"/>
          <w:lang w:eastAsia="en-US"/>
        </w:rPr>
        <w:t xml:space="preserve"> un vairāki netieši pierādījumi liecināja, ka tā varētu būt bijusi tiesnese J. </w:t>
      </w:r>
      <w:proofErr w:type="spellStart"/>
      <w:r w:rsidRPr="00327DAE">
        <w:rPr>
          <w:rFonts w:eastAsia="Calibri"/>
          <w:sz w:val="24"/>
          <w:szCs w:val="24"/>
          <w:lang w:eastAsia="en-US"/>
        </w:rPr>
        <w:t>Zaškina</w:t>
      </w:r>
      <w:proofErr w:type="spellEnd"/>
      <w:r w:rsidRPr="00327DAE">
        <w:rPr>
          <w:rFonts w:eastAsia="Calibri"/>
          <w:sz w:val="24"/>
          <w:szCs w:val="24"/>
          <w:lang w:eastAsia="en-US"/>
        </w:rPr>
        <w:t xml:space="preserve"> Latgales priekšpilsētas tiesā. Lai gan ekspertiem nav nedz kompetences, nedz instrumentu pilnībā noskaidrot šo lietu apstākļus, šis ir nopietns signāls tiesu sistēmai pārbaudīt gan apstākļus, kas ir saistīti ar konkrētajiem tiesnešiem (t.sk. iespējams lietās, kuras eksperti nevērtēja), gan arī pārbaudīt, vai līdzīgi gadījumi nav bijuši citās tiesās/citiem tiesnešiem. Lai gan pieteicēju adreses maiņa, ja tā veikta tiesas piekritības dēļ, atrauti no lietas apstākļiem</w:t>
      </w:r>
      <w:r w:rsidR="00371D20">
        <w:rPr>
          <w:rFonts w:eastAsia="Calibri"/>
          <w:sz w:val="24"/>
          <w:szCs w:val="24"/>
          <w:lang w:eastAsia="en-US"/>
        </w:rPr>
        <w:t>,</w:t>
      </w:r>
      <w:r w:rsidRPr="00327DAE">
        <w:rPr>
          <w:rFonts w:eastAsia="Calibri"/>
          <w:sz w:val="24"/>
          <w:szCs w:val="24"/>
          <w:lang w:eastAsia="en-US"/>
        </w:rPr>
        <w:t xml:space="preserve"> vēl nepierāda tiesneša </w:t>
      </w:r>
      <w:proofErr w:type="spellStart"/>
      <w:r w:rsidRPr="00327DAE">
        <w:rPr>
          <w:rFonts w:eastAsia="Calibri"/>
          <w:sz w:val="24"/>
          <w:szCs w:val="24"/>
          <w:lang w:eastAsia="en-US"/>
        </w:rPr>
        <w:t>negodprātību</w:t>
      </w:r>
      <w:proofErr w:type="spellEnd"/>
      <w:r w:rsidRPr="00327DAE">
        <w:rPr>
          <w:rFonts w:eastAsia="Calibri"/>
          <w:sz w:val="24"/>
          <w:szCs w:val="24"/>
          <w:lang w:eastAsia="en-US"/>
        </w:rPr>
        <w:t>, tomēr katrs šāds gadījums tiesu sistēmai būtu jāuztver ļoti nopietni un jāveic rūpīga pārbaude, lai novērstu jebkādas šaubas par attiecīgo tiesnešu objektivitāti un godaprātu.</w:t>
      </w:r>
    </w:p>
    <w:p w14:paraId="0F574962" w14:textId="77777777" w:rsidR="004546C7" w:rsidRPr="00327DAE" w:rsidRDefault="004546C7" w:rsidP="0025317F">
      <w:pPr>
        <w:widowControl/>
        <w:adjustRightInd/>
        <w:spacing w:after="120"/>
        <w:textAlignment w:val="auto"/>
        <w:rPr>
          <w:rFonts w:eastAsia="Calibri"/>
          <w:sz w:val="24"/>
          <w:szCs w:val="24"/>
          <w:lang w:eastAsia="en-US"/>
        </w:rPr>
      </w:pPr>
    </w:p>
    <w:p w14:paraId="22A6DF3D" w14:textId="1BAC9E18" w:rsidR="004546C7" w:rsidRPr="00327DAE" w:rsidRDefault="004546C7" w:rsidP="0025317F">
      <w:pPr>
        <w:pStyle w:val="Heading2"/>
        <w:rPr>
          <w:rFonts w:cs="Times New Roman"/>
          <w:szCs w:val="24"/>
          <w:lang w:eastAsia="en-US"/>
        </w:rPr>
      </w:pPr>
      <w:bookmarkStart w:id="11" w:name="_Toc522527487"/>
      <w:r w:rsidRPr="00327DAE">
        <w:rPr>
          <w:rFonts w:cs="Times New Roman"/>
          <w:szCs w:val="24"/>
          <w:lang w:eastAsia="en-US"/>
        </w:rPr>
        <w:t>Dr. </w:t>
      </w:r>
      <w:proofErr w:type="spellStart"/>
      <w:r w:rsidRPr="00327DAE">
        <w:rPr>
          <w:rFonts w:cs="Times New Roman"/>
          <w:szCs w:val="24"/>
          <w:lang w:eastAsia="en-US"/>
        </w:rPr>
        <w:t>iur</w:t>
      </w:r>
      <w:proofErr w:type="spellEnd"/>
      <w:r w:rsidRPr="00327DAE">
        <w:rPr>
          <w:rFonts w:cs="Times New Roman"/>
          <w:szCs w:val="24"/>
          <w:lang w:eastAsia="en-US"/>
        </w:rPr>
        <w:t>. M</w:t>
      </w:r>
      <w:r w:rsidR="006F6917">
        <w:rPr>
          <w:rFonts w:cs="Times New Roman"/>
          <w:szCs w:val="24"/>
          <w:lang w:eastAsia="en-US"/>
        </w:rPr>
        <w:t>. </w:t>
      </w:r>
      <w:r w:rsidRPr="00327DAE">
        <w:rPr>
          <w:rFonts w:cs="Times New Roman"/>
          <w:szCs w:val="24"/>
          <w:lang w:eastAsia="en-US"/>
        </w:rPr>
        <w:t>Paparinska komentārs</w:t>
      </w:r>
      <w:bookmarkEnd w:id="11"/>
      <w:r w:rsidRPr="00327DAE">
        <w:rPr>
          <w:rFonts w:cs="Times New Roman"/>
          <w:szCs w:val="24"/>
          <w:lang w:eastAsia="en-US"/>
        </w:rPr>
        <w:t xml:space="preserve"> </w:t>
      </w:r>
    </w:p>
    <w:p w14:paraId="18E25FC0" w14:textId="77777777"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Esmu pagodināts par to, ka Augstākā tiesa saskaņā ar Tieslietu padomes 2018. gada 5. februāra lēmuma Nr. 47 1. punktu izvēlējās piesaistīt mani tieslietu eksperta statusā maksātnespējas procesu tiesvedību vērtējumam. </w:t>
      </w:r>
      <w:r>
        <w:rPr>
          <w:rFonts w:eastAsia="Calibri"/>
          <w:sz w:val="24"/>
          <w:szCs w:val="24"/>
          <w:lang w:eastAsia="en-US"/>
        </w:rPr>
        <w:t>Man ir jāizdara atruna, ka e</w:t>
      </w:r>
      <w:r w:rsidRPr="00327DAE">
        <w:rPr>
          <w:rFonts w:eastAsia="Calibri"/>
          <w:sz w:val="24"/>
          <w:szCs w:val="24"/>
          <w:lang w:eastAsia="en-US"/>
        </w:rPr>
        <w:t xml:space="preserve">s neesmu tieši maksātnespējas jomas eksperts, tādēļ neizteikšos ne par jautājumiem, kuros šīs jomas eksperti bija vienisprātis, ne arī par tiem, kuros viņu viedokļi atšķiras, proti, ne par secinājumiem, ne par rekomendāciju Tieslietu padomei, ne par konkrētiem nolēmumiem. Mans </w:t>
      </w:r>
      <w:r>
        <w:rPr>
          <w:rFonts w:eastAsia="Calibri"/>
          <w:sz w:val="24"/>
          <w:szCs w:val="24"/>
          <w:lang w:eastAsia="en-US"/>
        </w:rPr>
        <w:t xml:space="preserve">pienesums šim ziņojumam </w:t>
      </w:r>
      <w:r w:rsidRPr="00327DAE">
        <w:rPr>
          <w:rFonts w:eastAsia="Calibri"/>
          <w:sz w:val="24"/>
          <w:szCs w:val="24"/>
          <w:lang w:eastAsia="en-US"/>
        </w:rPr>
        <w:t xml:space="preserve">aprobežosies ar </w:t>
      </w:r>
      <w:r>
        <w:rPr>
          <w:rFonts w:eastAsia="Calibri"/>
          <w:sz w:val="24"/>
          <w:szCs w:val="24"/>
          <w:lang w:eastAsia="en-US"/>
        </w:rPr>
        <w:t xml:space="preserve">šajās rindkopās ieskicētajām </w:t>
      </w:r>
      <w:r w:rsidRPr="00327DAE">
        <w:rPr>
          <w:rFonts w:eastAsia="Calibri"/>
          <w:sz w:val="24"/>
          <w:szCs w:val="24"/>
          <w:lang w:eastAsia="en-US"/>
        </w:rPr>
        <w:t xml:space="preserve">vispārējām piezīmēm par maksātnespējas procesu tiesvedību vērtējumu.  </w:t>
      </w:r>
    </w:p>
    <w:p w14:paraId="3F7FF5A2" w14:textId="77777777"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Atskaites punkts ir tiesas neatkarības princips. Starptautiskās un konstitucionālās cilvēktiesību normas attiecībā uz tiesas neatkarību būtiski ierobežo valsts rīcības brīvību situācijā, kas var tikt uztverta kā likumdevēja vai izpildvaras iejaukšanās tiesas darbā.</w:t>
      </w:r>
      <w:r w:rsidRPr="00327DAE">
        <w:rPr>
          <w:rStyle w:val="FootnoteReference"/>
          <w:sz w:val="24"/>
          <w:szCs w:val="24"/>
        </w:rPr>
        <w:footnoteReference w:id="1"/>
      </w:r>
      <w:r w:rsidRPr="00327DAE">
        <w:rPr>
          <w:rFonts w:eastAsia="Calibri"/>
          <w:sz w:val="24"/>
          <w:szCs w:val="24"/>
          <w:lang w:eastAsia="en-US"/>
        </w:rPr>
        <w:t xml:space="preserve"> Parasti tiesas spriešana un process netiek pārbaudīti no ārpuses. Maksātnespējas </w:t>
      </w:r>
      <w:r w:rsidRPr="00327DAE">
        <w:rPr>
          <w:rFonts w:eastAsia="Calibri"/>
          <w:sz w:val="24"/>
          <w:szCs w:val="24"/>
          <w:lang w:eastAsia="en-US"/>
        </w:rPr>
        <w:lastRenderedPageBreak/>
        <w:t>procesa vērtēšana ir jauns risinājums Latvijas tiesu sistēmā (un, no malas vērtējot, savdabīga procesa kompromisa rezultāts). Tomēr jebkurā gadījumā, ja Tieslietu padome vai citas institūcijas piešķirs juridisku vērtību vērtējumam un pieņems lēmumus uz tā pamata, tām būs jāņem vērā arī piemērojamās starptautisko un konstitucionālo tiesību normas.</w:t>
      </w:r>
    </w:p>
    <w:p w14:paraId="2AFF1A20" w14:textId="77777777" w:rsidR="002D2E20" w:rsidRPr="002A3963" w:rsidRDefault="002D2E20" w:rsidP="002D2E20">
      <w:pPr>
        <w:widowControl/>
        <w:adjustRightInd/>
        <w:spacing w:after="120"/>
        <w:textAlignment w:val="auto"/>
        <w:rPr>
          <w:rFonts w:eastAsia="Calibri"/>
          <w:sz w:val="24"/>
          <w:szCs w:val="24"/>
          <w:lang w:eastAsia="en-US"/>
        </w:rPr>
      </w:pPr>
      <w:r w:rsidRPr="002A3963">
        <w:rPr>
          <w:rFonts w:eastAsia="Calibri"/>
          <w:sz w:val="24"/>
          <w:szCs w:val="24"/>
          <w:lang w:eastAsia="en-US"/>
        </w:rPr>
        <w:t>Viens iespējams risks ir t.s. slidenās pakalnes princips. Es negribu tikt pārprasts: maksātnespējas joma nav situācija, kurā būtu runa par plašsaziņas līdzekļos izskanošu pārspīlētu kritiku, kas būtu pievērsta spriedumiem, kas ir labvēlīgi politiski, ekonomiski, juridiski vai kā citādi marginalizētām personām vai to interesēm. Tomēr Tieslietu padomes lietotais formulējums (‘[</w:t>
      </w:r>
      <w:proofErr w:type="spellStart"/>
      <w:r w:rsidRPr="002A3963">
        <w:rPr>
          <w:rFonts w:eastAsia="Calibri"/>
          <w:sz w:val="24"/>
          <w:szCs w:val="24"/>
          <w:lang w:eastAsia="en-US"/>
        </w:rPr>
        <w:t>v]ērtējot</w:t>
      </w:r>
      <w:proofErr w:type="spellEnd"/>
      <w:r w:rsidRPr="002A3963">
        <w:rPr>
          <w:rFonts w:eastAsia="Calibri"/>
          <w:sz w:val="24"/>
          <w:szCs w:val="24"/>
          <w:lang w:eastAsia="en-US"/>
        </w:rPr>
        <w:t xml:space="preserve"> publiskajā telpā izskanējušo kritiku par</w:t>
      </w:r>
      <w:proofErr w:type="gramStart"/>
      <w:r w:rsidRPr="002A3963">
        <w:rPr>
          <w:rFonts w:eastAsia="Calibri"/>
          <w:sz w:val="24"/>
          <w:szCs w:val="24"/>
          <w:lang w:eastAsia="en-US"/>
        </w:rPr>
        <w:t xml:space="preserve"> .</w:t>
      </w:r>
      <w:proofErr w:type="gramEnd"/>
      <w:r w:rsidRPr="002A3963">
        <w:rPr>
          <w:rFonts w:eastAsia="Calibri"/>
          <w:sz w:val="24"/>
          <w:szCs w:val="24"/>
          <w:lang w:eastAsia="en-US"/>
        </w:rPr>
        <w:t>.. tiesvedību’) ir plašs, un šķietami izvirza tēzi, ka kritika plašsaziņas līdzekļos pati par sevi ir iemesls tiesas procesa pamatotību izvērtēt ārpus tradicionālās tiesu varas struktūras. Šeit ir jāsamēro vairāki apsvērumi. No vienas puses, a</w:t>
      </w:r>
      <w:r w:rsidRPr="002A3963">
        <w:rPr>
          <w:sz w:val="24"/>
          <w:szCs w:val="24"/>
        </w:rPr>
        <w:t>tklāta un kritiska diskusija par valstij un sabiedrībai svarīgiem juridiskiem jautājumiem, tajā skaitā izmantojot preses brīvību plašsaziņas līdzekļos, ir ikdienišķa un sagaidāma tiesiskas valsts sastāvdaļa. Ar ļoti retiem izņēmumiem,</w:t>
      </w:r>
      <w:r w:rsidRPr="002A3963">
        <w:rPr>
          <w:rStyle w:val="FootnoteReference"/>
          <w:sz w:val="24"/>
          <w:szCs w:val="24"/>
        </w:rPr>
        <w:footnoteReference w:id="2"/>
      </w:r>
      <w:r w:rsidRPr="002A3963">
        <w:rPr>
          <w:sz w:val="24"/>
          <w:szCs w:val="24"/>
        </w:rPr>
        <w:t xml:space="preserve"> šāda diskusija ir vērtējama pozitīvi. No otras puses, t</w:t>
      </w:r>
      <w:r w:rsidRPr="002A3963">
        <w:rPr>
          <w:rFonts w:eastAsia="Calibri"/>
          <w:sz w:val="24"/>
          <w:szCs w:val="24"/>
          <w:lang w:eastAsia="en-US"/>
        </w:rPr>
        <w:t>iesu spriedumi ir bieži labvēlīgi publiskajā telpā nepopulārām personām, piemēram, lietās par cilvēktiesībām vai valsts drošību, un plašsaziņas līdzekļi dažkārt pat ļoti asi kritizē šādus nolēmumus. Neskatoties uz to, ja tiesa ir spriesta atbilstoši Satversmes un tiesiskas valsts prasībām, tad publiskā telpā izskanošā kritika nav iemesls tos apšaubīt.</w:t>
      </w:r>
      <w:r w:rsidRPr="002A3963">
        <w:rPr>
          <w:rStyle w:val="FootnoteReference"/>
          <w:sz w:val="24"/>
          <w:szCs w:val="24"/>
        </w:rPr>
        <w:footnoteReference w:id="3"/>
      </w:r>
      <w:r w:rsidRPr="002A3963">
        <w:rPr>
          <w:rFonts w:eastAsia="Calibri"/>
          <w:sz w:val="24"/>
          <w:szCs w:val="24"/>
          <w:lang w:eastAsia="en-US"/>
        </w:rPr>
        <w:t xml:space="preserve"> Galvenā tēze ir, ka jāspēj nošķirt tās lietas, kurās tiesa ir spriesta atbilstoši Satversmes un tiesiskas valsts prasībām, process ir bijis taisnīgs un rezultāts ir taisnīgs, pat ja tas ir nepopulārs, no situācijām, kur plašsaziņas līdzekļi izsaka pamatotas aizdomas par sistēmiskām tiesiskuma un taisnīguma problēmām. </w:t>
      </w:r>
    </w:p>
    <w:p w14:paraId="179A020A" w14:textId="77777777" w:rsidR="002D2E20"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Sabiedrības cieņa pret tiesībām un tiesas procesu ir būtiska vērtība, kas nav automātiska un garantēta pat vispārēji tiesiskā un taisnīgā valstī.</w:t>
      </w:r>
      <w:r w:rsidRPr="00327DAE">
        <w:rPr>
          <w:rStyle w:val="FootnoteReference"/>
          <w:sz w:val="24"/>
          <w:szCs w:val="24"/>
        </w:rPr>
        <w:footnoteReference w:id="4"/>
      </w:r>
      <w:r w:rsidRPr="00327DAE">
        <w:rPr>
          <w:rFonts w:eastAsia="Calibri"/>
          <w:sz w:val="24"/>
          <w:szCs w:val="24"/>
          <w:lang w:eastAsia="en-US"/>
        </w:rPr>
        <w:t xml:space="preserve"> Dažādās tiesību sistēmās un nozarēs tiesas procesa cieņas stiprinājuma tehniskais mehānisms var būt dažāds, un dažkārt piemērotākais risinājums ir lūgt izteikt vērtējumu par tiesas procesa pamatotību arī tām personām, kas stāv ārpus tradicionālās tiesu varas struktūras, kā to šajā gadījumā ir lēmusi Tieslietu padome. Šo tēzi var ilustrēt ar piemēru no pavisam citas tiesību sistēmas un nozares </w:t>
      </w:r>
      <w:r>
        <w:rPr>
          <w:rFonts w:eastAsia="Calibri"/>
          <w:sz w:val="24"/>
          <w:szCs w:val="24"/>
          <w:lang w:eastAsia="en-US"/>
        </w:rPr>
        <w:t>–</w:t>
      </w:r>
      <w:r w:rsidRPr="00327DAE">
        <w:rPr>
          <w:rFonts w:eastAsia="Calibri"/>
          <w:sz w:val="24"/>
          <w:szCs w:val="24"/>
          <w:lang w:eastAsia="en-US"/>
        </w:rPr>
        <w:t xml:space="preserve"> starptautiskās ieguldījumu aizsardzības tiesības ir starptautisko publisko tiesību nozare, kuras pieeja starptautiskajai tiesvedībai ir tikusi dažkārt kritizēta. Šobrīd ieguldījumu strīdu risināšanas aizsardzības reforma tiek diskutēta tradicionālajā starpvalstu forumā (UNCITRAL), bet paralēli Ieguldījumu aizsardzības tiesību akadēmiskais forums gatavo ziņojumu projektus par nolēmumu pamatotību un konsekvenci.</w:t>
      </w:r>
      <w:r w:rsidRPr="00327DAE">
        <w:rPr>
          <w:rStyle w:val="FootnoteReference"/>
          <w:sz w:val="24"/>
          <w:szCs w:val="24"/>
        </w:rPr>
        <w:footnoteReference w:id="5"/>
      </w:r>
      <w:r w:rsidRPr="00327DAE">
        <w:rPr>
          <w:sz w:val="24"/>
          <w:szCs w:val="24"/>
        </w:rPr>
        <w:t xml:space="preserve"> </w:t>
      </w:r>
      <w:r w:rsidRPr="00327DAE">
        <w:rPr>
          <w:rFonts w:eastAsia="Calibri"/>
          <w:sz w:val="24"/>
          <w:szCs w:val="24"/>
          <w:lang w:eastAsia="en-US"/>
        </w:rPr>
        <w:t xml:space="preserve">Vērtējot Tieslietu padomes lēmumu šajā gaismā, vēlme izmantot jaunus risinājumus, lai stiprinātu cieņu pret tiesu varu, ir vērtējama pozitīvi. </w:t>
      </w:r>
      <w:r w:rsidRPr="00327DAE">
        <w:rPr>
          <w:rFonts w:eastAsia="Calibri"/>
          <w:sz w:val="24"/>
          <w:szCs w:val="24"/>
          <w:lang w:eastAsia="en-US"/>
        </w:rPr>
        <w:tab/>
      </w:r>
    </w:p>
    <w:p w14:paraId="0A4CE6E5" w14:textId="77777777"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Maksātnespējas procesa vērtēšanas praktiskie aspekti ir līdzīgi vērtējami pozitīvi. Man ir jāatkārto atruna, ka es neesmu maksātnespējas jomas eksperts, turklāt akadēmisku pienākumu dēļ nevarēju piedalīties vairākās sanāksmēs, tādēļ neizteikšu viedokli par secinājumiem pēc būtības. Bet varu teikt, ka vērtēšanas process atbilda taisnīga procesa </w:t>
      </w:r>
      <w:r w:rsidRPr="00327DAE">
        <w:rPr>
          <w:rFonts w:eastAsia="Calibri"/>
          <w:sz w:val="24"/>
          <w:szCs w:val="24"/>
          <w:lang w:eastAsia="en-US"/>
        </w:rPr>
        <w:lastRenderedPageBreak/>
        <w:t xml:space="preserve">pamatprincipiem, ar vērtētāju pieprasīto materiālu izprasīšanu un izvērtēšanu, detalizētu juridisko un institucionālo aspektu izvērtējumu no tiesnešu, izpildvaras un privātprakses perspektīvas, kā arī ar atklātu un godīgu viedokļu apmaiņu, it īpaši par jautājumiem, kuros nebija vienprātības. Anitas </w:t>
      </w:r>
      <w:proofErr w:type="spellStart"/>
      <w:r w:rsidRPr="00327DAE">
        <w:rPr>
          <w:rFonts w:eastAsia="Calibri"/>
          <w:sz w:val="24"/>
          <w:szCs w:val="24"/>
          <w:lang w:eastAsia="en-US"/>
        </w:rPr>
        <w:t>Zikmanes</w:t>
      </w:r>
      <w:proofErr w:type="spellEnd"/>
      <w:r w:rsidRPr="00327DAE">
        <w:rPr>
          <w:rFonts w:eastAsia="Calibri"/>
          <w:sz w:val="24"/>
          <w:szCs w:val="24"/>
          <w:lang w:eastAsia="en-US"/>
        </w:rPr>
        <w:t xml:space="preserve">, Augstākās tiesas Judikatūras un zinātniski analītiskās nodaļas vadītājas, pienesums vērtēšanas tehnisko aspektu organizēšanā ir uzslavas vērts.  </w:t>
      </w:r>
    </w:p>
    <w:p w14:paraId="43428794" w14:textId="77777777"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Visbeidzot, jāatzīmē, ka Tieslietu padomes izvēlētais tehniskais risinājums nav ideāls. Lēmuma </w:t>
      </w:r>
      <w:proofErr w:type="spellStart"/>
      <w:r w:rsidRPr="00327DAE">
        <w:rPr>
          <w:rFonts w:eastAsia="Calibri"/>
          <w:sz w:val="24"/>
          <w:szCs w:val="24"/>
          <w:lang w:eastAsia="en-US"/>
        </w:rPr>
        <w:t>ievadparagrāfa</w:t>
      </w:r>
      <w:proofErr w:type="spellEnd"/>
      <w:r w:rsidRPr="00327DAE">
        <w:rPr>
          <w:rFonts w:eastAsia="Calibri"/>
          <w:sz w:val="24"/>
          <w:szCs w:val="24"/>
          <w:lang w:eastAsia="en-US"/>
        </w:rPr>
        <w:t xml:space="preserve"> un 1. punkta kodolīgais izklāsts nedod atbildi uz daudziem būtiskiem jautājumiem par maksātnespējas procesa vērtēšanas procesu (piemēram, par </w:t>
      </w:r>
      <w:r>
        <w:rPr>
          <w:rFonts w:eastAsia="Calibri"/>
          <w:sz w:val="24"/>
          <w:szCs w:val="24"/>
          <w:lang w:eastAsia="en-US"/>
        </w:rPr>
        <w:t xml:space="preserve">vērtētāju </w:t>
      </w:r>
      <w:r w:rsidRPr="00327DAE">
        <w:rPr>
          <w:rFonts w:eastAsia="Calibri"/>
          <w:sz w:val="24"/>
          <w:szCs w:val="24"/>
          <w:lang w:eastAsia="en-US"/>
        </w:rPr>
        <w:t xml:space="preserve">iecelšanas procedūru un kritērijiem, par tiesībām, pienākumiem un atbildību, par termiņiem, par </w:t>
      </w:r>
      <w:r>
        <w:rPr>
          <w:rFonts w:eastAsia="Calibri"/>
          <w:sz w:val="24"/>
          <w:szCs w:val="24"/>
          <w:lang w:eastAsia="en-US"/>
        </w:rPr>
        <w:t xml:space="preserve">atbildamiem jautājumiem, par </w:t>
      </w:r>
      <w:r w:rsidRPr="00327DAE">
        <w:rPr>
          <w:rFonts w:eastAsia="Calibri"/>
          <w:sz w:val="24"/>
          <w:szCs w:val="24"/>
          <w:lang w:eastAsia="en-US"/>
        </w:rPr>
        <w:t>darba rezultāta juridisko raksturu). Šis risinājums rada gan praktiskas, gan normatīvas problēmas. Praktiskie aspekti ietekmē gan vērtēšanas procesa efektivitāti, gan iespēju turpmāk ņemt vērā šī procesa secinājumus un ieteikumus. Plašākā nozīmē institūciju leģitimitāte balstās citastarp uz to izveidi un darbību noteicošo normu skaidrību,</w:t>
      </w:r>
      <w:r w:rsidRPr="00327DAE">
        <w:rPr>
          <w:rStyle w:val="FootnoteReference"/>
          <w:sz w:val="24"/>
          <w:szCs w:val="24"/>
        </w:rPr>
        <w:footnoteReference w:id="6"/>
      </w:r>
      <w:r w:rsidRPr="00327DAE">
        <w:rPr>
          <w:rFonts w:eastAsia="Calibri"/>
          <w:sz w:val="24"/>
          <w:szCs w:val="24"/>
          <w:lang w:eastAsia="en-US"/>
        </w:rPr>
        <w:t xml:space="preserve"> un Tieslietu padomes lēmuma formulējums ietekmē maksātnespējas procesa vērtēšanas iespējamo devumu cieņas pret tiesu varu stiprināšanā. </w:t>
      </w:r>
      <w:r>
        <w:rPr>
          <w:rFonts w:eastAsia="Calibri"/>
          <w:sz w:val="24"/>
          <w:szCs w:val="24"/>
          <w:lang w:eastAsia="en-US"/>
        </w:rPr>
        <w:t xml:space="preserve">Šī komentāra kopsavilkumā, </w:t>
      </w:r>
      <w:r w:rsidRPr="00327DAE">
        <w:rPr>
          <w:rFonts w:eastAsia="Calibri"/>
          <w:sz w:val="24"/>
          <w:szCs w:val="24"/>
          <w:lang w:eastAsia="en-US"/>
        </w:rPr>
        <w:t xml:space="preserve">Tieslietu padomes lēmuma tehniskais izpildījums būtu varējis būt skaidrāks un izsmeļošāks, pilnīgāk izmantojot padomei likumā “Par tiesu varu” paredzētās plašās pilnvaras, tajā pašā laikā vērtēšanas procesa praktiskais nodrošinājums ir uzslavas vērts, un padomes vēlme stiprināt sabiedrības cieņu pret tiesu varu ir vērtējama </w:t>
      </w:r>
      <w:proofErr w:type="spellStart"/>
      <w:r w:rsidRPr="00327DAE">
        <w:rPr>
          <w:rFonts w:eastAsia="Calibri"/>
          <w:sz w:val="24"/>
          <w:szCs w:val="24"/>
          <w:lang w:eastAsia="en-US"/>
        </w:rPr>
        <w:t>tiesībpolitiski</w:t>
      </w:r>
      <w:proofErr w:type="spellEnd"/>
      <w:r w:rsidRPr="00327DAE">
        <w:rPr>
          <w:rFonts w:eastAsia="Calibri"/>
          <w:sz w:val="24"/>
          <w:szCs w:val="24"/>
          <w:lang w:eastAsia="en-US"/>
        </w:rPr>
        <w:t xml:space="preserve"> pozitīvi.</w:t>
      </w:r>
    </w:p>
    <w:p w14:paraId="7AAEB97A" w14:textId="114471E2" w:rsidR="006B7629" w:rsidRPr="00327DAE" w:rsidRDefault="006B7629" w:rsidP="0025317F">
      <w:pPr>
        <w:widowControl/>
        <w:adjustRightInd/>
        <w:spacing w:after="120"/>
        <w:jc w:val="left"/>
        <w:textAlignment w:val="auto"/>
        <w:rPr>
          <w:rFonts w:eastAsia="Calibri"/>
          <w:sz w:val="24"/>
          <w:szCs w:val="24"/>
          <w:lang w:eastAsia="en-US"/>
        </w:rPr>
      </w:pPr>
      <w:r w:rsidRPr="00327DAE">
        <w:rPr>
          <w:rFonts w:eastAsia="Calibri"/>
          <w:sz w:val="24"/>
          <w:szCs w:val="24"/>
          <w:lang w:eastAsia="en-US"/>
        </w:rPr>
        <w:br w:type="page"/>
      </w:r>
    </w:p>
    <w:p w14:paraId="09D1B283" w14:textId="77777777" w:rsidR="004546C7" w:rsidRPr="00327DAE" w:rsidRDefault="004546C7" w:rsidP="0025317F">
      <w:pPr>
        <w:widowControl/>
        <w:adjustRightInd/>
        <w:spacing w:after="120"/>
        <w:textAlignment w:val="auto"/>
        <w:rPr>
          <w:rFonts w:eastAsia="Calibri"/>
          <w:sz w:val="24"/>
          <w:szCs w:val="24"/>
          <w:lang w:eastAsia="en-US"/>
        </w:rPr>
      </w:pPr>
    </w:p>
    <w:p w14:paraId="1C0E6C24" w14:textId="24903C81" w:rsidR="004546C7" w:rsidRPr="00327DAE" w:rsidRDefault="00C06CD6" w:rsidP="0025317F">
      <w:pPr>
        <w:pStyle w:val="Heading1"/>
        <w:rPr>
          <w:rFonts w:cs="Times New Roman"/>
          <w:szCs w:val="24"/>
          <w:lang w:eastAsia="en-US"/>
        </w:rPr>
      </w:pPr>
      <w:bookmarkStart w:id="12" w:name="_Toc522527488"/>
      <w:r w:rsidRPr="00327DAE">
        <w:rPr>
          <w:rFonts w:cs="Times New Roman"/>
          <w:szCs w:val="24"/>
          <w:lang w:eastAsia="en-US"/>
        </w:rPr>
        <w:t>REKOMENDĀCIJAS TIESLIETU PADOMEI</w:t>
      </w:r>
      <w:bookmarkEnd w:id="12"/>
    </w:p>
    <w:p w14:paraId="650DF252" w14:textId="038A4366" w:rsidR="004546C7" w:rsidRPr="00327DAE" w:rsidRDefault="00953017"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1. </w:t>
      </w:r>
      <w:r w:rsidR="004546C7" w:rsidRPr="00327DAE">
        <w:rPr>
          <w:rFonts w:eastAsia="Calibri"/>
          <w:b/>
          <w:i/>
          <w:sz w:val="24"/>
          <w:szCs w:val="24"/>
          <w:lang w:eastAsia="en-US"/>
        </w:rPr>
        <w:t xml:space="preserve">Kā risināt problēmu, ka tiesu varas ietvaros šajā lietu kategorijā nepastāv parastais tiesu prakses vienādošanas instruments – pārsūdzība augstākas instances (īpaši kasācijas instances) tiesā? </w:t>
      </w:r>
    </w:p>
    <w:p w14:paraId="2BC1FBA2" w14:textId="05A65835" w:rsidR="00A5282C"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Ja likumdevējs ir izšķīries par sistēmu, kurā pārsūdzība nav iespējama un pastāv tikai izņēmuma instruments (protesta iesniegšana), tiesību normu piemērošanas vienādošanai un attīstīšanai īpaša nozīme ir informācijas apmaiņai un tiesību diskusijai tiesu varas iekšienē. Tiesu varai šādām lietu kategorijām ir jāpievērš īpaša uzmanība aktuālo tiesību jautājumu diskusijās ar augstākām instancēm. Ja lietu kategorija nav kopīga rajona tiesām un apgabaltiesām, sadarbībā ar Latvijas tiesnešu mācību centru, iespējams, jāveido īpaši forumi – vismaz rajona tiesas tiesnešu līmenī vai ar Augstākās tiesas tiesnešu piedalīšanos. Tiesu priekšsēdētājiem jābūt </w:t>
      </w:r>
      <w:proofErr w:type="spellStart"/>
      <w:r w:rsidRPr="00327DAE">
        <w:rPr>
          <w:rFonts w:eastAsia="Calibri"/>
          <w:sz w:val="24"/>
          <w:szCs w:val="24"/>
          <w:lang w:eastAsia="en-US"/>
        </w:rPr>
        <w:t>proaktīviem</w:t>
      </w:r>
      <w:proofErr w:type="spellEnd"/>
      <w:r w:rsidRPr="00327DAE">
        <w:rPr>
          <w:rFonts w:eastAsia="Calibri"/>
          <w:sz w:val="24"/>
          <w:szCs w:val="24"/>
          <w:lang w:eastAsia="en-US"/>
        </w:rPr>
        <w:t>, nodrošinot problemātisko jautājumu apzināšanu un diskusiju veidošanu. Tiesu informācijas sistēmas viens no sākotnējiem mērķiem bija – dot iespēju tiesnešiem iepazīties ar tiesu praksi; esošā situācija rada pārdomas, vai tas tiek darīts pietiekami, ja veidojas atšķirīga prakse, bet atšķirība netiek īpaši pamatota, lai trešā persona no malas varētu atšķirīgo pieeju saprast (piemēram, kādēļ vienos gadījumos maksātnespējas administratora atzinums, atsaucoties uz likumu, principā netiek apšaubīts, bet citos tiesa pati uzņemas pārbaudīt maksātnespējas pazīmes un saistību dzēšanas plānu vai citus priekšnoteikumus noteikta lēmuma pieņemšanai).</w:t>
      </w:r>
    </w:p>
    <w:p w14:paraId="4BDF43C7" w14:textId="0764CD9D" w:rsidR="00A5282C" w:rsidRPr="00327DAE" w:rsidRDefault="00A5282C" w:rsidP="0025317F">
      <w:pPr>
        <w:widowControl/>
        <w:adjustRightInd/>
        <w:spacing w:after="120"/>
        <w:textAlignment w:val="auto"/>
        <w:rPr>
          <w:rFonts w:eastAsia="Calibri"/>
          <w:i/>
          <w:sz w:val="24"/>
          <w:szCs w:val="24"/>
          <w:lang w:eastAsia="en-US"/>
        </w:rPr>
      </w:pPr>
      <w:r w:rsidRPr="00642812">
        <w:rPr>
          <w:rFonts w:eastAsia="Calibri"/>
          <w:i/>
          <w:sz w:val="24"/>
          <w:szCs w:val="24"/>
          <w:lang w:eastAsia="en-US"/>
        </w:rPr>
        <w:t>Tiesneses E. </w:t>
      </w:r>
      <w:proofErr w:type="spellStart"/>
      <w:r w:rsidRPr="00642812">
        <w:rPr>
          <w:rFonts w:eastAsia="Calibri"/>
          <w:i/>
          <w:sz w:val="24"/>
          <w:szCs w:val="24"/>
          <w:lang w:eastAsia="en-US"/>
        </w:rPr>
        <w:t>Stivriņas</w:t>
      </w:r>
      <w:proofErr w:type="spellEnd"/>
      <w:r w:rsidRPr="00642812">
        <w:rPr>
          <w:rFonts w:eastAsia="Calibri"/>
          <w:i/>
          <w:sz w:val="24"/>
          <w:szCs w:val="24"/>
          <w:lang w:eastAsia="en-US"/>
        </w:rPr>
        <w:t xml:space="preserve"> komentārs</w:t>
      </w:r>
    </w:p>
    <w:p w14:paraId="7208E9CF" w14:textId="4B9AE73E" w:rsidR="004546C7" w:rsidRDefault="00A5282C" w:rsidP="0025317F">
      <w:pPr>
        <w:widowControl/>
        <w:adjustRightInd/>
        <w:spacing w:after="120"/>
        <w:textAlignment w:val="auto"/>
        <w:rPr>
          <w:rFonts w:eastAsia="Calibri"/>
          <w:sz w:val="24"/>
          <w:szCs w:val="24"/>
          <w:lang w:eastAsia="en-US"/>
        </w:rPr>
      </w:pPr>
      <w:r w:rsidRPr="00327DAE">
        <w:rPr>
          <w:rFonts w:eastAsia="Calibri"/>
          <w:sz w:val="24"/>
          <w:szCs w:val="24"/>
          <w:lang w:eastAsia="en-US"/>
        </w:rPr>
        <w:t>Būtu nepieciešams izveidot īpašu mehānismu, lai pirmās instances tiesas tiesnesis varētu operatīvi iepazīties ar nolēmumiem maksātnespējas lietās. Jo pirmās instances tiesas tiesnesis skata ļoti dažādu kategoriju lietas, un maksātnespējas lietas ir tikai vienas no tām. Šobrīd tiesu inform</w:t>
      </w:r>
      <w:r w:rsidR="00920FE6" w:rsidRPr="00327DAE">
        <w:rPr>
          <w:rFonts w:eastAsia="Calibri"/>
          <w:sz w:val="24"/>
          <w:szCs w:val="24"/>
          <w:lang w:eastAsia="en-US"/>
        </w:rPr>
        <w:t>a</w:t>
      </w:r>
      <w:r w:rsidRPr="00327DAE">
        <w:rPr>
          <w:rFonts w:eastAsia="Calibri"/>
          <w:sz w:val="24"/>
          <w:szCs w:val="24"/>
          <w:lang w:eastAsia="en-US"/>
        </w:rPr>
        <w:t>tīvās sist</w:t>
      </w:r>
      <w:r w:rsidR="00920FE6" w:rsidRPr="00327DAE">
        <w:rPr>
          <w:rFonts w:eastAsia="Calibri"/>
          <w:sz w:val="24"/>
          <w:szCs w:val="24"/>
          <w:lang w:eastAsia="en-US"/>
        </w:rPr>
        <w:t>ē</w:t>
      </w:r>
      <w:r w:rsidRPr="00327DAE">
        <w:rPr>
          <w:rFonts w:eastAsia="Calibri"/>
          <w:sz w:val="24"/>
          <w:szCs w:val="24"/>
          <w:lang w:eastAsia="en-US"/>
        </w:rPr>
        <w:t>mas dotā iespēja iepazīties ar citu tiesnešu pieņemtajiem lēmumiem prasa daudz laika, turklāt atlasīto nolēmumu klāsts ir atkarīgs no uzdotiem atlases kritērijiem. Pēc šīs atlases sistēmas ir neiespējami pateikt, vai tiesu prakse ir vienota</w:t>
      </w:r>
      <w:r w:rsidR="00BA11C9">
        <w:rPr>
          <w:rFonts w:eastAsia="Calibri"/>
          <w:sz w:val="24"/>
          <w:szCs w:val="24"/>
          <w:lang w:eastAsia="en-US"/>
        </w:rPr>
        <w:t>,</w:t>
      </w:r>
      <w:r w:rsidRPr="00327DAE">
        <w:rPr>
          <w:rFonts w:eastAsia="Calibri"/>
          <w:sz w:val="24"/>
          <w:szCs w:val="24"/>
          <w:lang w:eastAsia="en-US"/>
        </w:rPr>
        <w:t xml:space="preserve"> un</w:t>
      </w:r>
      <w:r w:rsidR="00BA11C9">
        <w:rPr>
          <w:rFonts w:eastAsia="Calibri"/>
          <w:sz w:val="24"/>
          <w:szCs w:val="24"/>
          <w:lang w:eastAsia="en-US"/>
        </w:rPr>
        <w:t>,</w:t>
      </w:r>
      <w:r w:rsidRPr="00327DAE">
        <w:rPr>
          <w:rFonts w:eastAsia="Calibri"/>
          <w:sz w:val="24"/>
          <w:szCs w:val="24"/>
          <w:lang w:eastAsia="en-US"/>
        </w:rPr>
        <w:t xml:space="preserve"> lai pateiktu, kāda ir tiesu pra</w:t>
      </w:r>
      <w:r w:rsidR="00920FE6" w:rsidRPr="00327DAE">
        <w:rPr>
          <w:rFonts w:eastAsia="Calibri"/>
          <w:sz w:val="24"/>
          <w:szCs w:val="24"/>
          <w:lang w:eastAsia="en-US"/>
        </w:rPr>
        <w:t>k</w:t>
      </w:r>
      <w:r w:rsidRPr="00327DAE">
        <w:rPr>
          <w:rFonts w:eastAsia="Calibri"/>
          <w:sz w:val="24"/>
          <w:szCs w:val="24"/>
          <w:lang w:eastAsia="en-US"/>
        </w:rPr>
        <w:t>se</w:t>
      </w:r>
      <w:r w:rsidR="00BA11C9">
        <w:rPr>
          <w:rFonts w:eastAsia="Calibri"/>
          <w:sz w:val="24"/>
          <w:szCs w:val="24"/>
          <w:lang w:eastAsia="en-US"/>
        </w:rPr>
        <w:t>,</w:t>
      </w:r>
      <w:r w:rsidRPr="00327DAE">
        <w:rPr>
          <w:rFonts w:eastAsia="Calibri"/>
          <w:sz w:val="24"/>
          <w:szCs w:val="24"/>
          <w:lang w:eastAsia="en-US"/>
        </w:rPr>
        <w:t xml:space="preserve"> ir jāatver un jāizlasa vairāki nolēmumi.</w:t>
      </w:r>
    </w:p>
    <w:p w14:paraId="56B15479" w14:textId="77777777" w:rsidR="00150D81" w:rsidRPr="00327DAE" w:rsidRDefault="00150D81" w:rsidP="0025317F">
      <w:pPr>
        <w:widowControl/>
        <w:adjustRightInd/>
        <w:spacing w:after="120"/>
        <w:textAlignment w:val="auto"/>
        <w:rPr>
          <w:rFonts w:eastAsia="Calibri"/>
          <w:sz w:val="24"/>
          <w:szCs w:val="24"/>
          <w:lang w:eastAsia="en-US"/>
        </w:rPr>
      </w:pPr>
    </w:p>
    <w:p w14:paraId="3D03C797" w14:textId="77777777" w:rsidR="00B462B1" w:rsidRPr="00327DAE" w:rsidRDefault="00B462B1"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2. Tiesu varas spēja reaģēt uz iespējami nepieļaujami nekvalitatīvu vai negodprātīgu tiesas spriešanu </w:t>
      </w:r>
    </w:p>
    <w:p w14:paraId="1493F2A6" w14:textId="550CC52B" w:rsidR="00670963"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Kas attiecas uz tiesu sistēmas līdzšinējo spēju reaģēt uz nekvalitatīviem vai, iespējams, neobjektīviem tiesu nolēmumiem, kā arī uz varbūtēju tiesu sistēmas reaģēšanu nākotnē, ir vienmēr jāpatur prātā ierobežojumi, kas izriet no tiesu neatkarības principa. Konkrētu kļūdu labošanai ir paredzēta noteikta procesuālā kārtība (pārsūdzība, protesti), savukārt vēršanās pret tiesnesi ir pieļaujama tikai likumā paredzētajos gadījumos un kārtībā. Būtībā tas nozīmē novērtēt, vai tiesnešu pašpārvaldes institūcijas ir spējušas pienācīgi reaģēt iepriekš un vai būtu uzlabojama to darbība nākotnē, lai radītu sabiedrībā paļāvību, ka tiesu sistēma rūpējas </w:t>
      </w:r>
      <w:r w:rsidR="00670963" w:rsidRPr="00327DAE">
        <w:rPr>
          <w:rFonts w:eastAsia="Calibri"/>
          <w:sz w:val="24"/>
          <w:szCs w:val="24"/>
          <w:lang w:eastAsia="en-US"/>
        </w:rPr>
        <w:t>par kvalifikāciju un godaprātu.</w:t>
      </w:r>
    </w:p>
    <w:p w14:paraId="6A5326C9" w14:textId="7C424A25" w:rsidR="004546C7" w:rsidRPr="0025317F" w:rsidRDefault="00670963" w:rsidP="00150D81">
      <w:pPr>
        <w:widowControl/>
        <w:adjustRightInd/>
        <w:spacing w:after="120"/>
        <w:ind w:left="720"/>
        <w:textAlignment w:val="auto"/>
        <w:rPr>
          <w:rFonts w:eastAsia="Calibri"/>
          <w:b/>
          <w:i/>
          <w:sz w:val="24"/>
          <w:szCs w:val="24"/>
          <w:lang w:eastAsia="en-US"/>
        </w:rPr>
      </w:pPr>
      <w:r w:rsidRPr="0025317F">
        <w:rPr>
          <w:rFonts w:eastAsia="Calibri"/>
          <w:b/>
          <w:i/>
          <w:sz w:val="24"/>
          <w:szCs w:val="24"/>
          <w:lang w:eastAsia="en-US"/>
        </w:rPr>
        <w:t xml:space="preserve">a) </w:t>
      </w:r>
      <w:r w:rsidR="004546C7" w:rsidRPr="0025317F">
        <w:rPr>
          <w:rFonts w:eastAsia="Calibri"/>
          <w:b/>
          <w:i/>
          <w:sz w:val="24"/>
          <w:szCs w:val="24"/>
          <w:lang w:eastAsia="en-US"/>
        </w:rPr>
        <w:t>Vai Tiesnešu kvalifikācijas kolēģijā nonāk pietiekama un objektīva informācija par tiesneša darbu?</w:t>
      </w:r>
    </w:p>
    <w:p w14:paraId="1303DFBD" w14:textId="77777777"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Kā jau tika minēts Tieslietu padomes sēdēs, tiesnešu kvalifikācijas vērtēšanas procesā var nebūt iespējams pārbaudīt attiecīgas specializācijas tiesneša pieļautās kļūdas kādā lietu kategorijā tā iemesla dēļ, ka nepastāv pārsūdzība augstākā tiesu instancē, kura </w:t>
      </w:r>
      <w:r w:rsidRPr="00327DAE">
        <w:rPr>
          <w:rFonts w:eastAsia="Calibri"/>
          <w:sz w:val="24"/>
          <w:szCs w:val="24"/>
          <w:lang w:eastAsia="en-US"/>
        </w:rPr>
        <w:lastRenderedPageBreak/>
        <w:t>parasti sniedz atzinumu Tiesnešu kvalifikācijas kolēģijā. Būtu jāievieš kārtība, ka tādos gadījumos Tiesnešu kvalifikācijas kolēģija lūdz atzinumu no Augstākās tiesas vai lūdz šo lēmumu kvalitātes un protestēšanas jautājumam pievērst uzmanību paša vērtējamā tiesneša tiesas priekšsēdētājam.</w:t>
      </w:r>
    </w:p>
    <w:p w14:paraId="16AB0CA9" w14:textId="70FC5F8A"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Tiesnešu kvalifikācijas kolēģijai arī būtu jābūt dzirdīgai, ja sabiedrībā vai pēc atceltajiem nolēmumiem parādās signāli par kādu negatīvu tendenci, kas rada šaubas par tiesneša kvalifikāciju. Gan individuāls tiesnesis, gan tiesu vara kopumā, gan sabiedrība ir ieinteresēti, lai par tiesneša nolēmumu kvalitāti būtu objektīvs novērtējums, un Tiesnešu kvalifikācijas kolēģija ir būtībā vienīgā institūcija, kas ir kompetenta šādu novērtējumu dot. Tādēļ kolēģijai būtu jāizmanto iespēja noteiktos gadījumos pirms novērtēšanas konkretizēt, mērķtiecīgi virzīt kvalifikācijas pārbaudes saturu, lūdzot kolēģijas locekļiem sagatavot atzinumu ne tikai pilnīgas nejaušības</w:t>
      </w:r>
      <w:r w:rsidR="0080171A" w:rsidRPr="00327DAE">
        <w:rPr>
          <w:rFonts w:eastAsia="Calibri"/>
          <w:sz w:val="24"/>
          <w:szCs w:val="24"/>
          <w:lang w:eastAsia="en-US"/>
        </w:rPr>
        <w:t xml:space="preserve"> </w:t>
      </w:r>
      <w:r w:rsidRPr="00327DAE">
        <w:rPr>
          <w:rFonts w:eastAsia="Calibri"/>
          <w:sz w:val="24"/>
          <w:szCs w:val="24"/>
          <w:lang w:eastAsia="en-US"/>
        </w:rPr>
        <w:t xml:space="preserve">veidā, bet sašaurinot kritērijus uz kādu lietu kategoriju vai kāda lietu izskatīšanas aspekta dziļāku pārbaudi. </w:t>
      </w:r>
    </w:p>
    <w:p w14:paraId="37BD0D81" w14:textId="77777777" w:rsidR="0025317F" w:rsidRDefault="00670963" w:rsidP="00150D81">
      <w:pPr>
        <w:widowControl/>
        <w:adjustRightInd/>
        <w:spacing w:after="120"/>
        <w:ind w:left="720"/>
        <w:textAlignment w:val="auto"/>
        <w:rPr>
          <w:rFonts w:eastAsia="Calibri"/>
          <w:b/>
          <w:i/>
          <w:sz w:val="24"/>
          <w:szCs w:val="24"/>
          <w:lang w:eastAsia="en-US"/>
        </w:rPr>
      </w:pPr>
      <w:r w:rsidRPr="00327DAE">
        <w:rPr>
          <w:rFonts w:eastAsia="Calibri"/>
          <w:b/>
          <w:i/>
          <w:sz w:val="24"/>
          <w:szCs w:val="24"/>
          <w:lang w:eastAsia="en-US"/>
        </w:rPr>
        <w:t xml:space="preserve">b) </w:t>
      </w:r>
      <w:r w:rsidR="004546C7" w:rsidRPr="00327DAE">
        <w:rPr>
          <w:rFonts w:eastAsia="Calibri"/>
          <w:b/>
          <w:i/>
          <w:sz w:val="24"/>
          <w:szCs w:val="24"/>
          <w:lang w:eastAsia="en-US"/>
        </w:rPr>
        <w:t xml:space="preserve">Vai kompetentās personas ir pietiekami informētas par to, ka tikuši pieņemti nolēmumi ar būtiskām kļūdām? </w:t>
      </w:r>
    </w:p>
    <w:p w14:paraId="26E80138" w14:textId="6ABBDC50" w:rsidR="004546C7" w:rsidRPr="0025317F" w:rsidRDefault="004546C7" w:rsidP="0025317F">
      <w:pPr>
        <w:widowControl/>
        <w:adjustRightInd/>
        <w:spacing w:after="120"/>
        <w:textAlignment w:val="auto"/>
        <w:rPr>
          <w:rFonts w:eastAsia="Calibri"/>
          <w:b/>
          <w:i/>
          <w:sz w:val="24"/>
          <w:szCs w:val="24"/>
          <w:lang w:eastAsia="en-US"/>
        </w:rPr>
      </w:pPr>
      <w:r w:rsidRPr="00327DAE">
        <w:rPr>
          <w:rFonts w:eastAsia="Calibri"/>
          <w:sz w:val="24"/>
          <w:szCs w:val="24"/>
          <w:lang w:eastAsia="en-US"/>
        </w:rPr>
        <w:t>Tā kā darba grupai nebija pieejama informācija par disciplinārlietu ierosināšanu un izskatīšanu, kas varētu būt saistītas ar maksātnespējas lietās pieņemtajiem nolēmumiem, nav iespējas izdarīt secinājumus par to, vai disciplinārā vara ir izmantota atbilstoši aktīvi un korekti.</w:t>
      </w:r>
    </w:p>
    <w:p w14:paraId="7365D035" w14:textId="6047AB20" w:rsidR="00A46CB7" w:rsidRPr="00327DAE" w:rsidRDefault="0034383A" w:rsidP="0025317F">
      <w:pPr>
        <w:widowControl/>
        <w:adjustRightInd/>
        <w:spacing w:after="120"/>
        <w:textAlignment w:val="auto"/>
        <w:rPr>
          <w:rFonts w:eastAsia="Calibri"/>
          <w:sz w:val="24"/>
          <w:szCs w:val="24"/>
          <w:lang w:eastAsia="en-US"/>
        </w:rPr>
      </w:pPr>
      <w:r w:rsidRPr="00327DAE">
        <w:rPr>
          <w:sz w:val="24"/>
          <w:szCs w:val="24"/>
        </w:rPr>
        <w:t>Amatpersonām</w:t>
      </w:r>
      <w:r w:rsidR="00A46CB7" w:rsidRPr="00327DAE">
        <w:rPr>
          <w:sz w:val="24"/>
          <w:szCs w:val="24"/>
        </w:rPr>
        <w:t>, kurām ir tiesības ierosināt disciplinārlietas, pastāvīgi sekojot tiesu praksei un objektīvi izvērtējot saņemto informāciju, kas var norādīt uz iespējamo pamatu disciplinārlietas ierosināšanai</w:t>
      </w:r>
      <w:r w:rsidRPr="00327DAE">
        <w:rPr>
          <w:sz w:val="24"/>
          <w:szCs w:val="24"/>
        </w:rPr>
        <w:t xml:space="preserve">, jābūt pirmajam filtram, atsijājot un tālāk virzot lietas, kurās </w:t>
      </w:r>
      <w:proofErr w:type="spellStart"/>
      <w:r w:rsidRPr="00327DAE">
        <w:rPr>
          <w:i/>
          <w:sz w:val="24"/>
          <w:szCs w:val="24"/>
        </w:rPr>
        <w:t>prima</w:t>
      </w:r>
      <w:proofErr w:type="spellEnd"/>
      <w:r w:rsidRPr="00327DAE">
        <w:rPr>
          <w:i/>
          <w:sz w:val="24"/>
          <w:szCs w:val="24"/>
        </w:rPr>
        <w:t xml:space="preserve"> </w:t>
      </w:r>
      <w:proofErr w:type="spellStart"/>
      <w:r w:rsidRPr="00327DAE">
        <w:rPr>
          <w:i/>
          <w:sz w:val="24"/>
          <w:szCs w:val="24"/>
        </w:rPr>
        <w:t>facie</w:t>
      </w:r>
      <w:proofErr w:type="spellEnd"/>
      <w:r w:rsidRPr="00327DAE">
        <w:rPr>
          <w:i/>
          <w:sz w:val="24"/>
          <w:szCs w:val="24"/>
        </w:rPr>
        <w:t xml:space="preserve"> </w:t>
      </w:r>
      <w:r w:rsidRPr="00327DAE">
        <w:rPr>
          <w:sz w:val="24"/>
          <w:szCs w:val="24"/>
        </w:rPr>
        <w:t>ir saskatāmas pārkāpuma pazīmes.</w:t>
      </w:r>
    </w:p>
    <w:p w14:paraId="2D837AD1" w14:textId="387CD22D" w:rsidR="004546C7"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Šajā ziņā jāņem vērā, ka nepareiza lēmuma pieņemšana pati par sevi nav pamats disciplināratbildībai – ir jāvērtē šā lēmuma būtība un pieļautās kļūdas vai pārkāpuma raksturs. Turklāt, ievērojot tiesneša neatkarību, nav arī pieļaujams atzīt tīšu likumpārkāpumu ikreiz, kad augstākas instances tiesas viedoklis tiesību jautājumā atšķiras vai kad pieļauta kāda faktu noskaidrošanas kļūda. Tas izriet gan no Tiesnešu disciplināratbildības likuma, gan no </w:t>
      </w:r>
      <w:bookmarkStart w:id="13" w:name="_Hlk520887144"/>
      <w:r w:rsidRPr="00327DAE">
        <w:rPr>
          <w:rFonts w:eastAsia="Calibri"/>
          <w:sz w:val="24"/>
          <w:szCs w:val="24"/>
          <w:lang w:eastAsia="en-US"/>
        </w:rPr>
        <w:t>Eiropas Padomes Ministru komitejas rekomendācijas dalībvalstīm CM/Rec(2010)12 „Par tiesnešiem: neatkarība, efektivitāte un atbildība” (Likuma interpretācija, faktu novērtēšana vai pierādījumu svēršana, ko tiesneši veic, lai noteiktu lietas, nedrīkst radīt civiltiesisko vai disciplināro atbildību, izņemot ļaunprātību un rupjas neuzmanības gadījumus.)</w:t>
      </w:r>
      <w:bookmarkEnd w:id="13"/>
      <w:r w:rsidRPr="00327DAE">
        <w:rPr>
          <w:rFonts w:eastAsia="Calibri"/>
          <w:sz w:val="24"/>
          <w:szCs w:val="24"/>
          <w:lang w:eastAsia="en-US"/>
        </w:rPr>
        <w:t xml:space="preserve"> Līdz ar to nedrīkst vispārīgi uzskatīt, ka protesta rezultātā atcelto nolēmumu skaits ir tāds, ka tiesu sistēmai būtu vajadzējis būt virknei piemērotu disciplinārsodu.</w:t>
      </w:r>
    </w:p>
    <w:p w14:paraId="3A9A90C9" w14:textId="77777777" w:rsidR="00150D81" w:rsidRPr="00327DAE" w:rsidRDefault="00150D81" w:rsidP="0025317F">
      <w:pPr>
        <w:widowControl/>
        <w:adjustRightInd/>
        <w:spacing w:after="120"/>
        <w:textAlignment w:val="auto"/>
        <w:rPr>
          <w:rFonts w:eastAsia="Calibri"/>
          <w:sz w:val="24"/>
          <w:szCs w:val="24"/>
          <w:lang w:eastAsia="en-US"/>
        </w:rPr>
      </w:pPr>
    </w:p>
    <w:p w14:paraId="40C22666" w14:textId="77777777" w:rsidR="003E4BCB" w:rsidRPr="007E3D1F" w:rsidRDefault="003E4BCB" w:rsidP="003E4BCB">
      <w:pPr>
        <w:spacing w:after="120"/>
        <w:rPr>
          <w:rFonts w:eastAsia="Calibri"/>
          <w:b/>
          <w:i/>
          <w:sz w:val="24"/>
          <w:szCs w:val="24"/>
        </w:rPr>
      </w:pPr>
      <w:r w:rsidRPr="007E3D1F">
        <w:rPr>
          <w:rFonts w:eastAsia="Calibri"/>
          <w:b/>
          <w:i/>
          <w:sz w:val="24"/>
          <w:szCs w:val="24"/>
        </w:rPr>
        <w:t>3. Formāla pieeja lietu izskatīšanā un argumentācijas nepietiekamība kā trūkums.</w:t>
      </w:r>
    </w:p>
    <w:p w14:paraId="7347E919" w14:textId="77777777" w:rsidR="003E4BCB" w:rsidRPr="007E3D1F" w:rsidRDefault="003E4BCB" w:rsidP="003E4BCB">
      <w:pPr>
        <w:spacing w:after="120"/>
        <w:rPr>
          <w:rFonts w:eastAsia="Calibri"/>
          <w:sz w:val="24"/>
          <w:szCs w:val="24"/>
        </w:rPr>
      </w:pPr>
      <w:r w:rsidRPr="007E3D1F">
        <w:rPr>
          <w:rFonts w:eastAsia="Calibri"/>
          <w:sz w:val="24"/>
          <w:szCs w:val="24"/>
        </w:rPr>
        <w:t>Izskatītās lietas norāda, ka tiesām ir jāpāriet no formālas pieejas uz iedziļināšanos lietas būtībā, jo liela daļa problēmu izriet tieši no formālas pieejas. Piemēram, ja ir sūdzība par administratora rīcību, tiesnesim būtu rūpīgi jāiepazīstas ar apstākļiem un tie jāizvērtē. Tāpat tiesnesim ir jādod vērtējums tiem dokumentiem, kurus viņš ir pievienojis lietai. Tas attiecas, piemēram, uz gadījumiem, kad kreditors, kuram nav lietas dalībnieka formāla statusa, iesniedz iebildumus, tiesnesis tos pievieno lietai, bet neizvērtē pēc būtības. Ja tiesnesis uzskatīja, ka iesniedzējam nav lietas dalībnieka statusa, tad bija jāatsaka pieņemt šos dokumentus, bet pieņemtie un lietai pievienotie dokumenti ir jāvērtē.</w:t>
      </w:r>
    </w:p>
    <w:p w14:paraId="28C66051" w14:textId="77777777" w:rsidR="003E4BCB" w:rsidRPr="007E3D1F" w:rsidRDefault="003E4BCB" w:rsidP="003E4BCB">
      <w:pPr>
        <w:spacing w:after="120"/>
        <w:rPr>
          <w:rFonts w:eastAsia="Calibri"/>
          <w:sz w:val="24"/>
          <w:szCs w:val="24"/>
        </w:rPr>
      </w:pPr>
      <w:r w:rsidRPr="007E3D1F">
        <w:rPr>
          <w:rFonts w:eastAsia="Calibri"/>
          <w:sz w:val="24"/>
          <w:szCs w:val="24"/>
        </w:rPr>
        <w:lastRenderedPageBreak/>
        <w:t>Šķiet, ka tiesneši reizēm lēmumus pamato ar argumentiem, ar kuriem ir vienkāršāk pamatot nolēmumu, nevis apsver visus argumentus, kurus vajadzētu attiecīgo apstākļu kontekstā. Kvalitatīvai juridiskajai analīzei nepieciešami detalizētāki motīvi, proti, izvērsti argumenti un pamatojums. Ja konstatētā tiesnešu pieeja sakņojas argumentācijas tehnikas defektā, tad nodrošināma atbilstoša papildus apmācība.</w:t>
      </w:r>
    </w:p>
    <w:p w14:paraId="5D69BD32" w14:textId="77777777" w:rsidR="003E4BCB" w:rsidRPr="007E3D1F" w:rsidRDefault="003E4BCB" w:rsidP="003E4BCB">
      <w:pPr>
        <w:spacing w:after="120"/>
        <w:rPr>
          <w:rFonts w:eastAsia="Calibri"/>
          <w:sz w:val="24"/>
          <w:szCs w:val="24"/>
        </w:rPr>
      </w:pPr>
      <w:r w:rsidRPr="007E3D1F">
        <w:rPr>
          <w:rFonts w:eastAsia="Calibri"/>
          <w:sz w:val="24"/>
          <w:szCs w:val="24"/>
        </w:rPr>
        <w:t>Tiesām vajadzētu visās maksātnespējas lietās izvērtēt lietas apstākļus pēc būtības, ņemt vērā visus argumentus, nevis lēmuma formālai pamatošanai selektīvi izvēlēties atsevišķus argumentus.</w:t>
      </w:r>
    </w:p>
    <w:p w14:paraId="6438939E" w14:textId="22CB1152" w:rsidR="003A2386" w:rsidRPr="00327DAE" w:rsidRDefault="003A2386" w:rsidP="003A2386">
      <w:pPr>
        <w:widowControl/>
        <w:adjustRightInd/>
        <w:spacing w:after="120"/>
        <w:rPr>
          <w:rFonts w:eastAsia="Calibri"/>
          <w:sz w:val="24"/>
          <w:szCs w:val="24"/>
          <w:lang w:eastAsia="en-US"/>
        </w:rPr>
      </w:pPr>
      <w:r w:rsidRPr="003A2386">
        <w:rPr>
          <w:rFonts w:eastAsia="Calibri"/>
          <w:sz w:val="24"/>
          <w:szCs w:val="24"/>
          <w:lang w:eastAsia="en-US"/>
        </w:rPr>
        <w:t>Nepieciešams</w:t>
      </w:r>
      <w:r>
        <w:rPr>
          <w:rFonts w:eastAsia="Calibri"/>
          <w:b/>
          <w:sz w:val="24"/>
          <w:szCs w:val="24"/>
          <w:lang w:eastAsia="en-US"/>
        </w:rPr>
        <w:t xml:space="preserve"> </w:t>
      </w:r>
      <w:r w:rsidRPr="00327DAE">
        <w:rPr>
          <w:rFonts w:eastAsia="Calibri"/>
          <w:sz w:val="24"/>
          <w:szCs w:val="24"/>
          <w:lang w:eastAsia="en-US"/>
        </w:rPr>
        <w:t>vērst tiesnešu uzmanību uz šo problēmu, rosināt tiesnešus aktīvāk izmantot blakus lēmumu pieņemšanas tiesības par šādiem administratoru pārkāpumiem.</w:t>
      </w:r>
    </w:p>
    <w:p w14:paraId="6251720F" w14:textId="77777777" w:rsidR="003E4BCB" w:rsidRPr="007E3D1F" w:rsidRDefault="003E4BCB" w:rsidP="003E4BCB">
      <w:pPr>
        <w:spacing w:after="120"/>
        <w:rPr>
          <w:rFonts w:eastAsia="Calibri"/>
          <w:sz w:val="24"/>
          <w:szCs w:val="24"/>
        </w:rPr>
      </w:pPr>
      <w:r w:rsidRPr="007E3D1F">
        <w:rPr>
          <w:rFonts w:eastAsia="Calibri"/>
          <w:sz w:val="24"/>
          <w:szCs w:val="24"/>
        </w:rPr>
        <w:t>Vienlaikus atzīmējams, ka iespējas cīnīties pret krāpšanu civilprocesa ietvaros ir stipri ierobežotas, tāpēc lietas dalībniekiem, ja lietas apstākļi uz to norāda, jāmeklē tiesību aizsardzība atbilstošā kriminālprocesuālā kārtībā.</w:t>
      </w:r>
    </w:p>
    <w:p w14:paraId="69919724" w14:textId="77777777" w:rsidR="003E4BCB" w:rsidRPr="007E3D1F" w:rsidRDefault="003E4BCB" w:rsidP="003E4BCB">
      <w:pPr>
        <w:spacing w:after="120"/>
        <w:rPr>
          <w:rFonts w:eastAsia="Calibri"/>
          <w:sz w:val="24"/>
          <w:szCs w:val="24"/>
        </w:rPr>
      </w:pPr>
    </w:p>
    <w:p w14:paraId="11603D49" w14:textId="77777777" w:rsidR="003E4BCB" w:rsidRPr="007E3D1F" w:rsidRDefault="003E4BCB" w:rsidP="003E4BCB">
      <w:pPr>
        <w:spacing w:after="120"/>
        <w:rPr>
          <w:rFonts w:eastAsia="Calibri"/>
          <w:b/>
          <w:i/>
          <w:sz w:val="24"/>
          <w:szCs w:val="24"/>
        </w:rPr>
      </w:pPr>
      <w:r w:rsidRPr="007E3D1F">
        <w:rPr>
          <w:rFonts w:eastAsia="Calibri"/>
          <w:b/>
          <w:i/>
          <w:sz w:val="24"/>
          <w:szCs w:val="24"/>
        </w:rPr>
        <w:t xml:space="preserve">4. Ziņojuma </w:t>
      </w:r>
      <w:proofErr w:type="spellStart"/>
      <w:r w:rsidRPr="007E3D1F">
        <w:rPr>
          <w:rFonts w:eastAsia="Calibri"/>
          <w:b/>
          <w:i/>
          <w:sz w:val="24"/>
          <w:szCs w:val="24"/>
        </w:rPr>
        <w:t>tālākizmantošana</w:t>
      </w:r>
      <w:proofErr w:type="spellEnd"/>
      <w:r w:rsidRPr="007E3D1F">
        <w:rPr>
          <w:rFonts w:eastAsia="Calibri"/>
          <w:b/>
          <w:i/>
          <w:sz w:val="24"/>
          <w:szCs w:val="24"/>
        </w:rPr>
        <w:t xml:space="preserve"> kvalifikācijas pārbaudēs</w:t>
      </w:r>
    </w:p>
    <w:p w14:paraId="341BE101" w14:textId="77777777" w:rsidR="003E4BCB" w:rsidRPr="007E3D1F" w:rsidRDefault="003E4BCB" w:rsidP="003E4BCB">
      <w:pPr>
        <w:spacing w:after="120"/>
        <w:rPr>
          <w:rFonts w:eastAsia="Calibri"/>
          <w:sz w:val="24"/>
          <w:szCs w:val="24"/>
        </w:rPr>
      </w:pPr>
      <w:r w:rsidRPr="007E3D1F">
        <w:rPr>
          <w:rFonts w:eastAsia="Calibri"/>
          <w:sz w:val="24"/>
          <w:szCs w:val="24"/>
        </w:rPr>
        <w:t xml:space="preserve">Sagatavojot šo ziņojumu, detalizēti analizēti gan likumdošanas defekti, gan tiesu prakses attīstības problemātika, kā arī īpaša uzmanība pievērsta atsevišķu lietu izskatīšanai. Šo ziņojumu kā papildmateriālu iespējams izmantot gan ziņojumā pieminēto tiesnešu nākamajā kvalifikācijas pārbaudē, gan arī vispārināti maksātnespējas lietas skatījušo tiesnešu kvalifikācijas kontrolē. </w:t>
      </w:r>
      <w:r w:rsidRPr="007E3D1F">
        <w:rPr>
          <w:rFonts w:eastAsia="Calibri"/>
          <w:b/>
          <w:i/>
          <w:sz w:val="24"/>
          <w:szCs w:val="24"/>
        </w:rPr>
        <w:t>Aicinām šo</w:t>
      </w:r>
      <w:r w:rsidRPr="007E3D1F">
        <w:rPr>
          <w:rFonts w:eastAsia="Calibri"/>
          <w:sz w:val="24"/>
          <w:szCs w:val="24"/>
        </w:rPr>
        <w:t xml:space="preserve"> </w:t>
      </w:r>
      <w:r w:rsidRPr="007E3D1F">
        <w:rPr>
          <w:rFonts w:eastAsia="Calibri"/>
          <w:b/>
          <w:i/>
          <w:sz w:val="24"/>
          <w:szCs w:val="24"/>
        </w:rPr>
        <w:t xml:space="preserve">ziņojumu nodot Tiesnešu kvalifikācijas kolēģijas rīcībā. </w:t>
      </w:r>
    </w:p>
    <w:p w14:paraId="31CA86B3" w14:textId="701A6C85" w:rsidR="00B462B1" w:rsidRPr="00FD6FDF" w:rsidRDefault="00FD6FDF" w:rsidP="00FD6FDF">
      <w:pPr>
        <w:widowControl/>
        <w:adjustRightInd/>
        <w:spacing w:after="120"/>
        <w:textAlignment w:val="auto"/>
        <w:rPr>
          <w:rFonts w:eastAsia="Calibri"/>
          <w:sz w:val="24"/>
          <w:szCs w:val="24"/>
          <w:lang w:eastAsia="en-US"/>
        </w:rPr>
      </w:pPr>
      <w:r w:rsidRPr="007E3D1F">
        <w:rPr>
          <w:rFonts w:eastAsia="Calibri"/>
          <w:sz w:val="24"/>
          <w:szCs w:val="24"/>
          <w:lang w:eastAsia="en-US"/>
        </w:rPr>
        <w:t>.</w:t>
      </w:r>
      <w:r w:rsidRPr="00FD6FDF">
        <w:rPr>
          <w:rFonts w:eastAsia="Calibri"/>
          <w:sz w:val="24"/>
          <w:szCs w:val="24"/>
          <w:lang w:eastAsia="en-US"/>
        </w:rPr>
        <w:t xml:space="preserve"> </w:t>
      </w:r>
      <w:r w:rsidR="00B462B1" w:rsidRPr="00FD6FDF">
        <w:rPr>
          <w:rFonts w:eastAsia="Calibri"/>
          <w:sz w:val="24"/>
          <w:szCs w:val="24"/>
          <w:lang w:eastAsia="en-US"/>
        </w:rPr>
        <w:br w:type="page"/>
      </w:r>
    </w:p>
    <w:p w14:paraId="118DE9F4" w14:textId="77777777" w:rsidR="003A556A" w:rsidRPr="00327DAE" w:rsidRDefault="003A556A" w:rsidP="0025317F">
      <w:pPr>
        <w:widowControl/>
        <w:adjustRightInd/>
        <w:spacing w:after="120"/>
        <w:textAlignment w:val="auto"/>
        <w:rPr>
          <w:rFonts w:eastAsia="Calibri"/>
          <w:b/>
          <w:i/>
          <w:sz w:val="24"/>
          <w:szCs w:val="24"/>
          <w:lang w:eastAsia="en-US"/>
        </w:rPr>
      </w:pPr>
    </w:p>
    <w:p w14:paraId="18B05AF6" w14:textId="0342ACBE" w:rsidR="0001528E" w:rsidRPr="00327DAE" w:rsidRDefault="00C06CD6" w:rsidP="0025317F">
      <w:pPr>
        <w:pStyle w:val="Heading1"/>
        <w:rPr>
          <w:rFonts w:cs="Times New Roman"/>
          <w:szCs w:val="24"/>
        </w:rPr>
      </w:pPr>
      <w:bookmarkStart w:id="14" w:name="_Toc522527489"/>
      <w:r w:rsidRPr="00327DAE">
        <w:rPr>
          <w:rFonts w:cs="Times New Roman"/>
          <w:szCs w:val="24"/>
        </w:rPr>
        <w:t>IZSKATĪTO LIETU TABULA</w:t>
      </w:r>
      <w:bookmarkEnd w:id="14"/>
      <w:r w:rsidRPr="00327DAE">
        <w:rPr>
          <w:rFonts w:cs="Times New Roman"/>
          <w:szCs w:val="24"/>
        </w:rPr>
        <w:t xml:space="preserve"> </w:t>
      </w:r>
    </w:p>
    <w:p w14:paraId="238A620C" w14:textId="0B0C3712" w:rsidR="004546C7" w:rsidRPr="00327DAE" w:rsidRDefault="004546C7" w:rsidP="0025317F">
      <w:pPr>
        <w:spacing w:after="120"/>
        <w:ind w:right="-52"/>
        <w:rPr>
          <w:sz w:val="24"/>
          <w:szCs w:val="24"/>
        </w:rPr>
      </w:pPr>
      <w:r w:rsidRPr="00327DAE">
        <w:rPr>
          <w:sz w:val="24"/>
          <w:szCs w:val="24"/>
        </w:rPr>
        <w:t>Tabulā norādīta informācija par maksātnespējas lietām, kuras, ņemot vērā žurnāla „Ir” 2017. gada 22. novembra</w:t>
      </w:r>
      <w:r w:rsidRPr="00327DAE">
        <w:rPr>
          <w:rStyle w:val="FootnoteReference"/>
          <w:sz w:val="24"/>
          <w:szCs w:val="24"/>
        </w:rPr>
        <w:footnoteReference w:id="7"/>
      </w:r>
      <w:r w:rsidRPr="00327DAE">
        <w:rPr>
          <w:sz w:val="24"/>
          <w:szCs w:val="24"/>
        </w:rPr>
        <w:t xml:space="preserve"> un 29. novembra</w:t>
      </w:r>
      <w:r w:rsidRPr="00327DAE">
        <w:rPr>
          <w:rStyle w:val="FootnoteReference"/>
          <w:sz w:val="24"/>
          <w:szCs w:val="24"/>
        </w:rPr>
        <w:footnoteReference w:id="8"/>
      </w:r>
      <w:r w:rsidRPr="00327DAE">
        <w:rPr>
          <w:sz w:val="24"/>
          <w:szCs w:val="24"/>
        </w:rPr>
        <w:t xml:space="preserve"> publikācijās minētās ziņas, rosinājušas šo publikāciju tapšanu. Ņemot vērā, ka žurnāla publikācijās nav norādītas precīzas ziņas lietu identificēšanai, tās atlasītas no Tiesu informācijas sistēmas, ņemot vērā publikācijās minētās ziņas par lietas dalībniekiem un lietas apstākļiem (īss ieskats pie katras lietas norādīts zemsvītras piezīmē). Ja „Ir” publikācijās pieminētajās lietās Augstākā tiesa protesta kārtībā atcēlusi publikācijās aplūkoto tiesnešu nolēmumu vai nolēmumus, tabulā norādīts atceltais nolēmums, kā arī Augstākās tiesas nolēmuma atcelšanas motīvi. Tabulā iekļauta informācija arī par lietām, kurās Augstākā tiesa nav atcēlusi nevienu </w:t>
      </w:r>
      <w:r w:rsidR="00E96349" w:rsidRPr="00327DAE">
        <w:rPr>
          <w:sz w:val="24"/>
          <w:szCs w:val="24"/>
        </w:rPr>
        <w:t xml:space="preserve">no </w:t>
      </w:r>
      <w:r w:rsidRPr="00327DAE">
        <w:rPr>
          <w:sz w:val="24"/>
          <w:szCs w:val="24"/>
        </w:rPr>
        <w:t>publikācijā aplūkoto tiesnešu nolēmumiem. Tāpat tabulā ievietoti Augstākās tiesas pieaicināto maksātnespējas tiesību ekspertu secinājumi par tiesnešu pieļauto kļūdu raksturu un nopietnību. Šie secinājumi izdarīti pēc</w:t>
      </w:r>
      <w:r w:rsidR="008067F3" w:rsidRPr="00327DAE">
        <w:rPr>
          <w:sz w:val="24"/>
          <w:szCs w:val="24"/>
        </w:rPr>
        <w:t xml:space="preserve"> </w:t>
      </w:r>
      <w:r w:rsidR="00670963" w:rsidRPr="00327DAE">
        <w:rPr>
          <w:sz w:val="24"/>
          <w:szCs w:val="24"/>
        </w:rPr>
        <w:t xml:space="preserve">iepazīšanās ar </w:t>
      </w:r>
      <w:r w:rsidR="008067F3" w:rsidRPr="00327DAE">
        <w:rPr>
          <w:sz w:val="24"/>
          <w:szCs w:val="24"/>
        </w:rPr>
        <w:t>protestu, Augstākās tiesas spriedu</w:t>
      </w:r>
      <w:r w:rsidR="00670963" w:rsidRPr="00327DAE">
        <w:rPr>
          <w:sz w:val="24"/>
          <w:szCs w:val="24"/>
        </w:rPr>
        <w:t xml:space="preserve">mu, tiesneša nolēmumu un citiem </w:t>
      </w:r>
      <w:r w:rsidRPr="00327DAE">
        <w:rPr>
          <w:sz w:val="24"/>
          <w:szCs w:val="24"/>
        </w:rPr>
        <w:t>lietas materiāl</w:t>
      </w:r>
      <w:r w:rsidR="008067F3" w:rsidRPr="00327DAE">
        <w:rPr>
          <w:sz w:val="24"/>
          <w:szCs w:val="24"/>
        </w:rPr>
        <w:t>iem</w:t>
      </w:r>
      <w:r w:rsidR="00E96349">
        <w:rPr>
          <w:sz w:val="24"/>
          <w:szCs w:val="24"/>
        </w:rPr>
        <w:t>,</w:t>
      </w:r>
      <w:r w:rsidRPr="00327DAE">
        <w:rPr>
          <w:sz w:val="24"/>
          <w:szCs w:val="24"/>
        </w:rPr>
        <w:t xml:space="preserve"> apsverot žurnāla publikācijās tiesnešiem veltītās kritikas pamatotību, kā arī ņemot vērā, ka atcelto nolēmumu pamatā ir Augstākās tiesas konstatējums par būtisku materiālo vai procesuālo tiesību normu pārkāpumiem. Tabulā detalizēti atspoguļota informācija no diskusijām par konkrētām lietām, gan kas attiecas uz individuālā tiesneša nolēmuma kvalitāti, gan lietas izskatīšanas norisi. </w:t>
      </w:r>
    </w:p>
    <w:p w14:paraId="0EE034AA" w14:textId="047923BC" w:rsidR="004546C7" w:rsidRPr="00327DAE" w:rsidRDefault="004546C7" w:rsidP="0025317F">
      <w:pPr>
        <w:spacing w:after="120"/>
        <w:ind w:right="-52"/>
        <w:rPr>
          <w:sz w:val="24"/>
          <w:szCs w:val="24"/>
        </w:rPr>
      </w:pPr>
      <w:r w:rsidRPr="00327DAE">
        <w:rPr>
          <w:sz w:val="24"/>
          <w:szCs w:val="24"/>
        </w:rPr>
        <w:t xml:space="preserve"> </w:t>
      </w:r>
      <w:r w:rsidR="00E96349">
        <w:rPr>
          <w:sz w:val="24"/>
          <w:szCs w:val="24"/>
        </w:rPr>
        <w:t>P</w:t>
      </w:r>
      <w:r w:rsidRPr="00327DAE">
        <w:rPr>
          <w:sz w:val="24"/>
          <w:szCs w:val="24"/>
        </w:rPr>
        <w:t xml:space="preserve">ēc priekšlikuma papildināt apskatu ar jaunākām lietām </w:t>
      </w:r>
      <w:r w:rsidR="00E96349">
        <w:rPr>
          <w:sz w:val="24"/>
          <w:szCs w:val="24"/>
        </w:rPr>
        <w:t>e</w:t>
      </w:r>
      <w:r w:rsidR="00E96349" w:rsidRPr="00327DAE">
        <w:rPr>
          <w:sz w:val="24"/>
          <w:szCs w:val="24"/>
        </w:rPr>
        <w:t xml:space="preserve">ksperti </w:t>
      </w:r>
      <w:r w:rsidRPr="00327DAE">
        <w:rPr>
          <w:sz w:val="24"/>
          <w:szCs w:val="24"/>
        </w:rPr>
        <w:t xml:space="preserve">vienojās principā sarakstu nepapildināt, pieļaujot īpašus izņēmumus, ko attaisnotu pārskata mērķis. Līdz ar to tabula papildināta ar to lietu apskatu, kuras pēc ekspertu ierosinājuma tika izskatītas papildus, ņemot vērā to iespējamo saistību vai līdzību ar žurnāla “Ir” publikācijās minētajām lietām. </w:t>
      </w:r>
    </w:p>
    <w:p w14:paraId="4A510A1D" w14:textId="77777777" w:rsidR="004546C7" w:rsidRPr="00327DAE" w:rsidRDefault="004546C7" w:rsidP="0025317F">
      <w:pPr>
        <w:spacing w:after="120"/>
        <w:ind w:right="-52"/>
        <w:rPr>
          <w:sz w:val="24"/>
          <w:szCs w:val="24"/>
        </w:rPr>
      </w:pPr>
      <w:r w:rsidRPr="00327DAE">
        <w:rPr>
          <w:sz w:val="24"/>
          <w:szCs w:val="24"/>
        </w:rPr>
        <w:t xml:space="preserve">Tabulā lietas sagrupētas alfabētiskā secībā pēc tiesneša, kurš taisījis nolēmumu, uzvārda. </w:t>
      </w:r>
    </w:p>
    <w:p w14:paraId="7707A0AF" w14:textId="0D5C3760" w:rsidR="004546C7" w:rsidRDefault="004546C7" w:rsidP="0025317F">
      <w:pPr>
        <w:spacing w:after="120"/>
        <w:ind w:right="-52"/>
        <w:rPr>
          <w:sz w:val="24"/>
          <w:szCs w:val="24"/>
        </w:rPr>
      </w:pPr>
      <w:r w:rsidRPr="00327DAE">
        <w:rPr>
          <w:sz w:val="24"/>
          <w:szCs w:val="24"/>
        </w:rPr>
        <w:t>Pēc katra tiesneša lietu apskata, norādīts arī ekspertu viedokļu apkopojums par konkrēta tiesneša nolēmumiem.</w:t>
      </w:r>
    </w:p>
    <w:p w14:paraId="25C50FC7" w14:textId="77777777" w:rsidR="006F6917" w:rsidRPr="00327DAE" w:rsidRDefault="006F6917" w:rsidP="0025317F">
      <w:pPr>
        <w:spacing w:after="120"/>
        <w:ind w:right="-52"/>
        <w:rPr>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2D7D2C" w:rsidRPr="00327DAE" w14:paraId="557EA537" w14:textId="77777777" w:rsidTr="00B40DAA">
        <w:trPr>
          <w:trHeight w:val="301"/>
        </w:trPr>
        <w:tc>
          <w:tcPr>
            <w:tcW w:w="562" w:type="dxa"/>
          </w:tcPr>
          <w:p w14:paraId="1B09A475" w14:textId="77777777" w:rsidR="002D7D2C" w:rsidRPr="00327DAE" w:rsidRDefault="002D7D2C" w:rsidP="0025317F">
            <w:pPr>
              <w:spacing w:after="120"/>
              <w:rPr>
                <w:b/>
                <w:color w:val="000000"/>
                <w:sz w:val="24"/>
                <w:szCs w:val="24"/>
              </w:rPr>
            </w:pPr>
            <w:r w:rsidRPr="00327DAE">
              <w:rPr>
                <w:b/>
                <w:color w:val="000000"/>
                <w:sz w:val="24"/>
                <w:szCs w:val="24"/>
              </w:rPr>
              <w:t>Nr.</w:t>
            </w:r>
          </w:p>
        </w:tc>
        <w:tc>
          <w:tcPr>
            <w:tcW w:w="1701" w:type="dxa"/>
            <w:shd w:val="clear" w:color="auto" w:fill="auto"/>
            <w:noWrap/>
            <w:vAlign w:val="bottom"/>
          </w:tcPr>
          <w:p w14:paraId="5BF6EE2D" w14:textId="77777777" w:rsidR="002D7D2C" w:rsidRPr="00327DAE" w:rsidRDefault="002D7D2C" w:rsidP="0025317F">
            <w:pPr>
              <w:spacing w:after="120"/>
              <w:rPr>
                <w:b/>
                <w:color w:val="000000"/>
                <w:sz w:val="24"/>
                <w:szCs w:val="24"/>
              </w:rPr>
            </w:pPr>
            <w:r w:rsidRPr="00327DAE">
              <w:rPr>
                <w:b/>
                <w:color w:val="000000"/>
                <w:sz w:val="24"/>
                <w:szCs w:val="24"/>
              </w:rPr>
              <w:t>Lietas Nr./Augstākās tiesas arhīva Nr.</w:t>
            </w:r>
          </w:p>
        </w:tc>
        <w:tc>
          <w:tcPr>
            <w:tcW w:w="2410" w:type="dxa"/>
            <w:shd w:val="clear" w:color="auto" w:fill="auto"/>
            <w:vAlign w:val="bottom"/>
          </w:tcPr>
          <w:p w14:paraId="2B1C0DBD" w14:textId="77777777" w:rsidR="002D7D2C" w:rsidRPr="00327DAE" w:rsidRDefault="002D7D2C" w:rsidP="0025317F">
            <w:pPr>
              <w:spacing w:after="120"/>
              <w:rPr>
                <w:b/>
                <w:sz w:val="24"/>
                <w:szCs w:val="24"/>
              </w:rPr>
            </w:pPr>
            <w:r w:rsidRPr="00327DAE">
              <w:rPr>
                <w:b/>
                <w:sz w:val="24"/>
                <w:szCs w:val="24"/>
              </w:rPr>
              <w:t>Nolēmums, par kuru iesniegts protests</w:t>
            </w:r>
          </w:p>
        </w:tc>
        <w:tc>
          <w:tcPr>
            <w:tcW w:w="3686" w:type="dxa"/>
            <w:shd w:val="clear" w:color="auto" w:fill="auto"/>
            <w:vAlign w:val="bottom"/>
          </w:tcPr>
          <w:p w14:paraId="6E47D9E2" w14:textId="77777777" w:rsidR="002D7D2C" w:rsidRPr="00327DAE" w:rsidRDefault="002D7D2C" w:rsidP="0025317F">
            <w:pPr>
              <w:spacing w:after="120"/>
              <w:rPr>
                <w:b/>
                <w:sz w:val="24"/>
                <w:szCs w:val="24"/>
              </w:rPr>
            </w:pPr>
            <w:r w:rsidRPr="00327DAE">
              <w:rPr>
                <w:b/>
                <w:sz w:val="24"/>
                <w:szCs w:val="24"/>
              </w:rPr>
              <w:t>Persona, par kuras maksātnespēju/TAP/ĀTAP procesu lemts un procesa veids</w:t>
            </w:r>
          </w:p>
        </w:tc>
      </w:tr>
    </w:tbl>
    <w:p w14:paraId="53420099" w14:textId="77777777" w:rsidR="00327DAE" w:rsidRPr="00327DAE" w:rsidRDefault="00327DAE" w:rsidP="0025317F">
      <w:pPr>
        <w:spacing w:after="120"/>
        <w:rPr>
          <w:sz w:val="24"/>
          <w:szCs w:val="24"/>
        </w:rPr>
      </w:pPr>
    </w:p>
    <w:p w14:paraId="3B585A4A" w14:textId="75E9D915" w:rsidR="00D40DCA" w:rsidRPr="00327DAE" w:rsidRDefault="00D40DCA" w:rsidP="0025317F">
      <w:pPr>
        <w:pStyle w:val="Heading2"/>
        <w:rPr>
          <w:rFonts w:cs="Times New Roman"/>
          <w:szCs w:val="24"/>
        </w:rPr>
      </w:pPr>
      <w:bookmarkStart w:id="15" w:name="_Toc522527490"/>
      <w:r w:rsidRPr="00327DAE">
        <w:rPr>
          <w:rFonts w:cs="Times New Roman"/>
          <w:szCs w:val="24"/>
        </w:rPr>
        <w:t>Tiesnesis Raimonds Buls</w:t>
      </w:r>
      <w:bookmarkEnd w:id="15"/>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253547" w:rsidRPr="00327DAE" w14:paraId="7E9CB252" w14:textId="77777777" w:rsidTr="00B40DAA">
        <w:trPr>
          <w:trHeight w:val="301"/>
        </w:trPr>
        <w:tc>
          <w:tcPr>
            <w:tcW w:w="562" w:type="dxa"/>
            <w:vMerge w:val="restart"/>
          </w:tcPr>
          <w:p w14:paraId="409FAA74" w14:textId="5B0E0057" w:rsidR="00253547" w:rsidRPr="00327DAE" w:rsidRDefault="00253547" w:rsidP="0025317F">
            <w:pPr>
              <w:spacing w:after="120"/>
              <w:rPr>
                <w:b/>
                <w:color w:val="000000"/>
                <w:sz w:val="24"/>
                <w:szCs w:val="24"/>
              </w:rPr>
            </w:pPr>
            <w:r w:rsidRPr="00327DAE">
              <w:rPr>
                <w:b/>
                <w:color w:val="000000"/>
                <w:sz w:val="24"/>
                <w:szCs w:val="24"/>
              </w:rPr>
              <w:t>1.</w:t>
            </w:r>
          </w:p>
        </w:tc>
        <w:tc>
          <w:tcPr>
            <w:tcW w:w="1701" w:type="dxa"/>
            <w:shd w:val="clear" w:color="auto" w:fill="auto"/>
            <w:noWrap/>
            <w:vAlign w:val="bottom"/>
          </w:tcPr>
          <w:p w14:paraId="485B07DF" w14:textId="77777777" w:rsidR="00253547" w:rsidRPr="00327DAE" w:rsidRDefault="00253547" w:rsidP="0025317F">
            <w:pPr>
              <w:spacing w:after="120"/>
              <w:rPr>
                <w:b/>
                <w:color w:val="000000"/>
                <w:sz w:val="24"/>
                <w:szCs w:val="24"/>
              </w:rPr>
            </w:pPr>
            <w:r w:rsidRPr="00327DAE">
              <w:rPr>
                <w:b/>
                <w:color w:val="000000"/>
                <w:sz w:val="24"/>
                <w:szCs w:val="24"/>
              </w:rPr>
              <w:t>C27190509</w:t>
            </w:r>
            <w:r w:rsidRPr="00327DAE">
              <w:rPr>
                <w:rStyle w:val="FootnoteReference"/>
                <w:b/>
                <w:color w:val="000000"/>
                <w:sz w:val="24"/>
                <w:szCs w:val="24"/>
              </w:rPr>
              <w:footnoteReference w:id="9"/>
            </w:r>
          </w:p>
          <w:p w14:paraId="6749C6C8" w14:textId="77777777" w:rsidR="00253547" w:rsidRPr="00327DAE" w:rsidRDefault="00253547" w:rsidP="0025317F">
            <w:pPr>
              <w:spacing w:after="120"/>
              <w:rPr>
                <w:b/>
                <w:color w:val="000000"/>
                <w:sz w:val="24"/>
                <w:szCs w:val="24"/>
              </w:rPr>
            </w:pPr>
            <w:r w:rsidRPr="00327DAE">
              <w:rPr>
                <w:b/>
                <w:color w:val="000000"/>
                <w:sz w:val="24"/>
                <w:szCs w:val="24"/>
              </w:rPr>
              <w:t>SPC-23/2012</w:t>
            </w:r>
          </w:p>
        </w:tc>
        <w:tc>
          <w:tcPr>
            <w:tcW w:w="2410" w:type="dxa"/>
            <w:shd w:val="clear" w:color="auto" w:fill="auto"/>
            <w:vAlign w:val="bottom"/>
          </w:tcPr>
          <w:p w14:paraId="145BDF85" w14:textId="77777777" w:rsidR="00253547" w:rsidRPr="00327DAE" w:rsidRDefault="00253547" w:rsidP="0025317F">
            <w:pPr>
              <w:spacing w:after="120"/>
              <w:rPr>
                <w:b/>
                <w:sz w:val="24"/>
                <w:szCs w:val="24"/>
              </w:rPr>
            </w:pPr>
            <w:r w:rsidRPr="00327DAE">
              <w:rPr>
                <w:b/>
                <w:sz w:val="24"/>
                <w:szCs w:val="24"/>
              </w:rPr>
              <w:t>11.11.2011. lēmums</w:t>
            </w:r>
          </w:p>
        </w:tc>
        <w:tc>
          <w:tcPr>
            <w:tcW w:w="3686" w:type="dxa"/>
            <w:shd w:val="clear" w:color="auto" w:fill="auto"/>
            <w:vAlign w:val="bottom"/>
          </w:tcPr>
          <w:p w14:paraId="239AA445" w14:textId="77777777" w:rsidR="00253547" w:rsidRPr="00DA5069" w:rsidRDefault="00253547" w:rsidP="0025317F">
            <w:pPr>
              <w:pStyle w:val="Heading3"/>
            </w:pPr>
            <w:bookmarkStart w:id="16" w:name="_Toc522527491"/>
            <w:r w:rsidRPr="00DA5069">
              <w:rPr>
                <w:rStyle w:val="Heading4Char"/>
                <w:b/>
                <w:iCs w:val="0"/>
              </w:rPr>
              <w:t>SIA „Dzimtā sēta”:</w:t>
            </w:r>
            <w:r w:rsidRPr="00DA5069">
              <w:t xml:space="preserve"> Administratora sūdzība par aresta uzlikšanu mantai</w:t>
            </w:r>
            <w:bookmarkEnd w:id="16"/>
          </w:p>
        </w:tc>
      </w:tr>
      <w:tr w:rsidR="00253547" w:rsidRPr="00327DAE" w14:paraId="38ADC0FD" w14:textId="77777777" w:rsidTr="00327DAE">
        <w:trPr>
          <w:trHeight w:val="301"/>
        </w:trPr>
        <w:tc>
          <w:tcPr>
            <w:tcW w:w="562" w:type="dxa"/>
            <w:vMerge/>
          </w:tcPr>
          <w:p w14:paraId="51A4C530"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25D12177" w14:textId="1A44099A" w:rsidR="00253547" w:rsidRPr="00327DAE" w:rsidRDefault="00253547" w:rsidP="0025317F">
            <w:pPr>
              <w:spacing w:after="120"/>
              <w:rPr>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70136BBF" w14:textId="1B0A469E" w:rsidR="00253547" w:rsidRPr="00327DAE" w:rsidRDefault="00253547" w:rsidP="0025317F">
            <w:pPr>
              <w:spacing w:after="120"/>
              <w:rPr>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62FDAB9E" w14:textId="5B795195" w:rsidR="00253547" w:rsidRPr="00327DAE" w:rsidRDefault="00253547" w:rsidP="0025317F">
            <w:pPr>
              <w:spacing w:after="120"/>
              <w:rPr>
                <w:i/>
              </w:rPr>
            </w:pPr>
            <w:r w:rsidRPr="00327DAE">
              <w:rPr>
                <w:b/>
                <w:bCs/>
                <w:i/>
                <w:color w:val="000000"/>
              </w:rPr>
              <w:t>Lietu sadales veids/iemesls</w:t>
            </w:r>
          </w:p>
        </w:tc>
      </w:tr>
      <w:tr w:rsidR="00253547" w:rsidRPr="00327DAE" w14:paraId="16515BAF" w14:textId="77777777" w:rsidTr="00327DAE">
        <w:trPr>
          <w:trHeight w:val="301"/>
        </w:trPr>
        <w:tc>
          <w:tcPr>
            <w:tcW w:w="562" w:type="dxa"/>
            <w:vMerge/>
          </w:tcPr>
          <w:p w14:paraId="356FD6C6"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7A0AC405" w14:textId="3E0F38CC" w:rsidR="00253547" w:rsidRPr="00327DAE" w:rsidRDefault="00253547" w:rsidP="0025317F">
            <w:pPr>
              <w:spacing w:after="120"/>
              <w:rPr>
                <w:i/>
              </w:rPr>
            </w:pPr>
            <w:r w:rsidRPr="00327DAE">
              <w:rPr>
                <w:i/>
                <w:color w:val="000000"/>
              </w:rPr>
              <w:t>24.08.2009</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0A0EE0EA" w14:textId="6902BE7A"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77D73677" w14:textId="29523C64" w:rsidR="00253547" w:rsidRPr="00327DAE" w:rsidRDefault="00253547" w:rsidP="0025317F">
            <w:pPr>
              <w:spacing w:after="120"/>
              <w:rPr>
                <w:i/>
              </w:rPr>
            </w:pPr>
            <w:r w:rsidRPr="00327DAE">
              <w:rPr>
                <w:i/>
                <w:color w:val="000000"/>
              </w:rPr>
              <w:t xml:space="preserve">Datorizēta lietu sadale. </w:t>
            </w:r>
          </w:p>
        </w:tc>
      </w:tr>
      <w:tr w:rsidR="00253547" w:rsidRPr="00327DAE" w14:paraId="4338D2D0" w14:textId="77777777" w:rsidTr="00327DAE">
        <w:trPr>
          <w:trHeight w:val="301"/>
        </w:trPr>
        <w:tc>
          <w:tcPr>
            <w:tcW w:w="562" w:type="dxa"/>
            <w:vMerge/>
          </w:tcPr>
          <w:p w14:paraId="1C571303"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1C9E3B10" w14:textId="00D7088C" w:rsidR="00253547" w:rsidRPr="00327DAE" w:rsidRDefault="00253547" w:rsidP="0025317F">
            <w:pPr>
              <w:spacing w:after="120"/>
              <w:rPr>
                <w:i/>
              </w:rPr>
            </w:pPr>
            <w:r w:rsidRPr="00327DAE">
              <w:rPr>
                <w:i/>
                <w:color w:val="000000"/>
              </w:rPr>
              <w:t>22.03.2012</w:t>
            </w:r>
          </w:p>
        </w:tc>
        <w:tc>
          <w:tcPr>
            <w:tcW w:w="2410" w:type="dxa"/>
            <w:tcBorders>
              <w:top w:val="nil"/>
              <w:left w:val="nil"/>
              <w:bottom w:val="single" w:sz="4" w:space="0" w:color="auto"/>
              <w:right w:val="single" w:sz="4" w:space="0" w:color="auto"/>
            </w:tcBorders>
            <w:shd w:val="clear" w:color="auto" w:fill="E7E6E6" w:themeFill="background2"/>
          </w:tcPr>
          <w:p w14:paraId="7D4C82F7" w14:textId="546FA326" w:rsidR="00253547" w:rsidRPr="00327DAE" w:rsidRDefault="00253547" w:rsidP="0025317F">
            <w:pPr>
              <w:spacing w:after="120"/>
              <w:rPr>
                <w:i/>
              </w:rPr>
            </w:pPr>
            <w:r w:rsidRPr="00327DAE">
              <w:rPr>
                <w:i/>
                <w:color w:val="000000"/>
              </w:rPr>
              <w:t xml:space="preserve">Maira </w:t>
            </w:r>
            <w:proofErr w:type="spellStart"/>
            <w:r w:rsidRPr="00327DAE">
              <w:rPr>
                <w:i/>
                <w:color w:val="000000"/>
              </w:rPr>
              <w:t>Griķe</w:t>
            </w:r>
            <w:proofErr w:type="spellEnd"/>
          </w:p>
        </w:tc>
        <w:tc>
          <w:tcPr>
            <w:tcW w:w="3686" w:type="dxa"/>
            <w:tcBorders>
              <w:top w:val="nil"/>
              <w:left w:val="nil"/>
              <w:bottom w:val="single" w:sz="4" w:space="0" w:color="auto"/>
              <w:right w:val="single" w:sz="4" w:space="0" w:color="auto"/>
            </w:tcBorders>
            <w:shd w:val="clear" w:color="auto" w:fill="E7E6E6" w:themeFill="background2"/>
          </w:tcPr>
          <w:p w14:paraId="7B4939BC" w14:textId="59D2BCCD" w:rsidR="00253547" w:rsidRPr="00327DAE" w:rsidRDefault="00253547" w:rsidP="0025317F">
            <w:pPr>
              <w:spacing w:after="120"/>
              <w:rPr>
                <w:i/>
              </w:rPr>
            </w:pPr>
            <w:r w:rsidRPr="00327DAE">
              <w:rPr>
                <w:i/>
                <w:color w:val="000000"/>
              </w:rPr>
              <w:t xml:space="preserve">Datorizēta lietu sadale. </w:t>
            </w:r>
          </w:p>
        </w:tc>
      </w:tr>
      <w:tr w:rsidR="00253547" w:rsidRPr="00327DAE" w14:paraId="35B17A44" w14:textId="77777777" w:rsidTr="00327DAE">
        <w:trPr>
          <w:trHeight w:val="301"/>
        </w:trPr>
        <w:tc>
          <w:tcPr>
            <w:tcW w:w="562" w:type="dxa"/>
            <w:vMerge/>
          </w:tcPr>
          <w:p w14:paraId="1C7B3CAD"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53F1AFA7" w14:textId="5061BA2A" w:rsidR="00253547" w:rsidRPr="00327DAE" w:rsidRDefault="00253547" w:rsidP="0025317F">
            <w:pPr>
              <w:spacing w:after="120"/>
              <w:rPr>
                <w:i/>
              </w:rPr>
            </w:pPr>
            <w:r w:rsidRPr="00327DAE">
              <w:rPr>
                <w:i/>
                <w:color w:val="000000"/>
              </w:rPr>
              <w:t>26.03.2012</w:t>
            </w:r>
          </w:p>
        </w:tc>
        <w:tc>
          <w:tcPr>
            <w:tcW w:w="2410" w:type="dxa"/>
            <w:tcBorders>
              <w:top w:val="nil"/>
              <w:left w:val="nil"/>
              <w:bottom w:val="single" w:sz="4" w:space="0" w:color="auto"/>
              <w:right w:val="single" w:sz="4" w:space="0" w:color="auto"/>
            </w:tcBorders>
            <w:shd w:val="clear" w:color="auto" w:fill="E7E6E6" w:themeFill="background2"/>
          </w:tcPr>
          <w:p w14:paraId="79EC8C01" w14:textId="502FCA47" w:rsidR="00253547" w:rsidRPr="00327DAE" w:rsidRDefault="00253547" w:rsidP="0025317F">
            <w:pPr>
              <w:spacing w:after="120"/>
              <w:rPr>
                <w:i/>
              </w:rPr>
            </w:pPr>
            <w:r w:rsidRPr="00327DAE">
              <w:rPr>
                <w:i/>
                <w:color w:val="000000"/>
              </w:rPr>
              <w:t>Velga Gailīte</w:t>
            </w:r>
          </w:p>
        </w:tc>
        <w:tc>
          <w:tcPr>
            <w:tcW w:w="3686" w:type="dxa"/>
            <w:tcBorders>
              <w:top w:val="nil"/>
              <w:left w:val="nil"/>
              <w:bottom w:val="single" w:sz="4" w:space="0" w:color="auto"/>
              <w:right w:val="single" w:sz="4" w:space="0" w:color="auto"/>
            </w:tcBorders>
            <w:shd w:val="clear" w:color="auto" w:fill="E7E6E6" w:themeFill="background2"/>
          </w:tcPr>
          <w:p w14:paraId="02C4099D" w14:textId="546FEAA5" w:rsidR="00253547" w:rsidRPr="00327DAE" w:rsidRDefault="00253547" w:rsidP="0025317F">
            <w:pPr>
              <w:spacing w:after="120"/>
              <w:rPr>
                <w:i/>
              </w:rPr>
            </w:pPr>
            <w:r w:rsidRPr="00327DAE">
              <w:rPr>
                <w:i/>
                <w:color w:val="000000"/>
              </w:rPr>
              <w:t xml:space="preserve">Datorizēta lietu sadale. </w:t>
            </w:r>
          </w:p>
        </w:tc>
      </w:tr>
      <w:tr w:rsidR="00253547" w:rsidRPr="00327DAE" w14:paraId="7E710F9E" w14:textId="77777777" w:rsidTr="00327DAE">
        <w:trPr>
          <w:trHeight w:val="301"/>
        </w:trPr>
        <w:tc>
          <w:tcPr>
            <w:tcW w:w="562" w:type="dxa"/>
            <w:vMerge/>
          </w:tcPr>
          <w:p w14:paraId="16A047EB"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29159D32" w14:textId="10128B00" w:rsidR="00253547" w:rsidRPr="00327DAE" w:rsidRDefault="00253547" w:rsidP="0025317F">
            <w:pPr>
              <w:spacing w:after="120"/>
              <w:rPr>
                <w:i/>
              </w:rPr>
            </w:pPr>
            <w:r w:rsidRPr="00327DAE">
              <w:rPr>
                <w:i/>
                <w:color w:val="000000"/>
              </w:rPr>
              <w:t>19.04.2012</w:t>
            </w:r>
          </w:p>
        </w:tc>
        <w:tc>
          <w:tcPr>
            <w:tcW w:w="2410" w:type="dxa"/>
            <w:tcBorders>
              <w:top w:val="nil"/>
              <w:left w:val="nil"/>
              <w:bottom w:val="single" w:sz="4" w:space="0" w:color="auto"/>
              <w:right w:val="single" w:sz="4" w:space="0" w:color="auto"/>
            </w:tcBorders>
            <w:shd w:val="clear" w:color="auto" w:fill="E7E6E6" w:themeFill="background2"/>
          </w:tcPr>
          <w:p w14:paraId="3D3C5610" w14:textId="326B3792" w:rsidR="00253547" w:rsidRPr="00327DAE" w:rsidRDefault="00253547" w:rsidP="0025317F">
            <w:pPr>
              <w:spacing w:after="120"/>
              <w:rPr>
                <w:i/>
              </w:rPr>
            </w:pPr>
            <w:r w:rsidRPr="00327DAE">
              <w:rPr>
                <w:i/>
                <w:color w:val="000000"/>
              </w:rPr>
              <w:t>Raimonds Buls</w:t>
            </w:r>
          </w:p>
        </w:tc>
        <w:tc>
          <w:tcPr>
            <w:tcW w:w="3686" w:type="dxa"/>
            <w:tcBorders>
              <w:top w:val="nil"/>
              <w:left w:val="nil"/>
              <w:bottom w:val="single" w:sz="4" w:space="0" w:color="auto"/>
              <w:right w:val="single" w:sz="4" w:space="0" w:color="auto"/>
            </w:tcBorders>
            <w:shd w:val="clear" w:color="auto" w:fill="E7E6E6" w:themeFill="background2"/>
          </w:tcPr>
          <w:p w14:paraId="4EBE87EB" w14:textId="365C8CE2" w:rsidR="00253547" w:rsidRPr="00327DAE" w:rsidRDefault="000C18FA" w:rsidP="0025317F">
            <w:pPr>
              <w:spacing w:after="120"/>
              <w:rPr>
                <w:i/>
              </w:rPr>
            </w:pPr>
            <w:r w:rsidRPr="00327DAE">
              <w:rPr>
                <w:i/>
                <w:color w:val="000000"/>
              </w:rPr>
              <w:t>Manuāla lietu sadale.</w:t>
            </w:r>
          </w:p>
        </w:tc>
      </w:tr>
      <w:tr w:rsidR="00253547" w:rsidRPr="00327DAE" w14:paraId="1104C4CF" w14:textId="77777777" w:rsidTr="00327DAE">
        <w:trPr>
          <w:trHeight w:val="301"/>
        </w:trPr>
        <w:tc>
          <w:tcPr>
            <w:tcW w:w="562" w:type="dxa"/>
            <w:vMerge/>
          </w:tcPr>
          <w:p w14:paraId="637C3E4E"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34F3C4A9" w14:textId="4487D5C5" w:rsidR="00253547" w:rsidRPr="00327DAE" w:rsidRDefault="00253547" w:rsidP="0025317F">
            <w:pPr>
              <w:spacing w:after="120"/>
              <w:rPr>
                <w:i/>
              </w:rPr>
            </w:pPr>
            <w:r w:rsidRPr="00327DAE">
              <w:rPr>
                <w:i/>
                <w:color w:val="000000"/>
              </w:rPr>
              <w:t>04.03.2015</w:t>
            </w:r>
          </w:p>
        </w:tc>
        <w:tc>
          <w:tcPr>
            <w:tcW w:w="2410" w:type="dxa"/>
            <w:tcBorders>
              <w:top w:val="nil"/>
              <w:left w:val="nil"/>
              <w:bottom w:val="single" w:sz="4" w:space="0" w:color="auto"/>
              <w:right w:val="single" w:sz="4" w:space="0" w:color="auto"/>
            </w:tcBorders>
            <w:shd w:val="clear" w:color="auto" w:fill="E7E6E6" w:themeFill="background2"/>
          </w:tcPr>
          <w:p w14:paraId="06CC5506" w14:textId="2A20CF65" w:rsidR="00253547" w:rsidRPr="00327DAE" w:rsidRDefault="00253547" w:rsidP="0025317F">
            <w:pPr>
              <w:spacing w:after="120"/>
              <w:rPr>
                <w:i/>
              </w:rPr>
            </w:pPr>
            <w:r w:rsidRPr="00327DAE">
              <w:rPr>
                <w:i/>
                <w:color w:val="000000"/>
              </w:rPr>
              <w:t>Inese Sniķere</w:t>
            </w:r>
          </w:p>
        </w:tc>
        <w:tc>
          <w:tcPr>
            <w:tcW w:w="3686" w:type="dxa"/>
            <w:tcBorders>
              <w:top w:val="nil"/>
              <w:left w:val="nil"/>
              <w:bottom w:val="single" w:sz="4" w:space="0" w:color="auto"/>
              <w:right w:val="single" w:sz="4" w:space="0" w:color="auto"/>
            </w:tcBorders>
            <w:shd w:val="clear" w:color="auto" w:fill="E7E6E6" w:themeFill="background2"/>
          </w:tcPr>
          <w:p w14:paraId="67E6818C" w14:textId="47C10D96" w:rsidR="00253547" w:rsidRPr="00327DAE" w:rsidRDefault="00253547" w:rsidP="0025317F">
            <w:pPr>
              <w:spacing w:after="120"/>
              <w:rPr>
                <w:i/>
              </w:rPr>
            </w:pPr>
            <w:r w:rsidRPr="00327DAE">
              <w:rPr>
                <w:i/>
                <w:color w:val="000000"/>
              </w:rPr>
              <w:t xml:space="preserve">Datorizēta lietu sadale. </w:t>
            </w:r>
          </w:p>
        </w:tc>
      </w:tr>
      <w:tr w:rsidR="00253547" w:rsidRPr="00327DAE" w14:paraId="5A90DB6F" w14:textId="77777777" w:rsidTr="00327DAE">
        <w:trPr>
          <w:trHeight w:val="301"/>
        </w:trPr>
        <w:tc>
          <w:tcPr>
            <w:tcW w:w="562" w:type="dxa"/>
            <w:vMerge/>
          </w:tcPr>
          <w:p w14:paraId="3559F9DB"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574A14D9" w14:textId="4878E62F" w:rsidR="00253547" w:rsidRPr="00327DAE" w:rsidRDefault="00253547" w:rsidP="0025317F">
            <w:pPr>
              <w:spacing w:after="120"/>
              <w:rPr>
                <w:i/>
              </w:rPr>
            </w:pPr>
            <w:r w:rsidRPr="00327DAE">
              <w:rPr>
                <w:i/>
                <w:color w:val="000000"/>
              </w:rPr>
              <w:t>04.03.2015</w:t>
            </w:r>
          </w:p>
        </w:tc>
        <w:tc>
          <w:tcPr>
            <w:tcW w:w="2410" w:type="dxa"/>
            <w:tcBorders>
              <w:top w:val="nil"/>
              <w:left w:val="nil"/>
              <w:bottom w:val="single" w:sz="4" w:space="0" w:color="auto"/>
              <w:right w:val="single" w:sz="4" w:space="0" w:color="auto"/>
            </w:tcBorders>
            <w:shd w:val="clear" w:color="auto" w:fill="E7E6E6" w:themeFill="background2"/>
          </w:tcPr>
          <w:p w14:paraId="500EBD0C" w14:textId="61237D67" w:rsidR="00253547" w:rsidRPr="00327DAE" w:rsidRDefault="00253547" w:rsidP="0025317F">
            <w:pPr>
              <w:spacing w:after="120"/>
              <w:rPr>
                <w:i/>
              </w:rPr>
            </w:pPr>
            <w:r w:rsidRPr="00327DAE">
              <w:rPr>
                <w:i/>
                <w:color w:val="000000"/>
              </w:rPr>
              <w:t xml:space="preserve">Kristīne </w:t>
            </w:r>
            <w:proofErr w:type="spellStart"/>
            <w:r w:rsidRPr="00327DAE">
              <w:rPr>
                <w:i/>
                <w:color w:val="000000"/>
              </w:rPr>
              <w:t>Zdanovska</w:t>
            </w:r>
            <w:proofErr w:type="spellEnd"/>
          </w:p>
        </w:tc>
        <w:tc>
          <w:tcPr>
            <w:tcW w:w="3686" w:type="dxa"/>
            <w:tcBorders>
              <w:top w:val="nil"/>
              <w:left w:val="nil"/>
              <w:bottom w:val="single" w:sz="4" w:space="0" w:color="auto"/>
              <w:right w:val="single" w:sz="4" w:space="0" w:color="auto"/>
            </w:tcBorders>
            <w:shd w:val="clear" w:color="auto" w:fill="E7E6E6" w:themeFill="background2"/>
          </w:tcPr>
          <w:p w14:paraId="607744A2" w14:textId="298EBA93" w:rsidR="00253547" w:rsidRPr="00327DAE" w:rsidRDefault="00253547" w:rsidP="0025317F">
            <w:pPr>
              <w:spacing w:after="120"/>
              <w:rPr>
                <w:i/>
              </w:rPr>
            </w:pPr>
            <w:r w:rsidRPr="00327DAE">
              <w:rPr>
                <w:i/>
                <w:color w:val="000000"/>
              </w:rPr>
              <w:t xml:space="preserve">Datorizēta lietu sadale. </w:t>
            </w:r>
          </w:p>
        </w:tc>
      </w:tr>
      <w:tr w:rsidR="00253547" w:rsidRPr="00327DAE" w14:paraId="56506F65" w14:textId="77777777" w:rsidTr="00B40DAA">
        <w:trPr>
          <w:trHeight w:val="301"/>
        </w:trPr>
        <w:tc>
          <w:tcPr>
            <w:tcW w:w="562" w:type="dxa"/>
            <w:vMerge/>
          </w:tcPr>
          <w:p w14:paraId="5C71EA06"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192BDA4C" w14:textId="7CE238E6" w:rsidR="00253547" w:rsidRPr="00327DAE" w:rsidRDefault="00253547" w:rsidP="0025317F">
            <w:pPr>
              <w:spacing w:after="120"/>
              <w:rPr>
                <w:i/>
                <w:sz w:val="24"/>
                <w:szCs w:val="24"/>
              </w:rPr>
            </w:pPr>
            <w:r w:rsidRPr="00327DAE">
              <w:rPr>
                <w:i/>
                <w:sz w:val="24"/>
                <w:szCs w:val="24"/>
              </w:rPr>
              <w:t>Augstākās tiesas norādītais pamats lēmuma atcelšanai</w:t>
            </w:r>
          </w:p>
          <w:p w14:paraId="53469860" w14:textId="40FD8682" w:rsidR="00253547" w:rsidRPr="00327DAE" w:rsidRDefault="00253547" w:rsidP="0025317F">
            <w:pPr>
              <w:spacing w:after="120"/>
              <w:rPr>
                <w:sz w:val="24"/>
                <w:szCs w:val="24"/>
              </w:rPr>
            </w:pPr>
            <w:r w:rsidRPr="00327DAE">
              <w:rPr>
                <w:sz w:val="24"/>
                <w:szCs w:val="24"/>
              </w:rPr>
              <w:t>Izlemjot jautājumu par aresta atcelšanu, nepareizi piemērota Civilprocesa likuma norma, jo šā jautājuma izšķiršanas kārtība noteikta kriminālproces</w:t>
            </w:r>
            <w:r w:rsidR="0020329A" w:rsidRPr="00327DAE">
              <w:rPr>
                <w:sz w:val="24"/>
                <w:szCs w:val="24"/>
              </w:rPr>
              <w:t>u reglamentējošā tiesību normā.</w:t>
            </w:r>
          </w:p>
        </w:tc>
      </w:tr>
      <w:tr w:rsidR="00253547" w:rsidRPr="00327DAE" w14:paraId="1293D812" w14:textId="77777777" w:rsidTr="00B40DAA">
        <w:trPr>
          <w:trHeight w:val="301"/>
        </w:trPr>
        <w:tc>
          <w:tcPr>
            <w:tcW w:w="562" w:type="dxa"/>
            <w:vMerge/>
          </w:tcPr>
          <w:p w14:paraId="66CE4B55"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132CED53" w14:textId="77777777" w:rsidR="00253547" w:rsidRPr="00327DAE" w:rsidRDefault="00253547" w:rsidP="0025317F">
            <w:pPr>
              <w:spacing w:after="120"/>
              <w:rPr>
                <w:i/>
                <w:sz w:val="24"/>
                <w:szCs w:val="24"/>
              </w:rPr>
            </w:pPr>
            <w:r w:rsidRPr="00327DAE">
              <w:rPr>
                <w:i/>
                <w:sz w:val="24"/>
                <w:szCs w:val="24"/>
              </w:rPr>
              <w:t>Ekspertu secinājumi</w:t>
            </w:r>
          </w:p>
          <w:p w14:paraId="3D993CC7" w14:textId="17958CAD" w:rsidR="00253547" w:rsidRPr="00327DAE" w:rsidRDefault="00253547" w:rsidP="0025317F">
            <w:pPr>
              <w:spacing w:after="120"/>
              <w:rPr>
                <w:sz w:val="24"/>
                <w:szCs w:val="24"/>
              </w:rPr>
            </w:pPr>
            <w:r w:rsidRPr="00327DAE">
              <w:rPr>
                <w:sz w:val="24"/>
                <w:szCs w:val="24"/>
              </w:rPr>
              <w:t xml:space="preserve">Maksātnespējas procesā atceļot arestu mantai, tiesnesis balstījies uz Piespiedu ietekmēšanas līdzekļu izpildes likuma 8. pantu, tomēr vienlaikus norādot arī doktrinālu pamatojumu šādam lēmumam – par mantas konfiskāciju svarīgāka ir kreditoru interešu aizsardzība, tāpēc tai dodama priekšroka. Tomēr piemērotais normatīvais akts attiecas uz citas tiesību jomas regulējumu (minētā likuma 1., 6. pants) un tādēļ konkrētajā gadījumā nebija piemērojams. Šāds lēmums bija pieņemams vispārējā kārtībā (Kriminālprocesa likuma 366. pants). </w:t>
            </w:r>
          </w:p>
          <w:p w14:paraId="3ABD7DE7" w14:textId="5F4282C4" w:rsidR="00253547" w:rsidRPr="00327DAE" w:rsidRDefault="00253547" w:rsidP="0025317F">
            <w:pPr>
              <w:spacing w:after="120"/>
              <w:rPr>
                <w:sz w:val="24"/>
                <w:szCs w:val="24"/>
              </w:rPr>
            </w:pPr>
            <w:r w:rsidRPr="00327DAE">
              <w:rPr>
                <w:sz w:val="24"/>
                <w:szCs w:val="24"/>
              </w:rPr>
              <w:t>Līdz ar to tā uzskatāma par tiesas kļūdu, ko labojusi augstāka instance, veidojot attiecīgu judikatūru. Vienlaikus tas, ka tiesnesis lēmumu bija motivējis ar racionālu</w:t>
            </w:r>
            <w:r w:rsidR="005E4FD3" w:rsidRPr="00327DAE">
              <w:rPr>
                <w:sz w:val="24"/>
                <w:szCs w:val="24"/>
              </w:rPr>
              <w:t xml:space="preserve"> </w:t>
            </w:r>
            <w:r w:rsidRPr="00327DAE">
              <w:rPr>
                <w:sz w:val="24"/>
                <w:szCs w:val="24"/>
              </w:rPr>
              <w:t>doktrinā</w:t>
            </w:r>
            <w:r w:rsidR="005E4FD3" w:rsidRPr="00327DAE">
              <w:rPr>
                <w:sz w:val="24"/>
                <w:szCs w:val="24"/>
              </w:rPr>
              <w:t>r</w:t>
            </w:r>
            <w:r w:rsidRPr="00327DAE">
              <w:rPr>
                <w:sz w:val="24"/>
                <w:szCs w:val="24"/>
              </w:rPr>
              <w:t>u apsvērumu, neļauj izdarīt secinājumu par tīšu likuma pārkāpumu. Tas, ka Augstākā tiesa nepiekrita šādam tiesību normu iztulkojumam, pats par sevi nedod pamatu tiesneša disciplināratbildībai vai kvalifikācijas apšaubīšanai (sk. Tiesnešu disciplinārās atbildības likum</w:t>
            </w:r>
            <w:r w:rsidR="0020329A" w:rsidRPr="00327DAE">
              <w:rPr>
                <w:sz w:val="24"/>
                <w:szCs w:val="24"/>
              </w:rPr>
              <w:t>a 1. panta otro daļu).</w:t>
            </w:r>
          </w:p>
        </w:tc>
      </w:tr>
      <w:tr w:rsidR="00253547" w:rsidRPr="00327DAE" w14:paraId="60D72F75" w14:textId="77777777" w:rsidTr="00B40DAA">
        <w:trPr>
          <w:trHeight w:val="301"/>
        </w:trPr>
        <w:tc>
          <w:tcPr>
            <w:tcW w:w="562" w:type="dxa"/>
            <w:vMerge/>
          </w:tcPr>
          <w:p w14:paraId="4CD4D326"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1BB543E1" w14:textId="12E12E35" w:rsidR="00253547" w:rsidRPr="00327DAE" w:rsidRDefault="00253547"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14:paraId="251D2AB4" w14:textId="6DA7E645" w:rsidR="00253547" w:rsidRPr="00327DAE" w:rsidRDefault="00253547" w:rsidP="0025317F">
            <w:pPr>
              <w:spacing w:after="120"/>
              <w:rPr>
                <w:sz w:val="24"/>
                <w:szCs w:val="24"/>
              </w:rPr>
            </w:pPr>
            <w:r w:rsidRPr="00327DAE">
              <w:rPr>
                <w:sz w:val="24"/>
                <w:szCs w:val="24"/>
              </w:rPr>
              <w:t>Par</w:t>
            </w:r>
            <w:r w:rsidR="007D4267" w:rsidRPr="00327DAE">
              <w:rPr>
                <w:sz w:val="24"/>
                <w:szCs w:val="24"/>
              </w:rPr>
              <w:t xml:space="preserve"> prettiesisku un</w:t>
            </w:r>
            <w:r w:rsidRPr="00327DAE">
              <w:rPr>
                <w:sz w:val="24"/>
                <w:szCs w:val="24"/>
              </w:rPr>
              <w:t xml:space="preserve"> pārdrošu atzīstama tiesneša manipulēšana ar Civilprocesa likuma normām, ignorējot Kriminālprocesa likuma 366. pantā noteikto un atceļot kriminālprocesa ietvaros uzliktu arestu SIA „Dzimtā sēta” mantai – naudas līdzekļiem 815 5</w:t>
            </w:r>
            <w:r w:rsidR="00E732C1">
              <w:rPr>
                <w:sz w:val="24"/>
                <w:szCs w:val="24"/>
              </w:rPr>
              <w:t>36,16</w:t>
            </w:r>
            <w:r w:rsidR="00E96349" w:rsidRPr="00327DAE">
              <w:rPr>
                <w:sz w:val="24"/>
                <w:szCs w:val="24"/>
              </w:rPr>
              <w:t xml:space="preserve"> Ls</w:t>
            </w:r>
            <w:r w:rsidR="00E732C1">
              <w:rPr>
                <w:sz w:val="24"/>
                <w:szCs w:val="24"/>
              </w:rPr>
              <w:t>. Summa ir liela</w:t>
            </w:r>
            <w:r w:rsidR="00200352">
              <w:rPr>
                <w:sz w:val="24"/>
                <w:szCs w:val="24"/>
              </w:rPr>
              <w:t xml:space="preserve"> turklāt,</w:t>
            </w:r>
            <w:r w:rsidR="00E732C1">
              <w:rPr>
                <w:sz w:val="24"/>
                <w:szCs w:val="24"/>
              </w:rPr>
              <w:t xml:space="preserve"> </w:t>
            </w:r>
            <w:r w:rsidRPr="00327DAE">
              <w:rPr>
                <w:sz w:val="24"/>
                <w:szCs w:val="24"/>
              </w:rPr>
              <w:t xml:space="preserve">kā norādījusi arī Augstākā tiesa, ar šādu lēmumu aizskartas valsts tiesības uz iespējamo mantas konfiskāciju kriminālprocesā. </w:t>
            </w:r>
          </w:p>
          <w:p w14:paraId="72DB4446" w14:textId="540AFC83" w:rsidR="00253547" w:rsidRPr="00327DAE" w:rsidRDefault="00253547" w:rsidP="0025317F">
            <w:pPr>
              <w:spacing w:after="120"/>
              <w:rPr>
                <w:sz w:val="24"/>
                <w:szCs w:val="24"/>
              </w:rPr>
            </w:pPr>
            <w:r w:rsidRPr="00327DAE">
              <w:rPr>
                <w:sz w:val="24"/>
                <w:szCs w:val="24"/>
              </w:rPr>
              <w:t>Tiesneša lēmums uzrāda vismaz klaju likuma normu neizpratni un bezatbildību lietas izskatīšanā.</w:t>
            </w:r>
            <w:r w:rsidR="005D605D" w:rsidRPr="00327DAE">
              <w:rPr>
                <w:sz w:val="24"/>
                <w:szCs w:val="24"/>
              </w:rPr>
              <w:t xml:space="preserve"> Rupjš pārkāpums.</w:t>
            </w:r>
          </w:p>
        </w:tc>
      </w:tr>
      <w:tr w:rsidR="00253547" w:rsidRPr="00327DAE" w14:paraId="615CD87A" w14:textId="77777777" w:rsidTr="00B40DAA">
        <w:trPr>
          <w:trHeight w:val="301"/>
        </w:trPr>
        <w:tc>
          <w:tcPr>
            <w:tcW w:w="562" w:type="dxa"/>
            <w:vMerge/>
          </w:tcPr>
          <w:p w14:paraId="246B35EA"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2305E60E" w14:textId="659036B2" w:rsidR="00253547" w:rsidRPr="00327DAE" w:rsidRDefault="00253547" w:rsidP="0025317F">
            <w:pPr>
              <w:spacing w:after="120"/>
              <w:rPr>
                <w:i/>
                <w:sz w:val="24"/>
                <w:szCs w:val="24"/>
              </w:rPr>
            </w:pPr>
            <w:r w:rsidRPr="00327DAE">
              <w:rPr>
                <w:i/>
                <w:sz w:val="24"/>
                <w:szCs w:val="24"/>
              </w:rPr>
              <w:t>H. Jaujas atsevišķie secinājumi</w:t>
            </w:r>
          </w:p>
          <w:p w14:paraId="40002A20" w14:textId="236603A4" w:rsidR="00253547" w:rsidRPr="00327DAE" w:rsidRDefault="00253547" w:rsidP="0025317F">
            <w:pPr>
              <w:spacing w:after="120"/>
              <w:rPr>
                <w:sz w:val="24"/>
                <w:szCs w:val="24"/>
              </w:rPr>
            </w:pPr>
            <w:r w:rsidRPr="00327DAE">
              <w:rPr>
                <w:sz w:val="24"/>
                <w:szCs w:val="24"/>
              </w:rPr>
              <w:t xml:space="preserve">Tiesnesis </w:t>
            </w:r>
            <w:r w:rsidR="00A77BA8">
              <w:rPr>
                <w:sz w:val="24"/>
                <w:szCs w:val="24"/>
              </w:rPr>
              <w:t>R. </w:t>
            </w:r>
            <w:r w:rsidRPr="00327DAE">
              <w:rPr>
                <w:sz w:val="24"/>
                <w:szCs w:val="24"/>
              </w:rPr>
              <w:t xml:space="preserve">Buls ar savu lēmumu ir rupji pārkāpis likumu, izlemjot civilprocesa lietas ietvaros kriminālprocesuālu jautājumu. To, </w:t>
            </w:r>
            <w:proofErr w:type="gramStart"/>
            <w:r w:rsidRPr="00327DAE">
              <w:rPr>
                <w:sz w:val="24"/>
                <w:szCs w:val="24"/>
              </w:rPr>
              <w:t>vai šis lēmums ir apzināts likumpārkāpums vai nejauša nolaidība, viennozīmīgi nav</w:t>
            </w:r>
            <w:proofErr w:type="gramEnd"/>
            <w:r w:rsidRPr="00327DAE">
              <w:rPr>
                <w:sz w:val="24"/>
                <w:szCs w:val="24"/>
              </w:rPr>
              <w:t xml:space="preserve"> iespējams konstatēt, taču šīs lietas apstākļi kopsakarā ar citām </w:t>
            </w:r>
            <w:r w:rsidR="00A77BA8">
              <w:rPr>
                <w:sz w:val="24"/>
                <w:szCs w:val="24"/>
              </w:rPr>
              <w:t xml:space="preserve">R. </w:t>
            </w:r>
            <w:r w:rsidRPr="00327DAE">
              <w:rPr>
                <w:sz w:val="24"/>
                <w:szCs w:val="24"/>
              </w:rPr>
              <w:t xml:space="preserve">Bula skatītajām lietām vērotājam no malas var radīt iespaidu, ka </w:t>
            </w:r>
            <w:r w:rsidR="00A77BA8">
              <w:rPr>
                <w:sz w:val="24"/>
                <w:szCs w:val="24"/>
              </w:rPr>
              <w:t>R. </w:t>
            </w:r>
            <w:r w:rsidRPr="00327DAE">
              <w:rPr>
                <w:sz w:val="24"/>
                <w:szCs w:val="24"/>
              </w:rPr>
              <w:t>Buls, pieņemot šo lēmumu</w:t>
            </w:r>
            <w:r w:rsidR="00E732C1">
              <w:rPr>
                <w:sz w:val="24"/>
                <w:szCs w:val="24"/>
              </w:rPr>
              <w:t>,</w:t>
            </w:r>
            <w:r w:rsidRPr="00327DAE">
              <w:rPr>
                <w:sz w:val="24"/>
                <w:szCs w:val="24"/>
              </w:rPr>
              <w:t xml:space="preserve"> ir rīkojies apzināti. Par to liecina gan šīs lietas apstākļi, gan arī citi </w:t>
            </w:r>
            <w:r w:rsidR="00A77BA8">
              <w:rPr>
                <w:sz w:val="24"/>
                <w:szCs w:val="24"/>
              </w:rPr>
              <w:t>R. </w:t>
            </w:r>
            <w:r w:rsidRPr="00327DAE">
              <w:rPr>
                <w:sz w:val="24"/>
                <w:szCs w:val="24"/>
              </w:rPr>
              <w:t xml:space="preserve">Bula nolēmumi un </w:t>
            </w:r>
            <w:r w:rsidRPr="00327DAE">
              <w:rPr>
                <w:sz w:val="24"/>
                <w:szCs w:val="24"/>
              </w:rPr>
              <w:lastRenderedPageBreak/>
              <w:t>apstākļi, kādos tie ir pieņemti</w:t>
            </w:r>
            <w:r w:rsidR="0020329A" w:rsidRPr="00327DAE">
              <w:rPr>
                <w:sz w:val="24"/>
                <w:szCs w:val="24"/>
              </w:rPr>
              <w:t>.</w:t>
            </w:r>
          </w:p>
        </w:tc>
      </w:tr>
      <w:tr w:rsidR="00253547" w:rsidRPr="00327DAE" w14:paraId="680DAC4A" w14:textId="77777777" w:rsidTr="00B40DAA">
        <w:trPr>
          <w:trHeight w:val="301"/>
        </w:trPr>
        <w:tc>
          <w:tcPr>
            <w:tcW w:w="562" w:type="dxa"/>
            <w:vMerge w:val="restart"/>
          </w:tcPr>
          <w:p w14:paraId="3A44896D" w14:textId="283DCA8C" w:rsidR="00253547" w:rsidRPr="00327DAE" w:rsidRDefault="00253547" w:rsidP="0025317F">
            <w:pPr>
              <w:spacing w:after="120"/>
              <w:rPr>
                <w:b/>
                <w:color w:val="000000"/>
                <w:sz w:val="24"/>
                <w:szCs w:val="24"/>
              </w:rPr>
            </w:pPr>
            <w:r w:rsidRPr="00327DAE">
              <w:rPr>
                <w:b/>
                <w:color w:val="000000"/>
                <w:sz w:val="24"/>
                <w:szCs w:val="24"/>
              </w:rPr>
              <w:lastRenderedPageBreak/>
              <w:t>2.</w:t>
            </w:r>
          </w:p>
        </w:tc>
        <w:tc>
          <w:tcPr>
            <w:tcW w:w="1701" w:type="dxa"/>
            <w:shd w:val="clear" w:color="auto" w:fill="auto"/>
            <w:noWrap/>
            <w:vAlign w:val="bottom"/>
          </w:tcPr>
          <w:p w14:paraId="7258DFFA" w14:textId="77777777" w:rsidR="00253547" w:rsidRPr="00327DAE" w:rsidRDefault="00253547" w:rsidP="0025317F">
            <w:pPr>
              <w:spacing w:after="120"/>
              <w:rPr>
                <w:b/>
                <w:color w:val="000000"/>
                <w:sz w:val="24"/>
                <w:szCs w:val="24"/>
              </w:rPr>
            </w:pPr>
            <w:r w:rsidRPr="00327DAE">
              <w:rPr>
                <w:b/>
                <w:color w:val="000000"/>
                <w:sz w:val="24"/>
                <w:szCs w:val="24"/>
              </w:rPr>
              <w:t>C27177512</w:t>
            </w:r>
            <w:r w:rsidRPr="00327DAE">
              <w:rPr>
                <w:rStyle w:val="FootnoteReference"/>
                <w:b/>
                <w:color w:val="000000"/>
                <w:sz w:val="24"/>
                <w:szCs w:val="24"/>
              </w:rPr>
              <w:footnoteReference w:id="10"/>
            </w:r>
          </w:p>
          <w:p w14:paraId="569581AA" w14:textId="77777777" w:rsidR="00253547" w:rsidRPr="00327DAE" w:rsidRDefault="00253547" w:rsidP="0025317F">
            <w:pPr>
              <w:spacing w:after="120"/>
              <w:rPr>
                <w:b/>
                <w:sz w:val="24"/>
                <w:szCs w:val="24"/>
                <w:u w:val="single"/>
              </w:rPr>
            </w:pPr>
            <w:r w:rsidRPr="00327DAE">
              <w:rPr>
                <w:b/>
                <w:sz w:val="24"/>
                <w:szCs w:val="24"/>
              </w:rPr>
              <w:t>SPC-58/2013</w:t>
            </w:r>
          </w:p>
        </w:tc>
        <w:tc>
          <w:tcPr>
            <w:tcW w:w="2410" w:type="dxa"/>
            <w:shd w:val="clear" w:color="auto" w:fill="auto"/>
            <w:vAlign w:val="bottom"/>
          </w:tcPr>
          <w:p w14:paraId="409C3CBC" w14:textId="77777777" w:rsidR="00253547" w:rsidRPr="00327DAE" w:rsidRDefault="00253547" w:rsidP="0025317F">
            <w:pPr>
              <w:spacing w:after="120"/>
              <w:rPr>
                <w:b/>
                <w:sz w:val="24"/>
                <w:szCs w:val="24"/>
              </w:rPr>
            </w:pPr>
            <w:r w:rsidRPr="00327DAE">
              <w:rPr>
                <w:b/>
                <w:sz w:val="24"/>
                <w:szCs w:val="24"/>
              </w:rPr>
              <w:t>14.11.2012. lēmums</w:t>
            </w:r>
          </w:p>
        </w:tc>
        <w:tc>
          <w:tcPr>
            <w:tcW w:w="3686" w:type="dxa"/>
            <w:shd w:val="clear" w:color="auto" w:fill="auto"/>
            <w:vAlign w:val="bottom"/>
          </w:tcPr>
          <w:p w14:paraId="44D2DA4E" w14:textId="52FE138D" w:rsidR="00253547" w:rsidRPr="00327DAE" w:rsidRDefault="00253547" w:rsidP="0025317F">
            <w:pPr>
              <w:pStyle w:val="Heading3"/>
            </w:pPr>
            <w:bookmarkStart w:id="17" w:name="_Toc522527492"/>
            <w:r w:rsidRPr="00327DAE">
              <w:rPr>
                <w:rStyle w:val="Heading3Char"/>
                <w:rFonts w:cs="Times New Roman"/>
                <w:b/>
              </w:rPr>
              <w:t>SIA „Doma investīcijas”</w:t>
            </w:r>
            <w:r w:rsidRPr="00327DAE">
              <w:t>: TAP īstenošana ĀTAP gadījumā</w:t>
            </w:r>
            <w:bookmarkEnd w:id="17"/>
          </w:p>
        </w:tc>
      </w:tr>
      <w:tr w:rsidR="00253547" w:rsidRPr="00327DAE" w14:paraId="43BD07AD" w14:textId="77777777" w:rsidTr="00327DAE">
        <w:trPr>
          <w:trHeight w:val="301"/>
        </w:trPr>
        <w:tc>
          <w:tcPr>
            <w:tcW w:w="562" w:type="dxa"/>
            <w:vMerge/>
          </w:tcPr>
          <w:p w14:paraId="54B734FA"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63E20EC" w14:textId="25DFDA7B"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452EB525" w14:textId="5BA5494C"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1881B9AE" w14:textId="4063BE0B" w:rsidR="00253547" w:rsidRPr="00327DAE" w:rsidRDefault="00253547" w:rsidP="0025317F">
            <w:pPr>
              <w:spacing w:after="120"/>
              <w:rPr>
                <w:b/>
                <w:i/>
              </w:rPr>
            </w:pPr>
            <w:r w:rsidRPr="00327DAE">
              <w:rPr>
                <w:b/>
                <w:bCs/>
                <w:i/>
                <w:color w:val="000000"/>
              </w:rPr>
              <w:t>Lietu sadales veids/iemesls</w:t>
            </w:r>
          </w:p>
        </w:tc>
      </w:tr>
      <w:tr w:rsidR="00253547" w:rsidRPr="00327DAE" w14:paraId="2877C8B4" w14:textId="77777777" w:rsidTr="00327DAE">
        <w:trPr>
          <w:trHeight w:val="301"/>
        </w:trPr>
        <w:tc>
          <w:tcPr>
            <w:tcW w:w="562" w:type="dxa"/>
            <w:vMerge/>
          </w:tcPr>
          <w:p w14:paraId="2B02FC5C"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64151DA0" w14:textId="0D43A506" w:rsidR="00253547" w:rsidRPr="00327DAE" w:rsidRDefault="00253547" w:rsidP="0025317F">
            <w:pPr>
              <w:spacing w:after="120"/>
              <w:rPr>
                <w:i/>
              </w:rPr>
            </w:pPr>
            <w:r w:rsidRPr="00327DAE">
              <w:rPr>
                <w:i/>
                <w:color w:val="000000"/>
              </w:rPr>
              <w:t>30.05.2012</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191E61D6" w14:textId="771E9105"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3D9C18FF" w14:textId="6AAE75B5" w:rsidR="00253547" w:rsidRPr="00327DAE" w:rsidRDefault="00253547" w:rsidP="0025317F">
            <w:pPr>
              <w:spacing w:after="120"/>
              <w:rPr>
                <w:i/>
              </w:rPr>
            </w:pPr>
            <w:r w:rsidRPr="00327DAE">
              <w:rPr>
                <w:i/>
                <w:color w:val="000000"/>
              </w:rPr>
              <w:t xml:space="preserve">Datorizēta lietu sadale. </w:t>
            </w:r>
          </w:p>
        </w:tc>
      </w:tr>
      <w:tr w:rsidR="00253547" w:rsidRPr="00327DAE" w14:paraId="5790EEEF" w14:textId="77777777" w:rsidTr="00327DAE">
        <w:trPr>
          <w:trHeight w:val="301"/>
        </w:trPr>
        <w:tc>
          <w:tcPr>
            <w:tcW w:w="562" w:type="dxa"/>
            <w:vMerge/>
          </w:tcPr>
          <w:p w14:paraId="4308FCA0"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34077A8C" w14:textId="46EAB1FD" w:rsidR="00253547" w:rsidRPr="00327DAE" w:rsidRDefault="00253547" w:rsidP="0025317F">
            <w:pPr>
              <w:spacing w:after="120"/>
              <w:rPr>
                <w:i/>
              </w:rPr>
            </w:pPr>
            <w:r w:rsidRPr="00327DAE">
              <w:rPr>
                <w:i/>
                <w:color w:val="000000"/>
              </w:rPr>
              <w:t>03.12.2013</w:t>
            </w:r>
          </w:p>
        </w:tc>
        <w:tc>
          <w:tcPr>
            <w:tcW w:w="2410" w:type="dxa"/>
            <w:tcBorders>
              <w:top w:val="nil"/>
              <w:left w:val="nil"/>
              <w:bottom w:val="single" w:sz="4" w:space="0" w:color="auto"/>
              <w:right w:val="single" w:sz="4" w:space="0" w:color="auto"/>
            </w:tcBorders>
            <w:shd w:val="clear" w:color="auto" w:fill="E7E6E6" w:themeFill="background2"/>
          </w:tcPr>
          <w:p w14:paraId="1DF50DAD" w14:textId="34BB061C" w:rsidR="00253547" w:rsidRPr="00327DAE" w:rsidRDefault="00253547" w:rsidP="0025317F">
            <w:pPr>
              <w:spacing w:after="120"/>
              <w:rPr>
                <w:i/>
              </w:rPr>
            </w:pPr>
            <w:r w:rsidRPr="00327DAE">
              <w:rPr>
                <w:i/>
                <w:color w:val="000000"/>
              </w:rPr>
              <w:t xml:space="preserve">Maira </w:t>
            </w:r>
            <w:proofErr w:type="spellStart"/>
            <w:r w:rsidRPr="00327DAE">
              <w:rPr>
                <w:i/>
                <w:color w:val="000000"/>
              </w:rPr>
              <w:t>Griķe</w:t>
            </w:r>
            <w:proofErr w:type="spellEnd"/>
          </w:p>
        </w:tc>
        <w:tc>
          <w:tcPr>
            <w:tcW w:w="3686" w:type="dxa"/>
            <w:tcBorders>
              <w:top w:val="nil"/>
              <w:left w:val="nil"/>
              <w:bottom w:val="single" w:sz="4" w:space="0" w:color="auto"/>
              <w:right w:val="single" w:sz="4" w:space="0" w:color="auto"/>
            </w:tcBorders>
            <w:shd w:val="clear" w:color="auto" w:fill="E7E6E6" w:themeFill="background2"/>
          </w:tcPr>
          <w:p w14:paraId="5D1A5DE4" w14:textId="7147F42D" w:rsidR="00253547" w:rsidRPr="00327DAE" w:rsidRDefault="001751AB" w:rsidP="0025317F">
            <w:pPr>
              <w:spacing w:after="120"/>
              <w:rPr>
                <w:i/>
              </w:rPr>
            </w:pPr>
            <w:r w:rsidRPr="00327DAE">
              <w:rPr>
                <w:i/>
                <w:color w:val="000000"/>
              </w:rPr>
              <w:t>pēc lēmuma atcelšanas - manuāla lietu sadale</w:t>
            </w:r>
          </w:p>
        </w:tc>
      </w:tr>
      <w:tr w:rsidR="00253547" w:rsidRPr="00327DAE" w14:paraId="77AFE735" w14:textId="77777777" w:rsidTr="00327DAE">
        <w:trPr>
          <w:trHeight w:val="301"/>
        </w:trPr>
        <w:tc>
          <w:tcPr>
            <w:tcW w:w="562" w:type="dxa"/>
            <w:vMerge/>
          </w:tcPr>
          <w:p w14:paraId="7932A2CC" w14:textId="77777777"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5AE57FF2" w14:textId="7CD6128E" w:rsidR="00253547" w:rsidRPr="00327DAE" w:rsidRDefault="00253547" w:rsidP="0025317F">
            <w:pPr>
              <w:spacing w:after="120"/>
              <w:rPr>
                <w:i/>
              </w:rPr>
            </w:pPr>
            <w:r w:rsidRPr="00327DAE">
              <w:rPr>
                <w:i/>
                <w:color w:val="000000"/>
              </w:rPr>
              <w:t>28.05.2014</w:t>
            </w:r>
          </w:p>
        </w:tc>
        <w:tc>
          <w:tcPr>
            <w:tcW w:w="2410" w:type="dxa"/>
            <w:tcBorders>
              <w:top w:val="nil"/>
              <w:left w:val="nil"/>
              <w:bottom w:val="single" w:sz="4" w:space="0" w:color="auto"/>
              <w:right w:val="single" w:sz="4" w:space="0" w:color="auto"/>
            </w:tcBorders>
            <w:shd w:val="clear" w:color="auto" w:fill="E7E6E6" w:themeFill="background2"/>
          </w:tcPr>
          <w:p w14:paraId="316A4660" w14:textId="3B92C533" w:rsidR="00253547" w:rsidRPr="00327DAE" w:rsidRDefault="00253547" w:rsidP="0025317F">
            <w:pPr>
              <w:spacing w:after="120"/>
              <w:rPr>
                <w:i/>
              </w:rPr>
            </w:pPr>
            <w:r w:rsidRPr="00327DAE">
              <w:rPr>
                <w:i/>
                <w:color w:val="000000"/>
              </w:rPr>
              <w:t>Raimonds Buls</w:t>
            </w:r>
          </w:p>
        </w:tc>
        <w:tc>
          <w:tcPr>
            <w:tcW w:w="3686" w:type="dxa"/>
            <w:tcBorders>
              <w:top w:val="nil"/>
              <w:left w:val="nil"/>
              <w:bottom w:val="single" w:sz="4" w:space="0" w:color="auto"/>
              <w:right w:val="single" w:sz="4" w:space="0" w:color="auto"/>
            </w:tcBorders>
            <w:shd w:val="clear" w:color="auto" w:fill="E7E6E6" w:themeFill="background2"/>
          </w:tcPr>
          <w:p w14:paraId="551A9416" w14:textId="706F54E9" w:rsidR="00253547" w:rsidRPr="00327DAE" w:rsidRDefault="00253547" w:rsidP="0025317F">
            <w:pPr>
              <w:spacing w:after="120"/>
              <w:rPr>
                <w:i/>
              </w:rPr>
            </w:pPr>
            <w:r w:rsidRPr="00327DAE">
              <w:rPr>
                <w:i/>
                <w:color w:val="000000"/>
              </w:rPr>
              <w:t>atpakaļ izskatīšanai pēc būtības</w:t>
            </w:r>
            <w:r w:rsidR="001751AB" w:rsidRPr="00327DAE">
              <w:rPr>
                <w:i/>
                <w:color w:val="000000"/>
              </w:rPr>
              <w:t xml:space="preserve"> </w:t>
            </w:r>
            <w:r w:rsidRPr="00327DAE">
              <w:rPr>
                <w:i/>
                <w:color w:val="000000"/>
              </w:rPr>
              <w:t>- manuāl</w:t>
            </w:r>
            <w:r w:rsidR="001751AB" w:rsidRPr="00327DAE">
              <w:rPr>
                <w:i/>
                <w:color w:val="000000"/>
              </w:rPr>
              <w:t>a lietu sadale</w:t>
            </w:r>
          </w:p>
        </w:tc>
      </w:tr>
      <w:tr w:rsidR="00253547" w:rsidRPr="00327DAE" w14:paraId="15713865" w14:textId="77777777" w:rsidTr="00B40DAA">
        <w:trPr>
          <w:trHeight w:val="301"/>
        </w:trPr>
        <w:tc>
          <w:tcPr>
            <w:tcW w:w="562" w:type="dxa"/>
            <w:vMerge/>
          </w:tcPr>
          <w:p w14:paraId="6F97776F"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20CDD463" w14:textId="79C2BB0F" w:rsidR="00253547" w:rsidRPr="00327DAE" w:rsidRDefault="00253547" w:rsidP="0025317F">
            <w:pPr>
              <w:spacing w:after="120"/>
              <w:rPr>
                <w:i/>
                <w:sz w:val="24"/>
                <w:szCs w:val="24"/>
              </w:rPr>
            </w:pPr>
            <w:r w:rsidRPr="00327DAE">
              <w:rPr>
                <w:i/>
                <w:sz w:val="24"/>
                <w:szCs w:val="24"/>
              </w:rPr>
              <w:t>Augstākās tiesas norādītais pamats lēmuma atcelšanai</w:t>
            </w:r>
          </w:p>
          <w:p w14:paraId="71319014" w14:textId="5EE4DD65" w:rsidR="00253547" w:rsidRPr="00327DAE" w:rsidRDefault="00253547" w:rsidP="0025317F">
            <w:pPr>
              <w:spacing w:after="120"/>
              <w:rPr>
                <w:sz w:val="24"/>
                <w:szCs w:val="24"/>
              </w:rPr>
            </w:pPr>
            <w:r w:rsidRPr="00327DAE">
              <w:rPr>
                <w:sz w:val="24"/>
                <w:szCs w:val="24"/>
              </w:rPr>
              <w:t>Būtiski bija izvērtēt, kāds konkrētajā lietā ir kreditores statuss, proti, vai tā ir vai nav atzīstama par nodrošināto kreditori, k</w:t>
            </w:r>
            <w:r w:rsidR="0020329A" w:rsidRPr="00327DAE">
              <w:rPr>
                <w:sz w:val="24"/>
                <w:szCs w:val="24"/>
              </w:rPr>
              <w:t>o tiesa nav izdarījusi.</w:t>
            </w:r>
          </w:p>
        </w:tc>
      </w:tr>
      <w:tr w:rsidR="00253547" w:rsidRPr="00327DAE" w14:paraId="713C5E4C" w14:textId="77777777" w:rsidTr="00B40DAA">
        <w:trPr>
          <w:trHeight w:val="301"/>
        </w:trPr>
        <w:tc>
          <w:tcPr>
            <w:tcW w:w="562" w:type="dxa"/>
            <w:vMerge/>
          </w:tcPr>
          <w:p w14:paraId="338D282D"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494B03A4" w14:textId="77777777" w:rsidR="00253547" w:rsidRPr="00327DAE" w:rsidRDefault="00253547" w:rsidP="0025317F">
            <w:pPr>
              <w:spacing w:after="120"/>
              <w:rPr>
                <w:i/>
                <w:sz w:val="24"/>
                <w:szCs w:val="24"/>
              </w:rPr>
            </w:pPr>
            <w:r w:rsidRPr="00327DAE">
              <w:rPr>
                <w:i/>
                <w:sz w:val="24"/>
                <w:szCs w:val="24"/>
              </w:rPr>
              <w:t>Ekspertu secinājumi</w:t>
            </w:r>
          </w:p>
          <w:p w14:paraId="5DD77462" w14:textId="1BA672A9" w:rsidR="00253547" w:rsidRPr="00327DAE" w:rsidRDefault="00253547" w:rsidP="0025317F">
            <w:pPr>
              <w:spacing w:after="120"/>
              <w:rPr>
                <w:sz w:val="24"/>
                <w:szCs w:val="24"/>
              </w:rPr>
            </w:pPr>
            <w:r w:rsidRPr="00327DAE">
              <w:rPr>
                <w:sz w:val="24"/>
                <w:szCs w:val="24"/>
              </w:rPr>
              <w:t>Likums tajā laikā tieši neparedzēja, ka trešā persona, kura ir ķīlas ņēmēja, būtu atzīstama par nodrošināto kreditoru, un šis jautājums tiesu praksē atrisināts tikai gadu vēlāk ar Augstākās tiesas Senāta 2013. gada 4. oktobra lēmumu lietā Nr. SPC</w:t>
            </w:r>
            <w:r w:rsidRPr="00327DAE">
              <w:rPr>
                <w:sz w:val="24"/>
                <w:szCs w:val="24"/>
              </w:rPr>
              <w:noBreakHyphen/>
              <w:t>42/2013, kur nostiprināts princips, ka ķīlas ņēmējs saglabā tiesības uz prasījuma apmierināšanu no ieķīlātās lietas neatkarīgi no tā, vai ķīlas devējam ir pasludināts maksātnespējas process</w:t>
            </w:r>
            <w:r w:rsidR="005E4FD3" w:rsidRPr="00327DAE">
              <w:rPr>
                <w:sz w:val="24"/>
                <w:szCs w:val="24"/>
              </w:rPr>
              <w:t xml:space="preserve"> (t.s. “trīsstūra” problēma)</w:t>
            </w:r>
            <w:r w:rsidRPr="00327DAE">
              <w:rPr>
                <w:sz w:val="24"/>
                <w:szCs w:val="24"/>
              </w:rPr>
              <w:t xml:space="preserve">. Tiesneša </w:t>
            </w:r>
            <w:r w:rsidR="00A77BA8">
              <w:rPr>
                <w:sz w:val="24"/>
                <w:szCs w:val="24"/>
              </w:rPr>
              <w:t>R. </w:t>
            </w:r>
            <w:r w:rsidRPr="00327DAE">
              <w:rPr>
                <w:sz w:val="24"/>
                <w:szCs w:val="24"/>
              </w:rPr>
              <w:t xml:space="preserve">Bula lēmums pieņemts pirms šī Senāta nolēmuma un atcelts ar Augstākās tiesas lēmumu jau pēc tam, kad bija nostiprināta šī judikatūras atziņa, tāpēc tiesneša lēmums šajā lietā neliecina par kļūdu vai tiesneša nekompetenci. </w:t>
            </w:r>
          </w:p>
          <w:p w14:paraId="54C6FF48" w14:textId="3AFC384A" w:rsidR="00253547" w:rsidRPr="00327DAE" w:rsidRDefault="00253547" w:rsidP="0025317F">
            <w:pPr>
              <w:spacing w:after="120"/>
              <w:rPr>
                <w:sz w:val="24"/>
                <w:szCs w:val="24"/>
              </w:rPr>
            </w:pPr>
            <w:r w:rsidRPr="00327DAE">
              <w:rPr>
                <w:sz w:val="24"/>
                <w:szCs w:val="24"/>
              </w:rPr>
              <w:t xml:space="preserve">Likumdevējs šo problēmu sakārtojis tikai ar 2014. gada 25. septembra grozījumiem (spēkā no 2015. gada 1. janvāra) </w:t>
            </w:r>
            <w:r w:rsidR="0020329A" w:rsidRPr="00327DAE">
              <w:rPr>
                <w:sz w:val="24"/>
                <w:szCs w:val="24"/>
              </w:rPr>
              <w:t>Maksātnespējas likuma 7. pantā.</w:t>
            </w:r>
          </w:p>
        </w:tc>
      </w:tr>
      <w:tr w:rsidR="00E732C1" w:rsidRPr="00327DAE" w14:paraId="7891FD1F" w14:textId="77777777" w:rsidTr="00B40DAA">
        <w:trPr>
          <w:trHeight w:val="301"/>
        </w:trPr>
        <w:tc>
          <w:tcPr>
            <w:tcW w:w="562" w:type="dxa"/>
            <w:vMerge/>
          </w:tcPr>
          <w:p w14:paraId="6B4CCAC7" w14:textId="77777777" w:rsidR="00E732C1" w:rsidRPr="00327DAE" w:rsidRDefault="00E732C1" w:rsidP="0025317F">
            <w:pPr>
              <w:spacing w:after="120"/>
              <w:rPr>
                <w:sz w:val="24"/>
                <w:szCs w:val="24"/>
              </w:rPr>
            </w:pPr>
          </w:p>
        </w:tc>
        <w:tc>
          <w:tcPr>
            <w:tcW w:w="7797" w:type="dxa"/>
            <w:gridSpan w:val="3"/>
            <w:shd w:val="clear" w:color="auto" w:fill="auto"/>
            <w:noWrap/>
            <w:vAlign w:val="bottom"/>
          </w:tcPr>
          <w:p w14:paraId="494FF7ED" w14:textId="77777777" w:rsidR="00E732C1" w:rsidRPr="00E732C1" w:rsidRDefault="00E732C1" w:rsidP="0025317F">
            <w:pPr>
              <w:shd w:val="clear" w:color="auto" w:fill="FFFFFF" w:themeFill="background1"/>
              <w:spacing w:after="120"/>
              <w:rPr>
                <w:i/>
                <w:sz w:val="24"/>
                <w:szCs w:val="24"/>
              </w:rPr>
            </w:pPr>
            <w:r w:rsidRPr="00E732C1">
              <w:rPr>
                <w:i/>
                <w:sz w:val="24"/>
                <w:szCs w:val="24"/>
              </w:rPr>
              <w:t>Prof. K. Torgāna atsevišķie secinājumi</w:t>
            </w:r>
          </w:p>
          <w:p w14:paraId="7C0C226F" w14:textId="1BE718F0" w:rsidR="00E732C1" w:rsidRPr="00327DAE" w:rsidRDefault="00E732C1" w:rsidP="0025317F">
            <w:pPr>
              <w:spacing w:after="120"/>
              <w:rPr>
                <w:i/>
                <w:sz w:val="24"/>
                <w:szCs w:val="24"/>
              </w:rPr>
            </w:pPr>
            <w:r w:rsidRPr="00E732C1">
              <w:rPr>
                <w:sz w:val="24"/>
                <w:szCs w:val="24"/>
              </w:rPr>
              <w:t xml:space="preserve"> Rupjš pārkāpums. Senāts atkārtoja elementāru patiesību, ka ķīlas ņēmējs saglabā tiesības uz prasījuma apmierināšanu no ieķīlātās lietas neatkarīgi no tā, vai ķīlas devējam ir pasludināts maksātnespējas process. Likumdevējs šo problēmu nav kārtojis ar 2014. gada 25. septembra grozījumiem</w:t>
            </w:r>
            <w:r>
              <w:rPr>
                <w:sz w:val="24"/>
                <w:szCs w:val="24"/>
              </w:rPr>
              <w:t>.</w:t>
            </w:r>
          </w:p>
        </w:tc>
      </w:tr>
      <w:tr w:rsidR="00253547" w:rsidRPr="00327DAE" w14:paraId="1DE447EC" w14:textId="77777777" w:rsidTr="00B40DAA">
        <w:trPr>
          <w:trHeight w:val="301"/>
        </w:trPr>
        <w:tc>
          <w:tcPr>
            <w:tcW w:w="562" w:type="dxa"/>
            <w:vMerge/>
          </w:tcPr>
          <w:p w14:paraId="2C41210F" w14:textId="65F8E87D" w:rsidR="00253547" w:rsidRPr="00327DAE" w:rsidRDefault="00253547" w:rsidP="0025317F">
            <w:pPr>
              <w:spacing w:after="120"/>
              <w:rPr>
                <w:sz w:val="24"/>
                <w:szCs w:val="24"/>
              </w:rPr>
            </w:pPr>
          </w:p>
        </w:tc>
        <w:tc>
          <w:tcPr>
            <w:tcW w:w="7797" w:type="dxa"/>
            <w:gridSpan w:val="3"/>
            <w:shd w:val="clear" w:color="auto" w:fill="auto"/>
            <w:noWrap/>
            <w:vAlign w:val="bottom"/>
          </w:tcPr>
          <w:p w14:paraId="4E5C1318" w14:textId="4A7DF495" w:rsidR="00253547" w:rsidRPr="00327DAE" w:rsidRDefault="00253547" w:rsidP="0025317F">
            <w:pPr>
              <w:spacing w:after="120"/>
              <w:rPr>
                <w:i/>
                <w:sz w:val="24"/>
                <w:szCs w:val="24"/>
              </w:rPr>
            </w:pPr>
            <w:r w:rsidRPr="00327DAE">
              <w:rPr>
                <w:i/>
                <w:sz w:val="24"/>
                <w:szCs w:val="24"/>
              </w:rPr>
              <w:t>H. Jaujas atsevišķie secinājumi</w:t>
            </w:r>
          </w:p>
          <w:p w14:paraId="599E02F5" w14:textId="5B898D31" w:rsidR="00253547" w:rsidRPr="00327DAE" w:rsidRDefault="00253547" w:rsidP="0025317F">
            <w:pPr>
              <w:spacing w:after="120"/>
              <w:rPr>
                <w:sz w:val="24"/>
                <w:szCs w:val="24"/>
              </w:rPr>
            </w:pPr>
            <w:r w:rsidRPr="00327DAE">
              <w:rPr>
                <w:sz w:val="24"/>
                <w:szCs w:val="24"/>
              </w:rPr>
              <w:t>Neapšaubāmi trešo personu ķīlas jautājums ir komplicēts</w:t>
            </w:r>
            <w:r w:rsidR="00CC27A4">
              <w:rPr>
                <w:sz w:val="24"/>
                <w:szCs w:val="24"/>
              </w:rPr>
              <w:t>,</w:t>
            </w:r>
            <w:r w:rsidRPr="00327DAE">
              <w:rPr>
                <w:sz w:val="24"/>
                <w:szCs w:val="24"/>
              </w:rPr>
              <w:t xml:space="preserve"> un vairākus gadus šajā </w:t>
            </w:r>
            <w:r w:rsidR="007567F6" w:rsidRPr="00327DAE">
              <w:rPr>
                <w:sz w:val="24"/>
                <w:szCs w:val="24"/>
              </w:rPr>
              <w:t>jautājumā</w:t>
            </w:r>
            <w:r w:rsidRPr="00327DAE">
              <w:rPr>
                <w:sz w:val="24"/>
                <w:szCs w:val="24"/>
              </w:rPr>
              <w:t xml:space="preserve"> nav bijusi vienprātība. Formāli R.</w:t>
            </w:r>
            <w:r w:rsidR="00CC27A4">
              <w:rPr>
                <w:sz w:val="24"/>
                <w:szCs w:val="24"/>
              </w:rPr>
              <w:t> </w:t>
            </w:r>
            <w:r w:rsidRPr="00327DAE">
              <w:rPr>
                <w:sz w:val="24"/>
                <w:szCs w:val="24"/>
              </w:rPr>
              <w:t>Bula nolēmumu ar šo apstākli varētu attaisnot un arī izskaidrot. Atrauti no citiem R.</w:t>
            </w:r>
            <w:r w:rsidR="00CC27A4">
              <w:rPr>
                <w:sz w:val="24"/>
                <w:szCs w:val="24"/>
              </w:rPr>
              <w:t> </w:t>
            </w:r>
            <w:r w:rsidRPr="00327DAE">
              <w:rPr>
                <w:sz w:val="24"/>
                <w:szCs w:val="24"/>
              </w:rPr>
              <w:t xml:space="preserve">Bula nolēmumiem šis nolēmums nepelnītu īpašu uzmanību. Taču </w:t>
            </w:r>
            <w:r w:rsidR="007567F6" w:rsidRPr="00327DAE">
              <w:rPr>
                <w:sz w:val="24"/>
                <w:szCs w:val="24"/>
              </w:rPr>
              <w:t>kontekstā</w:t>
            </w:r>
            <w:r w:rsidRPr="00327DAE">
              <w:rPr>
                <w:sz w:val="24"/>
                <w:szCs w:val="24"/>
              </w:rPr>
              <w:t xml:space="preserve"> ar </w:t>
            </w:r>
            <w:r w:rsidR="007567F6" w:rsidRPr="00327DAE">
              <w:rPr>
                <w:sz w:val="24"/>
                <w:szCs w:val="24"/>
              </w:rPr>
              <w:t>pārējiem</w:t>
            </w:r>
            <w:r w:rsidRPr="00327DAE">
              <w:rPr>
                <w:sz w:val="24"/>
                <w:szCs w:val="24"/>
              </w:rPr>
              <w:t xml:space="preserve"> R.</w:t>
            </w:r>
            <w:r w:rsidR="00CC27A4">
              <w:rPr>
                <w:sz w:val="24"/>
                <w:szCs w:val="24"/>
              </w:rPr>
              <w:t> </w:t>
            </w:r>
            <w:r w:rsidRPr="00327DAE">
              <w:rPr>
                <w:sz w:val="24"/>
                <w:szCs w:val="24"/>
              </w:rPr>
              <w:t>Bula nolēmumiem un citiem apstākļiem, kas tika analizēti, tas norāda uz zināmu tendenci R.</w:t>
            </w:r>
            <w:r w:rsidR="00CC27A4">
              <w:rPr>
                <w:sz w:val="24"/>
                <w:szCs w:val="24"/>
              </w:rPr>
              <w:t> </w:t>
            </w:r>
            <w:r w:rsidRPr="00327DAE">
              <w:rPr>
                <w:sz w:val="24"/>
                <w:szCs w:val="24"/>
              </w:rPr>
              <w:t>Bula nolēmumos. Proti</w:t>
            </w:r>
            <w:r w:rsidR="00CC27A4">
              <w:rPr>
                <w:sz w:val="24"/>
                <w:szCs w:val="24"/>
              </w:rPr>
              <w:t>,</w:t>
            </w:r>
            <w:r w:rsidRPr="00327DAE">
              <w:rPr>
                <w:sz w:val="24"/>
                <w:szCs w:val="24"/>
              </w:rPr>
              <w:t xml:space="preserve"> nolēmums ir pamatots ar tiesību normām un juridiskiem argumentiem, taču ar to tiek būtiski aizskartas atsevišķu iesaistīto personu tiesiskās intereses. Darba grupa neveica analīzi par to, kādā veidā trešās personas ķīlu jautājumus tobrīd izsprieda citi tiesneši, taču Maksātnespējas likuma 6.</w:t>
            </w:r>
            <w:r w:rsidR="00CC27A4">
              <w:rPr>
                <w:sz w:val="24"/>
                <w:szCs w:val="24"/>
              </w:rPr>
              <w:t> </w:t>
            </w:r>
            <w:r w:rsidRPr="00327DAE">
              <w:rPr>
                <w:sz w:val="24"/>
                <w:szCs w:val="24"/>
              </w:rPr>
              <w:t>panta 1.</w:t>
            </w:r>
            <w:r w:rsidR="00CC27A4">
              <w:rPr>
                <w:sz w:val="24"/>
                <w:szCs w:val="24"/>
              </w:rPr>
              <w:t xml:space="preserve"> </w:t>
            </w:r>
            <w:r w:rsidRPr="00327DAE">
              <w:rPr>
                <w:sz w:val="24"/>
                <w:szCs w:val="24"/>
              </w:rPr>
              <w:t xml:space="preserve">punkts paredz </w:t>
            </w:r>
            <w:r w:rsidR="007567F6" w:rsidRPr="00327DAE">
              <w:rPr>
                <w:sz w:val="24"/>
                <w:szCs w:val="24"/>
              </w:rPr>
              <w:t>atsauci</w:t>
            </w:r>
            <w:r w:rsidRPr="00327DAE">
              <w:rPr>
                <w:sz w:val="24"/>
                <w:szCs w:val="24"/>
              </w:rPr>
              <w:t xml:space="preserve"> uz tiesību </w:t>
            </w:r>
            <w:r w:rsidRPr="00327DAE">
              <w:rPr>
                <w:sz w:val="24"/>
                <w:szCs w:val="24"/>
              </w:rPr>
              <w:lastRenderedPageBreak/>
              <w:t>saglabāšanas principu jau no 2010.</w:t>
            </w:r>
            <w:r w:rsidR="00CC27A4">
              <w:rPr>
                <w:sz w:val="24"/>
                <w:szCs w:val="24"/>
              </w:rPr>
              <w:t> </w:t>
            </w:r>
            <w:r w:rsidRPr="00327DAE">
              <w:rPr>
                <w:sz w:val="24"/>
                <w:szCs w:val="24"/>
              </w:rPr>
              <w:t>gada 1.</w:t>
            </w:r>
            <w:r w:rsidR="00CC27A4">
              <w:rPr>
                <w:sz w:val="24"/>
                <w:szCs w:val="24"/>
              </w:rPr>
              <w:t> </w:t>
            </w:r>
            <w:r w:rsidRPr="00327DAE">
              <w:rPr>
                <w:sz w:val="24"/>
                <w:szCs w:val="24"/>
              </w:rPr>
              <w:t>novembra</w:t>
            </w:r>
            <w:r w:rsidR="00CC27A4">
              <w:rPr>
                <w:sz w:val="24"/>
                <w:szCs w:val="24"/>
              </w:rPr>
              <w:t>,</w:t>
            </w:r>
            <w:r w:rsidRPr="00327DAE">
              <w:rPr>
                <w:sz w:val="24"/>
                <w:szCs w:val="24"/>
              </w:rPr>
              <w:t xml:space="preserve"> un</w:t>
            </w:r>
            <w:r w:rsidR="00CC27A4">
              <w:rPr>
                <w:sz w:val="24"/>
                <w:szCs w:val="24"/>
              </w:rPr>
              <w:t>,</w:t>
            </w:r>
            <w:r w:rsidRPr="00327DAE">
              <w:rPr>
                <w:sz w:val="24"/>
                <w:szCs w:val="24"/>
              </w:rPr>
              <w:t xml:space="preserve"> saprātīgi izvērtējot lietas apstākļus</w:t>
            </w:r>
            <w:r w:rsidR="00CC27A4">
              <w:rPr>
                <w:sz w:val="24"/>
                <w:szCs w:val="24"/>
              </w:rPr>
              <w:t>,</w:t>
            </w:r>
            <w:r w:rsidRPr="00327DAE">
              <w:rPr>
                <w:sz w:val="24"/>
                <w:szCs w:val="24"/>
              </w:rPr>
              <w:t xml:space="preserve"> tiesnesim bija iespēja nonākt arī pie slēdziena, ka jebkura ķīlas tiesība un iepriekš nodibin</w:t>
            </w:r>
            <w:r w:rsidR="0020329A" w:rsidRPr="00327DAE">
              <w:rPr>
                <w:sz w:val="24"/>
                <w:szCs w:val="24"/>
              </w:rPr>
              <w:t>ātas tiesības ir aizsargājamas.</w:t>
            </w:r>
          </w:p>
        </w:tc>
      </w:tr>
      <w:tr w:rsidR="00E732C1" w:rsidRPr="00327DAE" w14:paraId="0CBC0765" w14:textId="77777777" w:rsidTr="00B40DAA">
        <w:trPr>
          <w:trHeight w:val="301"/>
        </w:trPr>
        <w:tc>
          <w:tcPr>
            <w:tcW w:w="562" w:type="dxa"/>
            <w:vMerge w:val="restart"/>
          </w:tcPr>
          <w:p w14:paraId="6DD04037" w14:textId="693C6155" w:rsidR="00E732C1" w:rsidRPr="00327DAE" w:rsidRDefault="00E732C1" w:rsidP="0025317F">
            <w:pPr>
              <w:spacing w:after="120"/>
              <w:rPr>
                <w:b/>
                <w:sz w:val="24"/>
                <w:szCs w:val="24"/>
              </w:rPr>
            </w:pPr>
            <w:r w:rsidRPr="00327DAE">
              <w:rPr>
                <w:b/>
                <w:sz w:val="24"/>
                <w:szCs w:val="24"/>
              </w:rPr>
              <w:lastRenderedPageBreak/>
              <w:t>3.</w:t>
            </w:r>
          </w:p>
          <w:p w14:paraId="33FA6E17" w14:textId="655AF75B" w:rsidR="00E732C1" w:rsidRPr="00327DAE" w:rsidRDefault="00E732C1" w:rsidP="0025317F">
            <w:pPr>
              <w:spacing w:after="120"/>
              <w:rPr>
                <w:b/>
                <w:sz w:val="24"/>
                <w:szCs w:val="24"/>
              </w:rPr>
            </w:pPr>
            <w:r w:rsidRPr="00327DAE">
              <w:rPr>
                <w:b/>
                <w:sz w:val="24"/>
                <w:szCs w:val="24"/>
              </w:rPr>
              <w:t>4.</w:t>
            </w:r>
          </w:p>
        </w:tc>
        <w:tc>
          <w:tcPr>
            <w:tcW w:w="1701" w:type="dxa"/>
            <w:shd w:val="clear" w:color="auto" w:fill="auto"/>
            <w:noWrap/>
            <w:vAlign w:val="bottom"/>
          </w:tcPr>
          <w:p w14:paraId="295E3229" w14:textId="77777777" w:rsidR="00E732C1" w:rsidRPr="00327DAE" w:rsidRDefault="00E732C1" w:rsidP="0025317F">
            <w:pPr>
              <w:spacing w:after="120"/>
              <w:rPr>
                <w:b/>
                <w:color w:val="000000"/>
                <w:sz w:val="24"/>
                <w:szCs w:val="24"/>
              </w:rPr>
            </w:pPr>
            <w:r w:rsidRPr="00327DAE">
              <w:rPr>
                <w:b/>
                <w:color w:val="000000"/>
                <w:sz w:val="24"/>
                <w:szCs w:val="24"/>
              </w:rPr>
              <w:t>C27249512</w:t>
            </w:r>
          </w:p>
          <w:p w14:paraId="1DB72584" w14:textId="77777777" w:rsidR="00E732C1" w:rsidRPr="00327DAE" w:rsidRDefault="00E732C1" w:rsidP="0025317F">
            <w:pPr>
              <w:spacing w:after="120"/>
              <w:rPr>
                <w:b/>
                <w:color w:val="000000"/>
                <w:sz w:val="24"/>
                <w:szCs w:val="24"/>
              </w:rPr>
            </w:pPr>
            <w:r w:rsidRPr="00327DAE">
              <w:rPr>
                <w:b/>
                <w:sz w:val="24"/>
                <w:szCs w:val="24"/>
              </w:rPr>
              <w:t xml:space="preserve">SPC-2/2014; </w:t>
            </w:r>
            <w:r w:rsidRPr="00327DAE">
              <w:rPr>
                <w:b/>
                <w:color w:val="000000"/>
                <w:sz w:val="24"/>
                <w:szCs w:val="24"/>
              </w:rPr>
              <w:t>C27228512</w:t>
            </w:r>
            <w:r w:rsidRPr="00327DAE">
              <w:rPr>
                <w:rStyle w:val="FootnoteReference"/>
                <w:b/>
                <w:color w:val="000000"/>
                <w:sz w:val="24"/>
                <w:szCs w:val="24"/>
              </w:rPr>
              <w:footnoteReference w:id="11"/>
            </w:r>
          </w:p>
          <w:p w14:paraId="1626EB88" w14:textId="77777777" w:rsidR="00E732C1" w:rsidRPr="00327DAE" w:rsidRDefault="00E732C1" w:rsidP="0025317F">
            <w:pPr>
              <w:spacing w:after="120"/>
              <w:rPr>
                <w:b/>
                <w:sz w:val="24"/>
                <w:szCs w:val="24"/>
                <w:u w:val="single"/>
              </w:rPr>
            </w:pPr>
            <w:r w:rsidRPr="00327DAE">
              <w:rPr>
                <w:b/>
                <w:sz w:val="24"/>
                <w:szCs w:val="24"/>
              </w:rPr>
              <w:t>SPC-3/2014</w:t>
            </w:r>
          </w:p>
        </w:tc>
        <w:tc>
          <w:tcPr>
            <w:tcW w:w="2410" w:type="dxa"/>
            <w:shd w:val="clear" w:color="auto" w:fill="auto"/>
            <w:vAlign w:val="bottom"/>
          </w:tcPr>
          <w:p w14:paraId="6E268B2F" w14:textId="77777777" w:rsidR="00E732C1" w:rsidRPr="00327DAE" w:rsidRDefault="00E732C1" w:rsidP="0025317F">
            <w:pPr>
              <w:spacing w:after="120"/>
              <w:rPr>
                <w:b/>
                <w:sz w:val="24"/>
                <w:szCs w:val="24"/>
              </w:rPr>
            </w:pPr>
            <w:r w:rsidRPr="00327DAE">
              <w:rPr>
                <w:b/>
                <w:sz w:val="24"/>
                <w:szCs w:val="24"/>
              </w:rPr>
              <w:t>17.01.2013. lēmums; 14.11.2012. lēmums</w:t>
            </w:r>
          </w:p>
        </w:tc>
        <w:tc>
          <w:tcPr>
            <w:tcW w:w="3686" w:type="dxa"/>
            <w:shd w:val="clear" w:color="auto" w:fill="auto"/>
            <w:vAlign w:val="bottom"/>
          </w:tcPr>
          <w:p w14:paraId="57B66E8D" w14:textId="77777777" w:rsidR="00E732C1" w:rsidRPr="00DA5069" w:rsidRDefault="00E732C1" w:rsidP="0025317F">
            <w:pPr>
              <w:pStyle w:val="Heading3"/>
            </w:pPr>
            <w:bookmarkStart w:id="18" w:name="_Toc522527493"/>
            <w:r w:rsidRPr="00DA5069">
              <w:rPr>
                <w:rStyle w:val="Heading2Char"/>
                <w:rFonts w:eastAsiaTheme="majorEastAsia"/>
                <w:b/>
                <w:szCs w:val="20"/>
                <w:u w:val="none"/>
              </w:rPr>
              <w:t>SIA „Valdemāra parks”</w:t>
            </w:r>
            <w:r w:rsidRPr="00DA5069">
              <w:t>: Kreditora sūdzības par administratora lēmumiem</w:t>
            </w:r>
            <w:bookmarkEnd w:id="18"/>
          </w:p>
        </w:tc>
      </w:tr>
      <w:tr w:rsidR="00E732C1" w:rsidRPr="00327DAE" w14:paraId="14C725E0" w14:textId="77777777" w:rsidTr="00327DAE">
        <w:trPr>
          <w:trHeight w:val="301"/>
        </w:trPr>
        <w:tc>
          <w:tcPr>
            <w:tcW w:w="562" w:type="dxa"/>
            <w:vMerge/>
          </w:tcPr>
          <w:p w14:paraId="116DE49D" w14:textId="77777777"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44286D45" w14:textId="6B939AF8" w:rsidR="00E732C1" w:rsidRPr="00327DAE" w:rsidRDefault="00E732C1"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00514FC7" w14:textId="6BCE11BB" w:rsidR="00E732C1" w:rsidRPr="00327DAE" w:rsidRDefault="00E732C1"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5DF4D61E" w14:textId="43CD253C" w:rsidR="00E732C1" w:rsidRPr="00327DAE" w:rsidRDefault="00E732C1" w:rsidP="0025317F">
            <w:pPr>
              <w:spacing w:after="120"/>
              <w:rPr>
                <w:b/>
                <w:i/>
              </w:rPr>
            </w:pPr>
            <w:r w:rsidRPr="00327DAE">
              <w:rPr>
                <w:b/>
                <w:bCs/>
                <w:i/>
                <w:color w:val="000000"/>
              </w:rPr>
              <w:t>Lietu sadales veids/iemesls</w:t>
            </w:r>
          </w:p>
        </w:tc>
      </w:tr>
      <w:tr w:rsidR="00E732C1" w:rsidRPr="00327DAE" w14:paraId="79A65FB7" w14:textId="77777777" w:rsidTr="00327DAE">
        <w:trPr>
          <w:trHeight w:val="301"/>
        </w:trPr>
        <w:tc>
          <w:tcPr>
            <w:tcW w:w="562" w:type="dxa"/>
            <w:vMerge/>
          </w:tcPr>
          <w:p w14:paraId="76ABE89C" w14:textId="77777777"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09BBCF98" w14:textId="7592C8CF" w:rsidR="00E732C1" w:rsidRPr="00327DAE" w:rsidRDefault="00E732C1" w:rsidP="0025317F">
            <w:pPr>
              <w:spacing w:after="120"/>
              <w:rPr>
                <w:i/>
              </w:rPr>
            </w:pPr>
            <w:r w:rsidRPr="00327DAE">
              <w:rPr>
                <w:i/>
                <w:color w:val="000000"/>
              </w:rPr>
              <w:t>C27249512 - 12.12.2012</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0517BF75" w14:textId="3795E8C7" w:rsidR="00E732C1" w:rsidRPr="00327DAE" w:rsidRDefault="00E732C1"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7B1898AF" w14:textId="4746FB9E" w:rsidR="00E732C1" w:rsidRPr="00327DAE" w:rsidRDefault="00E732C1" w:rsidP="0025317F">
            <w:pPr>
              <w:spacing w:after="120"/>
              <w:rPr>
                <w:i/>
              </w:rPr>
            </w:pPr>
            <w:r w:rsidRPr="00327DAE">
              <w:rPr>
                <w:i/>
                <w:color w:val="000000"/>
              </w:rPr>
              <w:t>Manuāla lietu sadale</w:t>
            </w:r>
          </w:p>
        </w:tc>
      </w:tr>
      <w:tr w:rsidR="00E732C1" w:rsidRPr="00327DAE" w14:paraId="08AACAEE" w14:textId="77777777" w:rsidTr="00327DAE">
        <w:trPr>
          <w:trHeight w:val="301"/>
        </w:trPr>
        <w:tc>
          <w:tcPr>
            <w:tcW w:w="562" w:type="dxa"/>
            <w:vMerge/>
          </w:tcPr>
          <w:p w14:paraId="29AD23C1" w14:textId="77777777"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54DF3443" w14:textId="28D3C699" w:rsidR="00E732C1" w:rsidRPr="00327DAE" w:rsidRDefault="00E732C1" w:rsidP="0025317F">
            <w:pPr>
              <w:spacing w:after="120"/>
              <w:rPr>
                <w:i/>
                <w:color w:val="000000"/>
              </w:rPr>
            </w:pPr>
            <w:r w:rsidRPr="00327DAE">
              <w:rPr>
                <w:i/>
                <w:color w:val="000000"/>
              </w:rPr>
              <w:t>C27228512 - 01.10.2012</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11E4C57C" w14:textId="28F3F4AE" w:rsidR="00E732C1" w:rsidRPr="00327DAE" w:rsidRDefault="00E732C1" w:rsidP="0025317F">
            <w:pPr>
              <w:spacing w:after="120"/>
              <w:rPr>
                <w:i/>
                <w:color w:val="000000"/>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1078E30B" w14:textId="31C307E1" w:rsidR="00E732C1" w:rsidRPr="00327DAE" w:rsidRDefault="00E732C1" w:rsidP="0025317F">
            <w:pPr>
              <w:spacing w:after="120"/>
              <w:rPr>
                <w:i/>
                <w:color w:val="000000"/>
              </w:rPr>
            </w:pPr>
            <w:r w:rsidRPr="00327DAE">
              <w:rPr>
                <w:i/>
                <w:color w:val="000000"/>
              </w:rPr>
              <w:t>Manuāla lietu sadale</w:t>
            </w:r>
          </w:p>
        </w:tc>
      </w:tr>
      <w:tr w:rsidR="00E732C1" w:rsidRPr="00327DAE" w14:paraId="5C4BC2EF" w14:textId="77777777" w:rsidTr="00B40DAA">
        <w:trPr>
          <w:trHeight w:val="301"/>
        </w:trPr>
        <w:tc>
          <w:tcPr>
            <w:tcW w:w="562" w:type="dxa"/>
            <w:vMerge/>
          </w:tcPr>
          <w:p w14:paraId="24745DF2" w14:textId="77777777" w:rsidR="00E732C1" w:rsidRPr="00327DAE" w:rsidRDefault="00E732C1" w:rsidP="0025317F">
            <w:pPr>
              <w:spacing w:after="120"/>
              <w:rPr>
                <w:sz w:val="24"/>
                <w:szCs w:val="24"/>
              </w:rPr>
            </w:pPr>
          </w:p>
        </w:tc>
        <w:tc>
          <w:tcPr>
            <w:tcW w:w="7797" w:type="dxa"/>
            <w:gridSpan w:val="3"/>
            <w:shd w:val="clear" w:color="auto" w:fill="auto"/>
            <w:noWrap/>
            <w:vAlign w:val="bottom"/>
          </w:tcPr>
          <w:p w14:paraId="1F44E5DB" w14:textId="653243B5" w:rsidR="00E732C1" w:rsidRPr="00327DAE" w:rsidRDefault="00E732C1" w:rsidP="0025317F">
            <w:pPr>
              <w:spacing w:after="120"/>
              <w:rPr>
                <w:i/>
                <w:sz w:val="24"/>
                <w:szCs w:val="24"/>
              </w:rPr>
            </w:pPr>
            <w:r w:rsidRPr="00327DAE">
              <w:rPr>
                <w:i/>
                <w:sz w:val="24"/>
                <w:szCs w:val="24"/>
              </w:rPr>
              <w:t>Augstākās tiesas norādītais pamats lēmuma atcelšanai</w:t>
            </w:r>
          </w:p>
          <w:p w14:paraId="04FC40BA" w14:textId="262BF565" w:rsidR="00E732C1" w:rsidRPr="00327DAE" w:rsidRDefault="00E732C1" w:rsidP="0025317F">
            <w:pPr>
              <w:autoSpaceDE w:val="0"/>
              <w:autoSpaceDN w:val="0"/>
              <w:spacing w:after="120"/>
              <w:rPr>
                <w:sz w:val="24"/>
                <w:szCs w:val="24"/>
              </w:rPr>
            </w:pPr>
            <w:r w:rsidRPr="00327DAE">
              <w:rPr>
                <w:sz w:val="24"/>
                <w:szCs w:val="24"/>
              </w:rPr>
              <w:t>Atzīstot nodrošinātā kreditora prasījumu pēc īpašumu tirgus vērtības un parādnieka bilancē esošo debitoru novērtējuma, nevis ķīlas līgumos noteiktās nodrošinātā prasījuma summas apmērā, tiek aizskartas nodrošinātā kreditora ar likumu noteiktās tiesības saņemt no ieķīlātās lietas līdzekļus sava prasījuma segšanai.</w:t>
            </w:r>
          </w:p>
        </w:tc>
      </w:tr>
      <w:tr w:rsidR="00E732C1" w:rsidRPr="00327DAE" w14:paraId="2ED0F63B" w14:textId="77777777" w:rsidTr="00B40DAA">
        <w:trPr>
          <w:trHeight w:val="301"/>
        </w:trPr>
        <w:tc>
          <w:tcPr>
            <w:tcW w:w="562" w:type="dxa"/>
            <w:vMerge/>
          </w:tcPr>
          <w:p w14:paraId="618240D6" w14:textId="77777777" w:rsidR="00E732C1" w:rsidRPr="00327DAE" w:rsidRDefault="00E732C1" w:rsidP="0025317F">
            <w:pPr>
              <w:spacing w:after="120"/>
              <w:rPr>
                <w:sz w:val="24"/>
                <w:szCs w:val="24"/>
              </w:rPr>
            </w:pPr>
          </w:p>
        </w:tc>
        <w:tc>
          <w:tcPr>
            <w:tcW w:w="7797" w:type="dxa"/>
            <w:gridSpan w:val="3"/>
            <w:shd w:val="clear" w:color="auto" w:fill="auto"/>
            <w:noWrap/>
            <w:vAlign w:val="bottom"/>
          </w:tcPr>
          <w:p w14:paraId="5CFE2ECD" w14:textId="77777777" w:rsidR="00E732C1" w:rsidRPr="00327DAE" w:rsidRDefault="00E732C1" w:rsidP="0025317F">
            <w:pPr>
              <w:spacing w:after="120"/>
              <w:rPr>
                <w:i/>
                <w:sz w:val="24"/>
                <w:szCs w:val="24"/>
              </w:rPr>
            </w:pPr>
            <w:r w:rsidRPr="00327DAE">
              <w:rPr>
                <w:i/>
                <w:sz w:val="24"/>
                <w:szCs w:val="24"/>
              </w:rPr>
              <w:t>Ekspertu secinājumi</w:t>
            </w:r>
          </w:p>
          <w:p w14:paraId="72908F28" w14:textId="58C0C0CE" w:rsidR="00E732C1" w:rsidRPr="00E732C1" w:rsidRDefault="00E732C1" w:rsidP="0025317F">
            <w:pPr>
              <w:spacing w:after="120"/>
              <w:rPr>
                <w:sz w:val="24"/>
                <w:szCs w:val="24"/>
              </w:rPr>
            </w:pPr>
            <w:r w:rsidRPr="00327DAE">
              <w:rPr>
                <w:sz w:val="24"/>
                <w:szCs w:val="24"/>
              </w:rPr>
              <w:t xml:space="preserve">Ķīlas tiesību realizācija maksātnespējas procesā, ja ar ķīlu nodrošinātas nevis maksātnespējīgās personas, bet gan trešās personas saistības </w:t>
            </w:r>
            <w:proofErr w:type="gramStart"/>
            <w:r w:rsidRPr="00327DAE">
              <w:rPr>
                <w:sz w:val="24"/>
                <w:szCs w:val="24"/>
              </w:rPr>
              <w:t>(</w:t>
            </w:r>
            <w:proofErr w:type="gramEnd"/>
            <w:r w:rsidRPr="00327DAE">
              <w:rPr>
                <w:sz w:val="24"/>
                <w:szCs w:val="24"/>
              </w:rPr>
              <w:t xml:space="preserve">t.s. „trīsstūris”), ir juridiski sarežģīta problēma, kas atcelto tiesneša </w:t>
            </w:r>
            <w:r w:rsidR="00A77BA8">
              <w:rPr>
                <w:sz w:val="24"/>
                <w:szCs w:val="24"/>
              </w:rPr>
              <w:t>R. </w:t>
            </w:r>
            <w:r w:rsidRPr="00327DAE">
              <w:rPr>
                <w:sz w:val="24"/>
                <w:szCs w:val="24"/>
              </w:rPr>
              <w:t>Bula lēmumu pieņemšanas laikā vēl nebija atrisināta</w:t>
            </w:r>
            <w:r w:rsidR="00CC27A4">
              <w:rPr>
                <w:sz w:val="24"/>
                <w:szCs w:val="24"/>
              </w:rPr>
              <w:t>,</w:t>
            </w:r>
            <w:r w:rsidRPr="00327DAE">
              <w:rPr>
                <w:sz w:val="24"/>
                <w:szCs w:val="24"/>
              </w:rPr>
              <w:t xml:space="preserve"> un par šajā situācijā piemērojamo tiesību normu </w:t>
            </w:r>
            <w:r w:rsidRPr="00E732C1">
              <w:rPr>
                <w:sz w:val="24"/>
                <w:szCs w:val="24"/>
              </w:rPr>
              <w:t xml:space="preserve">interpretāciju nav vienprātības arī šobrīd. Tiesneša </w:t>
            </w:r>
            <w:r w:rsidR="00A77BA8">
              <w:rPr>
                <w:sz w:val="24"/>
                <w:szCs w:val="24"/>
              </w:rPr>
              <w:t>R. </w:t>
            </w:r>
            <w:r w:rsidRPr="00E732C1">
              <w:rPr>
                <w:sz w:val="24"/>
                <w:szCs w:val="24"/>
              </w:rPr>
              <w:t xml:space="preserve">Bula pieņemtais lēmums ir konsekvents ar nolēmumu „Doma investīcijas” lietā, kas pieņemts tajā pašā datumā. </w:t>
            </w:r>
          </w:p>
        </w:tc>
      </w:tr>
      <w:tr w:rsidR="00E732C1" w:rsidRPr="00327DAE" w14:paraId="1886EB4E" w14:textId="77777777" w:rsidTr="00B40DAA">
        <w:trPr>
          <w:trHeight w:val="301"/>
        </w:trPr>
        <w:tc>
          <w:tcPr>
            <w:tcW w:w="562" w:type="dxa"/>
            <w:vMerge/>
          </w:tcPr>
          <w:p w14:paraId="50A4D57E" w14:textId="77777777" w:rsidR="00E732C1" w:rsidRPr="00327DAE" w:rsidRDefault="00E732C1" w:rsidP="0025317F">
            <w:pPr>
              <w:spacing w:after="120"/>
              <w:rPr>
                <w:sz w:val="24"/>
                <w:szCs w:val="24"/>
              </w:rPr>
            </w:pPr>
          </w:p>
        </w:tc>
        <w:tc>
          <w:tcPr>
            <w:tcW w:w="7797" w:type="dxa"/>
            <w:gridSpan w:val="3"/>
            <w:shd w:val="clear" w:color="auto" w:fill="auto"/>
            <w:noWrap/>
            <w:vAlign w:val="bottom"/>
          </w:tcPr>
          <w:p w14:paraId="33036A20" w14:textId="75B173A7" w:rsidR="00E732C1" w:rsidRPr="006F6917" w:rsidRDefault="00E732C1" w:rsidP="0025317F">
            <w:pPr>
              <w:spacing w:after="120"/>
              <w:rPr>
                <w:i/>
                <w:sz w:val="24"/>
                <w:szCs w:val="24"/>
              </w:rPr>
            </w:pPr>
            <w:r w:rsidRPr="006F6917">
              <w:rPr>
                <w:i/>
                <w:sz w:val="24"/>
                <w:szCs w:val="24"/>
              </w:rPr>
              <w:t>Tiesneša A</w:t>
            </w:r>
            <w:r w:rsidR="00CC27A4">
              <w:rPr>
                <w:i/>
                <w:sz w:val="24"/>
                <w:szCs w:val="24"/>
              </w:rPr>
              <w:t>.</w:t>
            </w:r>
            <w:r w:rsidRPr="006F6917">
              <w:rPr>
                <w:i/>
                <w:sz w:val="24"/>
                <w:szCs w:val="24"/>
              </w:rPr>
              <w:t> Strupiša un tiesneses E. </w:t>
            </w:r>
            <w:proofErr w:type="spellStart"/>
            <w:r w:rsidRPr="006F6917">
              <w:rPr>
                <w:i/>
                <w:sz w:val="24"/>
                <w:szCs w:val="24"/>
              </w:rPr>
              <w:t>Stivriņas</w:t>
            </w:r>
            <w:proofErr w:type="spellEnd"/>
            <w:r w:rsidRPr="006F6917">
              <w:rPr>
                <w:i/>
                <w:sz w:val="24"/>
                <w:szCs w:val="24"/>
              </w:rPr>
              <w:t xml:space="preserve"> atsevišķie secinājumi</w:t>
            </w:r>
          </w:p>
          <w:p w14:paraId="5E9F18CA" w14:textId="08707B2E" w:rsidR="00E732C1" w:rsidRPr="00E732C1" w:rsidRDefault="00E732C1" w:rsidP="0025317F">
            <w:pPr>
              <w:spacing w:after="120"/>
              <w:rPr>
                <w:sz w:val="24"/>
                <w:szCs w:val="24"/>
              </w:rPr>
            </w:pPr>
            <w:r w:rsidRPr="00E732C1">
              <w:rPr>
                <w:sz w:val="24"/>
                <w:szCs w:val="24"/>
              </w:rPr>
              <w:t xml:space="preserve">Ekspertu viedokļi par Augstākās tiesas sprieduma argumentiem, ar kuriem atcelts </w:t>
            </w:r>
            <w:r w:rsidR="00150D81">
              <w:rPr>
                <w:sz w:val="24"/>
                <w:szCs w:val="24"/>
              </w:rPr>
              <w:t xml:space="preserve">(vērtības noteikšanas kritēriji) </w:t>
            </w:r>
            <w:r w:rsidRPr="00E732C1">
              <w:rPr>
                <w:sz w:val="24"/>
                <w:szCs w:val="24"/>
              </w:rPr>
              <w:t xml:space="preserve">šis spriedums, dalās, kas objektīvi norāda uz dažādu doktrīnu pastāvēšanu šajā jautājumā. Tāpēc tiesneša </w:t>
            </w:r>
            <w:r w:rsidR="00A77BA8">
              <w:rPr>
                <w:sz w:val="24"/>
                <w:szCs w:val="24"/>
              </w:rPr>
              <w:t>R. </w:t>
            </w:r>
            <w:r w:rsidRPr="00E732C1">
              <w:rPr>
                <w:sz w:val="24"/>
                <w:szCs w:val="24"/>
              </w:rPr>
              <w:t>Bula lēmumi SIA „Valdemāra parks” maksātnespējas procesā nav uzskatāmi par tādiem, kas liecina par kļūdu vai tiesneša nekompetenci.</w:t>
            </w:r>
          </w:p>
        </w:tc>
      </w:tr>
      <w:tr w:rsidR="00E732C1" w:rsidRPr="00327DAE" w14:paraId="0AEC64BE" w14:textId="77777777" w:rsidTr="00B40DAA">
        <w:trPr>
          <w:trHeight w:val="301"/>
        </w:trPr>
        <w:tc>
          <w:tcPr>
            <w:tcW w:w="562" w:type="dxa"/>
            <w:vMerge/>
          </w:tcPr>
          <w:p w14:paraId="076FBD11" w14:textId="77777777" w:rsidR="00E732C1" w:rsidRPr="00327DAE" w:rsidRDefault="00E732C1" w:rsidP="0025317F">
            <w:pPr>
              <w:spacing w:after="120"/>
              <w:rPr>
                <w:sz w:val="24"/>
                <w:szCs w:val="24"/>
              </w:rPr>
            </w:pPr>
          </w:p>
        </w:tc>
        <w:tc>
          <w:tcPr>
            <w:tcW w:w="7797" w:type="dxa"/>
            <w:gridSpan w:val="3"/>
            <w:shd w:val="clear" w:color="auto" w:fill="auto"/>
            <w:noWrap/>
            <w:vAlign w:val="bottom"/>
          </w:tcPr>
          <w:p w14:paraId="16EB163E" w14:textId="68A9B782" w:rsidR="00E732C1" w:rsidRPr="006F6917" w:rsidRDefault="006F6917" w:rsidP="0025317F">
            <w:pPr>
              <w:spacing w:after="120"/>
              <w:rPr>
                <w:i/>
                <w:sz w:val="24"/>
                <w:szCs w:val="24"/>
              </w:rPr>
            </w:pPr>
            <w:r w:rsidRPr="006F6917">
              <w:rPr>
                <w:i/>
                <w:sz w:val="24"/>
                <w:szCs w:val="24"/>
              </w:rPr>
              <w:t>P</w:t>
            </w:r>
            <w:r w:rsidR="00E732C1" w:rsidRPr="006F6917">
              <w:rPr>
                <w:i/>
                <w:sz w:val="24"/>
                <w:szCs w:val="24"/>
              </w:rPr>
              <w:t>rof. K. Torgāna atsevišķie secinājumi</w:t>
            </w:r>
          </w:p>
          <w:p w14:paraId="53C11001" w14:textId="0A354819" w:rsidR="00E732C1" w:rsidRPr="00E732C1" w:rsidRDefault="00E732C1" w:rsidP="0025317F">
            <w:pPr>
              <w:spacing w:after="120"/>
              <w:rPr>
                <w:sz w:val="24"/>
                <w:szCs w:val="24"/>
              </w:rPr>
            </w:pPr>
            <w:r w:rsidRPr="00E732C1">
              <w:rPr>
                <w:sz w:val="24"/>
                <w:szCs w:val="24"/>
              </w:rPr>
              <w:t xml:space="preserve">Te nav </w:t>
            </w:r>
            <w:r w:rsidR="00CC27A4" w:rsidRPr="00E732C1">
              <w:rPr>
                <w:sz w:val="24"/>
                <w:szCs w:val="24"/>
              </w:rPr>
              <w:t>strīd</w:t>
            </w:r>
            <w:r w:rsidR="00CC27A4">
              <w:rPr>
                <w:sz w:val="24"/>
                <w:szCs w:val="24"/>
              </w:rPr>
              <w:t>a</w:t>
            </w:r>
            <w:r w:rsidR="00CC27A4" w:rsidRPr="00E732C1">
              <w:rPr>
                <w:sz w:val="24"/>
                <w:szCs w:val="24"/>
              </w:rPr>
              <w:t xml:space="preserve"> </w:t>
            </w:r>
            <w:r w:rsidRPr="00E732C1">
              <w:rPr>
                <w:sz w:val="24"/>
                <w:szCs w:val="24"/>
              </w:rPr>
              <w:t>par</w:t>
            </w:r>
            <w:r w:rsidRPr="00E732C1">
              <w:rPr>
                <w:i/>
                <w:sz w:val="24"/>
                <w:szCs w:val="24"/>
              </w:rPr>
              <w:t xml:space="preserve"> trīsstūri,</w:t>
            </w:r>
            <w:r w:rsidRPr="00E732C1">
              <w:rPr>
                <w:sz w:val="24"/>
                <w:szCs w:val="24"/>
              </w:rPr>
              <w:t xml:space="preserve"> AS „SEB banka” atzīta par nodrošināto kreditoru,</w:t>
            </w:r>
            <w:proofErr w:type="gramStart"/>
            <w:r w:rsidRPr="00E732C1">
              <w:rPr>
                <w:sz w:val="24"/>
                <w:szCs w:val="24"/>
              </w:rPr>
              <w:t xml:space="preserve">  </w:t>
            </w:r>
            <w:proofErr w:type="gramEnd"/>
            <w:r w:rsidRPr="00E732C1">
              <w:rPr>
                <w:sz w:val="24"/>
                <w:szCs w:val="24"/>
              </w:rPr>
              <w:t xml:space="preserve">nodrošinātā kreditora prasījums pamatots ar publisku komercķīlu un hipotēkām, par ko nav </w:t>
            </w:r>
            <w:r w:rsidR="00CC27A4" w:rsidRPr="00E732C1">
              <w:rPr>
                <w:sz w:val="24"/>
                <w:szCs w:val="24"/>
              </w:rPr>
              <w:t>strīd</w:t>
            </w:r>
            <w:r w:rsidR="00CC27A4">
              <w:rPr>
                <w:sz w:val="24"/>
                <w:szCs w:val="24"/>
              </w:rPr>
              <w:t>a</w:t>
            </w:r>
            <w:r w:rsidRPr="00E732C1">
              <w:rPr>
                <w:sz w:val="24"/>
                <w:szCs w:val="24"/>
              </w:rPr>
              <w:t>. Administratore izdomāja, ka par ķīlu vērtību jāuzskata nevis līgumā norādītā mantas vērtība, bet reālā bilances vērtība, kāda varētu būt izsolē. Ja nu izsolē iegūtu vairāk, tad to kreditors neiegūtu. Tādā veidā bankas prasījuma tiesības mākslīgi samazinātas par 8 352</w:t>
            </w:r>
            <w:r w:rsidR="00CC27A4">
              <w:rPr>
                <w:sz w:val="24"/>
                <w:szCs w:val="24"/>
              </w:rPr>
              <w:t> </w:t>
            </w:r>
            <w:r w:rsidRPr="00E732C1">
              <w:rPr>
                <w:sz w:val="24"/>
                <w:szCs w:val="24"/>
              </w:rPr>
              <w:t>609</w:t>
            </w:r>
            <w:r w:rsidR="00CC27A4" w:rsidRPr="00E732C1">
              <w:rPr>
                <w:sz w:val="24"/>
                <w:szCs w:val="24"/>
              </w:rPr>
              <w:t xml:space="preserve"> Ls</w:t>
            </w:r>
            <w:r w:rsidRPr="00E732C1">
              <w:rPr>
                <w:sz w:val="24"/>
                <w:szCs w:val="24"/>
              </w:rPr>
              <w:t>.</w:t>
            </w:r>
            <w:r w:rsidRPr="00E732C1">
              <w:rPr>
                <w:i/>
                <w:sz w:val="24"/>
                <w:szCs w:val="24"/>
              </w:rPr>
              <w:t xml:space="preserve"> </w:t>
            </w:r>
            <w:r w:rsidRPr="00E732C1">
              <w:rPr>
                <w:sz w:val="24"/>
                <w:szCs w:val="24"/>
              </w:rPr>
              <w:t xml:space="preserve"> Atzina daļēji 2 382</w:t>
            </w:r>
            <w:r w:rsidR="00CC27A4">
              <w:rPr>
                <w:sz w:val="24"/>
                <w:szCs w:val="24"/>
              </w:rPr>
              <w:t> </w:t>
            </w:r>
            <w:proofErr w:type="gramStart"/>
            <w:r w:rsidRPr="00E732C1">
              <w:rPr>
                <w:sz w:val="24"/>
                <w:szCs w:val="24"/>
              </w:rPr>
              <w:t xml:space="preserve">382 </w:t>
            </w:r>
            <w:r w:rsidR="00CC27A4" w:rsidRPr="00E732C1">
              <w:rPr>
                <w:sz w:val="24"/>
                <w:szCs w:val="24"/>
              </w:rPr>
              <w:t>Ls</w:t>
            </w:r>
            <w:proofErr w:type="gramEnd"/>
            <w:r w:rsidR="00CC27A4" w:rsidRPr="00E732C1">
              <w:rPr>
                <w:sz w:val="24"/>
                <w:szCs w:val="24"/>
              </w:rPr>
              <w:t xml:space="preserve"> </w:t>
            </w:r>
            <w:r w:rsidRPr="00E732C1">
              <w:rPr>
                <w:sz w:val="24"/>
                <w:szCs w:val="24"/>
              </w:rPr>
              <w:t>apmērā, kas ir par labu bankai ieķīlāto aktīvu atlikusī bilances vērtība 2012.</w:t>
            </w:r>
            <w:r w:rsidR="00CC27A4">
              <w:rPr>
                <w:sz w:val="24"/>
                <w:szCs w:val="24"/>
              </w:rPr>
              <w:t> </w:t>
            </w:r>
            <w:r w:rsidRPr="00E732C1">
              <w:rPr>
                <w:sz w:val="24"/>
                <w:szCs w:val="24"/>
              </w:rPr>
              <w:t>gada 10.</w:t>
            </w:r>
            <w:r w:rsidR="00CC27A4">
              <w:rPr>
                <w:sz w:val="24"/>
                <w:szCs w:val="24"/>
              </w:rPr>
              <w:t> </w:t>
            </w:r>
            <w:r w:rsidRPr="00E732C1">
              <w:rPr>
                <w:sz w:val="24"/>
                <w:szCs w:val="24"/>
              </w:rPr>
              <w:t>septembrī, neatzīstot par nodrošinātu bankas prasījumu atlikušajā daļā par 8 352</w:t>
            </w:r>
            <w:r w:rsidR="00CC27A4">
              <w:rPr>
                <w:sz w:val="24"/>
                <w:szCs w:val="24"/>
              </w:rPr>
              <w:t> </w:t>
            </w:r>
            <w:r w:rsidRPr="00E732C1">
              <w:rPr>
                <w:sz w:val="24"/>
                <w:szCs w:val="24"/>
              </w:rPr>
              <w:t>609</w:t>
            </w:r>
            <w:r w:rsidR="00CC27A4" w:rsidRPr="00E732C1">
              <w:rPr>
                <w:sz w:val="24"/>
                <w:szCs w:val="24"/>
              </w:rPr>
              <w:t xml:space="preserve"> Ls</w:t>
            </w:r>
            <w:r w:rsidRPr="00E732C1">
              <w:rPr>
                <w:sz w:val="24"/>
                <w:szCs w:val="24"/>
              </w:rPr>
              <w:t xml:space="preserve">. Ne administrators, ne jebkurš cits nevar precīzi </w:t>
            </w:r>
            <w:r w:rsidRPr="00E732C1">
              <w:rPr>
                <w:sz w:val="24"/>
                <w:szCs w:val="24"/>
              </w:rPr>
              <w:lastRenderedPageBreak/>
              <w:t>noteikt</w:t>
            </w:r>
            <w:r w:rsidR="00CC27A4">
              <w:rPr>
                <w:sz w:val="24"/>
                <w:szCs w:val="24"/>
              </w:rPr>
              <w:t>,</w:t>
            </w:r>
            <w:r w:rsidRPr="00E732C1">
              <w:rPr>
                <w:sz w:val="24"/>
                <w:szCs w:val="24"/>
              </w:rPr>
              <w:t xml:space="preserve"> kāda ir reāl</w:t>
            </w:r>
            <w:r w:rsidR="00CC27A4">
              <w:rPr>
                <w:sz w:val="24"/>
                <w:szCs w:val="24"/>
              </w:rPr>
              <w:t>ā</w:t>
            </w:r>
            <w:r w:rsidRPr="00E732C1">
              <w:rPr>
                <w:sz w:val="24"/>
                <w:szCs w:val="24"/>
              </w:rPr>
              <w:t xml:space="preserve"> ieķīlātās mantas vērtība, bet tas te nav svarīgi.</w:t>
            </w:r>
          </w:p>
          <w:p w14:paraId="64B4E61A" w14:textId="308FDB25" w:rsidR="00E732C1" w:rsidRPr="00327DAE" w:rsidRDefault="00E732C1" w:rsidP="0025317F">
            <w:pPr>
              <w:spacing w:after="120"/>
              <w:rPr>
                <w:i/>
                <w:sz w:val="24"/>
                <w:szCs w:val="24"/>
              </w:rPr>
            </w:pPr>
            <w:r w:rsidRPr="00E732C1">
              <w:rPr>
                <w:sz w:val="24"/>
                <w:szCs w:val="24"/>
              </w:rPr>
              <w:t>Neattaisnojama un rupja “tiesību jaunrade”, tātad smags (rupjš) pārkāpums no tiesneša puses.</w:t>
            </w:r>
          </w:p>
        </w:tc>
      </w:tr>
      <w:tr w:rsidR="00253547" w:rsidRPr="00327DAE" w14:paraId="0A92AFC8" w14:textId="77777777" w:rsidTr="00B40DAA">
        <w:trPr>
          <w:trHeight w:val="301"/>
        </w:trPr>
        <w:tc>
          <w:tcPr>
            <w:tcW w:w="562" w:type="dxa"/>
            <w:vMerge w:val="restart"/>
          </w:tcPr>
          <w:p w14:paraId="21830349" w14:textId="40BB7D84" w:rsidR="00253547" w:rsidRPr="00327DAE" w:rsidRDefault="00253547" w:rsidP="0025317F">
            <w:pPr>
              <w:spacing w:after="120"/>
              <w:rPr>
                <w:b/>
                <w:sz w:val="24"/>
                <w:szCs w:val="24"/>
              </w:rPr>
            </w:pPr>
            <w:r w:rsidRPr="00327DAE">
              <w:rPr>
                <w:b/>
                <w:sz w:val="24"/>
                <w:szCs w:val="24"/>
              </w:rPr>
              <w:lastRenderedPageBreak/>
              <w:t>5.</w:t>
            </w:r>
          </w:p>
        </w:tc>
        <w:tc>
          <w:tcPr>
            <w:tcW w:w="1701" w:type="dxa"/>
            <w:shd w:val="clear" w:color="auto" w:fill="auto"/>
            <w:noWrap/>
            <w:vAlign w:val="bottom"/>
          </w:tcPr>
          <w:p w14:paraId="3A21D6CB" w14:textId="77777777" w:rsidR="00253547" w:rsidRPr="00327DAE" w:rsidRDefault="00253547" w:rsidP="0025317F">
            <w:pPr>
              <w:spacing w:after="120"/>
              <w:rPr>
                <w:b/>
                <w:sz w:val="24"/>
                <w:szCs w:val="24"/>
              </w:rPr>
            </w:pPr>
            <w:r w:rsidRPr="00327DAE">
              <w:rPr>
                <w:b/>
                <w:sz w:val="24"/>
                <w:szCs w:val="24"/>
              </w:rPr>
              <w:t>C27178509</w:t>
            </w:r>
            <w:r w:rsidRPr="00327DAE">
              <w:rPr>
                <w:rStyle w:val="FootnoteReference"/>
                <w:b/>
                <w:sz w:val="24"/>
                <w:szCs w:val="24"/>
              </w:rPr>
              <w:footnoteReference w:id="12"/>
            </w:r>
          </w:p>
          <w:p w14:paraId="3F3A0A54" w14:textId="77777777" w:rsidR="00253547" w:rsidRPr="00327DAE" w:rsidRDefault="00253547" w:rsidP="0025317F">
            <w:pPr>
              <w:spacing w:after="120"/>
              <w:rPr>
                <w:b/>
                <w:sz w:val="24"/>
                <w:szCs w:val="24"/>
                <w:u w:val="single"/>
              </w:rPr>
            </w:pPr>
            <w:r w:rsidRPr="00327DAE">
              <w:rPr>
                <w:b/>
                <w:sz w:val="24"/>
                <w:szCs w:val="24"/>
              </w:rPr>
              <w:t>SPC-99/2010</w:t>
            </w:r>
          </w:p>
        </w:tc>
        <w:tc>
          <w:tcPr>
            <w:tcW w:w="2410" w:type="dxa"/>
            <w:shd w:val="clear" w:color="auto" w:fill="auto"/>
            <w:vAlign w:val="bottom"/>
          </w:tcPr>
          <w:p w14:paraId="30AB1787" w14:textId="77777777" w:rsidR="00253547" w:rsidRPr="00327DAE" w:rsidRDefault="00253547" w:rsidP="0025317F">
            <w:pPr>
              <w:spacing w:after="120"/>
              <w:rPr>
                <w:b/>
                <w:sz w:val="24"/>
                <w:szCs w:val="24"/>
              </w:rPr>
            </w:pPr>
            <w:r w:rsidRPr="00327DAE">
              <w:rPr>
                <w:b/>
                <w:sz w:val="24"/>
                <w:szCs w:val="24"/>
              </w:rPr>
              <w:t>13.08.2009. lēmums</w:t>
            </w:r>
          </w:p>
        </w:tc>
        <w:tc>
          <w:tcPr>
            <w:tcW w:w="3686" w:type="dxa"/>
            <w:shd w:val="clear" w:color="auto" w:fill="auto"/>
            <w:vAlign w:val="bottom"/>
          </w:tcPr>
          <w:p w14:paraId="2EB255CF" w14:textId="77777777" w:rsidR="00253547" w:rsidRPr="009D11F9" w:rsidRDefault="00253547" w:rsidP="0025317F">
            <w:pPr>
              <w:pStyle w:val="Heading3"/>
            </w:pPr>
            <w:bookmarkStart w:id="19" w:name="_Toc522527494"/>
            <w:r w:rsidRPr="009D11F9">
              <w:rPr>
                <w:rStyle w:val="Heading2Char"/>
                <w:rFonts w:eastAsiaTheme="majorEastAsia"/>
                <w:b/>
                <w:szCs w:val="20"/>
                <w:u w:val="none"/>
              </w:rPr>
              <w:t>SIA „Būvuzņēmums STATS”</w:t>
            </w:r>
            <w:r w:rsidRPr="009D11F9">
              <w:t>: ĀTAP pieteikums, plāns</w:t>
            </w:r>
            <w:bookmarkEnd w:id="19"/>
          </w:p>
        </w:tc>
      </w:tr>
      <w:tr w:rsidR="00253547" w:rsidRPr="00327DAE" w14:paraId="4184815D" w14:textId="77777777" w:rsidTr="00327DAE">
        <w:trPr>
          <w:trHeight w:val="301"/>
        </w:trPr>
        <w:tc>
          <w:tcPr>
            <w:tcW w:w="562" w:type="dxa"/>
            <w:vMerge/>
          </w:tcPr>
          <w:p w14:paraId="7B7732FA" w14:textId="77777777"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A5C0008" w14:textId="3B4B84E6"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6071CA18" w14:textId="02644370"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767A00FB" w14:textId="4A679881" w:rsidR="00253547" w:rsidRPr="00327DAE" w:rsidRDefault="00253547" w:rsidP="0025317F">
            <w:pPr>
              <w:spacing w:after="120"/>
              <w:rPr>
                <w:b/>
                <w:i/>
              </w:rPr>
            </w:pPr>
            <w:r w:rsidRPr="00327DAE">
              <w:rPr>
                <w:b/>
                <w:bCs/>
                <w:i/>
                <w:color w:val="000000"/>
              </w:rPr>
              <w:t>Lietu sadales veids/iemesls</w:t>
            </w:r>
          </w:p>
        </w:tc>
      </w:tr>
      <w:tr w:rsidR="00253547" w:rsidRPr="00327DAE" w14:paraId="1A072150" w14:textId="77777777" w:rsidTr="00327DAE">
        <w:trPr>
          <w:trHeight w:val="301"/>
        </w:trPr>
        <w:tc>
          <w:tcPr>
            <w:tcW w:w="562" w:type="dxa"/>
            <w:vMerge/>
          </w:tcPr>
          <w:p w14:paraId="49902D1B" w14:textId="77777777"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375D275E" w14:textId="3F9DF0C1" w:rsidR="00253547" w:rsidRPr="00327DAE" w:rsidRDefault="00253547" w:rsidP="0025317F">
            <w:pPr>
              <w:spacing w:after="120"/>
              <w:rPr>
                <w:i/>
              </w:rPr>
            </w:pPr>
            <w:r w:rsidRPr="00327DAE">
              <w:rPr>
                <w:i/>
                <w:color w:val="000000"/>
              </w:rPr>
              <w:t>28.07.2009</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0BBC1239" w14:textId="2929ECE3"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4913DCB7" w14:textId="487192F6" w:rsidR="00253547" w:rsidRPr="00327DAE" w:rsidRDefault="00253547" w:rsidP="0025317F">
            <w:pPr>
              <w:spacing w:after="120"/>
              <w:rPr>
                <w:i/>
              </w:rPr>
            </w:pPr>
            <w:r w:rsidRPr="00327DAE">
              <w:rPr>
                <w:i/>
                <w:color w:val="000000"/>
              </w:rPr>
              <w:t xml:space="preserve">Datorizēta lietu sadale. </w:t>
            </w:r>
          </w:p>
        </w:tc>
      </w:tr>
      <w:tr w:rsidR="00253547" w:rsidRPr="00327DAE" w14:paraId="1E5F3F70" w14:textId="77777777" w:rsidTr="00B40DAA">
        <w:trPr>
          <w:trHeight w:val="301"/>
        </w:trPr>
        <w:tc>
          <w:tcPr>
            <w:tcW w:w="562" w:type="dxa"/>
            <w:vMerge/>
          </w:tcPr>
          <w:p w14:paraId="386E4D5F"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52136477" w14:textId="7BFD7F1D" w:rsidR="00253547" w:rsidRPr="00327DAE" w:rsidRDefault="00253547" w:rsidP="0025317F">
            <w:pPr>
              <w:spacing w:after="120"/>
              <w:rPr>
                <w:i/>
                <w:sz w:val="24"/>
                <w:szCs w:val="24"/>
              </w:rPr>
            </w:pPr>
            <w:r w:rsidRPr="00327DAE">
              <w:rPr>
                <w:i/>
                <w:sz w:val="24"/>
                <w:szCs w:val="24"/>
              </w:rPr>
              <w:t>Augstākās tiesas norādītais pamats lēmuma atcelšanai</w:t>
            </w:r>
          </w:p>
          <w:p w14:paraId="25508DDE" w14:textId="2D5FAFA0" w:rsidR="00253547" w:rsidRPr="00327DAE" w:rsidRDefault="00253547" w:rsidP="0025317F">
            <w:pPr>
              <w:spacing w:after="120"/>
              <w:rPr>
                <w:sz w:val="24"/>
                <w:szCs w:val="24"/>
              </w:rPr>
            </w:pPr>
            <w:r w:rsidRPr="00327DAE">
              <w:rPr>
                <w:sz w:val="24"/>
                <w:szCs w:val="24"/>
              </w:rPr>
              <w:t xml:space="preserve">Tiesa pēc būtības nav pārbaudījusi un vērtējusi iesniegtā plāna atbilstību likuma prasībām </w:t>
            </w:r>
            <w:r w:rsidR="00CC27A4">
              <w:rPr>
                <w:sz w:val="24"/>
                <w:szCs w:val="24"/>
              </w:rPr>
              <w:t>–</w:t>
            </w:r>
            <w:r w:rsidRPr="00327DAE">
              <w:rPr>
                <w:sz w:val="24"/>
                <w:szCs w:val="24"/>
              </w:rPr>
              <w:t xml:space="preserve"> plānā paredzēts, ka sabiedrības nenodrošināto kreditoru pamatparāda saistības samazināmas par 90</w:t>
            </w:r>
            <w:r w:rsidR="008405D0">
              <w:rPr>
                <w:sz w:val="24"/>
                <w:szCs w:val="24"/>
              </w:rPr>
              <w:t> </w:t>
            </w:r>
            <w:r w:rsidRPr="00327DAE">
              <w:rPr>
                <w:sz w:val="24"/>
                <w:szCs w:val="24"/>
              </w:rPr>
              <w:t>%, bet šiem kreditoriem maksājamie procenti un līgumsodi dzēšami pilnā apmērā, savukārt sabiedrības saistības pret nodrošinātajiem kreditoriem izpildāmas pilnā apmērā. Tādējādi sabiedrības izstrādātajā plānā proporcionalitātes princips uz visiem tās kreditoriem – kā nenodrošinātajiem, tā nodrošināta</w:t>
            </w:r>
            <w:r w:rsidR="0020329A" w:rsidRPr="00327DAE">
              <w:rPr>
                <w:sz w:val="24"/>
                <w:szCs w:val="24"/>
              </w:rPr>
              <w:t>jiem – nav attiecināts vienādi.</w:t>
            </w:r>
          </w:p>
        </w:tc>
      </w:tr>
      <w:tr w:rsidR="00253547" w:rsidRPr="00327DAE" w14:paraId="6B9BF1C3" w14:textId="77777777" w:rsidTr="00B40DAA">
        <w:trPr>
          <w:trHeight w:val="301"/>
        </w:trPr>
        <w:tc>
          <w:tcPr>
            <w:tcW w:w="562" w:type="dxa"/>
            <w:vMerge/>
          </w:tcPr>
          <w:p w14:paraId="47117198"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033FC01F" w14:textId="77777777" w:rsidR="00253547" w:rsidRPr="00327DAE" w:rsidRDefault="00253547" w:rsidP="0025317F">
            <w:pPr>
              <w:spacing w:after="120"/>
              <w:rPr>
                <w:i/>
                <w:sz w:val="24"/>
                <w:szCs w:val="24"/>
              </w:rPr>
            </w:pPr>
            <w:r w:rsidRPr="00327DAE">
              <w:rPr>
                <w:i/>
                <w:sz w:val="24"/>
                <w:szCs w:val="24"/>
              </w:rPr>
              <w:t>Ekspertu secinājumi</w:t>
            </w:r>
          </w:p>
          <w:p w14:paraId="61A6F66D" w14:textId="77777777" w:rsidR="00253547" w:rsidRPr="00327DAE" w:rsidRDefault="00253547" w:rsidP="0025317F">
            <w:pPr>
              <w:spacing w:after="120"/>
              <w:rPr>
                <w:sz w:val="24"/>
                <w:szCs w:val="24"/>
              </w:rPr>
            </w:pPr>
            <w:r w:rsidRPr="00327DAE">
              <w:rPr>
                <w:sz w:val="24"/>
                <w:szCs w:val="24"/>
              </w:rPr>
              <w:t>Tiesnesis paļāvies uz administratora atzinumu.</w:t>
            </w:r>
          </w:p>
          <w:p w14:paraId="5ECFF94D" w14:textId="71C7B790" w:rsidR="007D4267" w:rsidRPr="00327DAE" w:rsidRDefault="00253547" w:rsidP="0025317F">
            <w:pPr>
              <w:spacing w:after="120"/>
              <w:rPr>
                <w:sz w:val="24"/>
                <w:szCs w:val="24"/>
              </w:rPr>
            </w:pPr>
            <w:r w:rsidRPr="00327DAE">
              <w:rPr>
                <w:sz w:val="24"/>
                <w:szCs w:val="24"/>
              </w:rPr>
              <w:t>Laikā, kad tika pieņemts atceltais tiesneša lēmums, likums paredzēja, ka kreditori, kuri pārstāv vairāk nekā pusi no kopējās nesegto kreditoru prasījumu summas, var pieņemt lēmumu par parāda samazināšanu. Konkrētajā gadījumā nodrošinātie kreditori nolēma ĀTAP procesā piemērot metodi, kas paredz parāda procentuālu samazināšanu par 90</w:t>
            </w:r>
            <w:r w:rsidR="008405D0">
              <w:rPr>
                <w:sz w:val="24"/>
                <w:szCs w:val="24"/>
              </w:rPr>
              <w:t> </w:t>
            </w:r>
            <w:r w:rsidRPr="00327DAE">
              <w:rPr>
                <w:sz w:val="24"/>
                <w:szCs w:val="24"/>
              </w:rPr>
              <w:t>%</w:t>
            </w:r>
            <w:r w:rsidR="00CC27A4">
              <w:rPr>
                <w:sz w:val="24"/>
                <w:szCs w:val="24"/>
              </w:rPr>
              <w:t>,</w:t>
            </w:r>
            <w:r w:rsidRPr="00327DAE">
              <w:rPr>
                <w:sz w:val="24"/>
                <w:szCs w:val="24"/>
              </w:rPr>
              <w:t xml:space="preserve"> samazinot nenodrošināto kreditoru prasījumus, bet nesamazinot nodrošināto kreditoru prasījumus. Tolaik nepastāvēja vienota tiesu prakse jautājumā, vai parāda proporcionāla samazināšana būtu vienlīdz attiecināma gan uz nenodrošinātajiem, gan arī nodrošinātajiem kreditoriem. Šo situāciju </w:t>
            </w:r>
            <w:r w:rsidRPr="00A917EC">
              <w:rPr>
                <w:sz w:val="24"/>
                <w:szCs w:val="24"/>
              </w:rPr>
              <w:t>noregulēja Maksātnespējas likums, kas stājās spēkā 2010. gadā, t.i. – pēc atceltā lēmuma</w:t>
            </w:r>
            <w:r w:rsidR="00000410" w:rsidRPr="00A917EC">
              <w:rPr>
                <w:sz w:val="24"/>
                <w:szCs w:val="24"/>
              </w:rPr>
              <w:t xml:space="preserve"> – </w:t>
            </w:r>
            <w:r w:rsidR="003007CA">
              <w:rPr>
                <w:sz w:val="24"/>
                <w:szCs w:val="24"/>
              </w:rPr>
              <w:t>likumā nosakot, ka t</w:t>
            </w:r>
            <w:r w:rsidR="003007CA" w:rsidRPr="003007CA">
              <w:rPr>
                <w:sz w:val="24"/>
                <w:szCs w:val="24"/>
              </w:rPr>
              <w:t>iesiskās aizsardzības procesa pasākumu plānā kreditoru grupas ietvaros un katram kreditoru prasījuma veidam (pamatparādam, līgumsodam vai procentiem) var paredzēt tikai proporcionālu pamatparāda, līgumsoda vai pr</w:t>
            </w:r>
            <w:r w:rsidR="003007CA">
              <w:rPr>
                <w:sz w:val="24"/>
                <w:szCs w:val="24"/>
              </w:rPr>
              <w:t>ocentu dzēšanu vai samazināšanu (</w:t>
            </w:r>
            <w:proofErr w:type="gramStart"/>
            <w:r w:rsidR="003007CA">
              <w:rPr>
                <w:sz w:val="24"/>
                <w:szCs w:val="24"/>
              </w:rPr>
              <w:t>38.panta</w:t>
            </w:r>
            <w:proofErr w:type="gramEnd"/>
            <w:r w:rsidR="003007CA">
              <w:rPr>
                <w:sz w:val="24"/>
                <w:szCs w:val="24"/>
              </w:rPr>
              <w:t xml:space="preserve"> otra daļa)</w:t>
            </w:r>
            <w:r w:rsidRPr="00A917EC">
              <w:rPr>
                <w:sz w:val="24"/>
                <w:szCs w:val="24"/>
              </w:rPr>
              <w:t>. Ekspertu viedokļi attiecībā uz tālaika regulējuma piemērošanu dalās arī šobrīd. Apstāklis, ka tiesnesis piemērojis no Augstākās tiesas atšķirīgu Maksātnespējas likumu normu iztulkojumu konkrētajā gadījumā pats par sevi neliecina par tīšu tiesību normu pārkāpumu vai nekompetenci.</w:t>
            </w:r>
            <w:r w:rsidR="007D4267" w:rsidRPr="00A917EC">
              <w:rPr>
                <w:sz w:val="24"/>
                <w:szCs w:val="24"/>
              </w:rPr>
              <w:t xml:space="preserve"> </w:t>
            </w:r>
            <w:r w:rsidRPr="00A917EC">
              <w:rPr>
                <w:sz w:val="24"/>
                <w:szCs w:val="24"/>
              </w:rPr>
              <w:t>Jāņem vērā arī tas, ka gadījumā, ja ĀTAP nenotiktu, bankrota gadījumā nenodrošinātie kreditori</w:t>
            </w:r>
            <w:r w:rsidR="00AB7168">
              <w:rPr>
                <w:sz w:val="24"/>
                <w:szCs w:val="24"/>
              </w:rPr>
              <w:t>,</w:t>
            </w:r>
            <w:r w:rsidRPr="00A917EC">
              <w:rPr>
                <w:sz w:val="24"/>
                <w:szCs w:val="24"/>
              </w:rPr>
              <w:t xml:space="preserve"> visticamāk</w:t>
            </w:r>
            <w:r w:rsidR="00AB7168">
              <w:rPr>
                <w:sz w:val="24"/>
                <w:szCs w:val="24"/>
              </w:rPr>
              <w:t>,</w:t>
            </w:r>
            <w:r w:rsidRPr="00A917EC">
              <w:rPr>
                <w:sz w:val="24"/>
                <w:szCs w:val="24"/>
              </w:rPr>
              <w:t xml:space="preserve"> nesaņemtu neko, jo visa manta bija ieķīlāta un aizietu nodrošināto kreditoru prasījumu dzēšanai.</w:t>
            </w:r>
          </w:p>
        </w:tc>
      </w:tr>
      <w:tr w:rsidR="00A917EC" w:rsidRPr="00327DAE" w14:paraId="1EEDB396" w14:textId="77777777" w:rsidTr="00A917EC">
        <w:trPr>
          <w:trHeight w:val="301"/>
        </w:trPr>
        <w:tc>
          <w:tcPr>
            <w:tcW w:w="562" w:type="dxa"/>
            <w:vMerge/>
          </w:tcPr>
          <w:p w14:paraId="5481595A" w14:textId="77777777" w:rsidR="00A917EC" w:rsidRPr="00327DAE" w:rsidRDefault="00A917EC" w:rsidP="0025317F">
            <w:pPr>
              <w:spacing w:after="120"/>
              <w:rPr>
                <w:sz w:val="24"/>
                <w:szCs w:val="24"/>
              </w:rPr>
            </w:pPr>
          </w:p>
        </w:tc>
        <w:tc>
          <w:tcPr>
            <w:tcW w:w="7797" w:type="dxa"/>
            <w:gridSpan w:val="3"/>
            <w:shd w:val="clear" w:color="auto" w:fill="FFFFFF" w:themeFill="background1"/>
            <w:noWrap/>
            <w:vAlign w:val="bottom"/>
          </w:tcPr>
          <w:p w14:paraId="356B5964" w14:textId="77777777" w:rsidR="00A917EC" w:rsidRPr="00A917EC" w:rsidRDefault="00A917EC" w:rsidP="0025317F">
            <w:pPr>
              <w:spacing w:after="120"/>
              <w:rPr>
                <w:i/>
                <w:sz w:val="24"/>
                <w:szCs w:val="24"/>
              </w:rPr>
            </w:pPr>
            <w:r w:rsidRPr="00A917EC">
              <w:rPr>
                <w:i/>
                <w:sz w:val="24"/>
                <w:szCs w:val="24"/>
              </w:rPr>
              <w:t>Prof. K. Torgāna atsevišķie secinājumi</w:t>
            </w:r>
          </w:p>
          <w:p w14:paraId="014DC0E5" w14:textId="30B0DC33" w:rsidR="00A917EC" w:rsidRPr="00A917EC" w:rsidRDefault="00A917EC" w:rsidP="0025317F">
            <w:pPr>
              <w:spacing w:after="120"/>
              <w:rPr>
                <w:sz w:val="24"/>
                <w:szCs w:val="24"/>
              </w:rPr>
            </w:pPr>
            <w:r w:rsidRPr="00A917EC">
              <w:rPr>
                <w:sz w:val="24"/>
                <w:szCs w:val="24"/>
              </w:rPr>
              <w:t xml:space="preserve">Vai tiesnesis drīkst nesaprast, kas ir proporcionāli? Nenodrošinātajiem kreditoriem nosvītroja 90% no sešiem miljoniem, lai nodrošinātie sev izglābtu </w:t>
            </w:r>
            <w:r w:rsidRPr="00A917EC">
              <w:rPr>
                <w:sz w:val="24"/>
                <w:szCs w:val="24"/>
              </w:rPr>
              <w:lastRenderedPageBreak/>
              <w:t>14 miljonus. Proporcionāli būtu, piemēram, nodrošinātie savus prasījumus samazina uz pusi, t.i.</w:t>
            </w:r>
            <w:r w:rsidR="00AB7168">
              <w:rPr>
                <w:sz w:val="24"/>
                <w:szCs w:val="24"/>
              </w:rPr>
              <w:t>,</w:t>
            </w:r>
            <w:r w:rsidRPr="00A917EC">
              <w:rPr>
                <w:sz w:val="24"/>
                <w:szCs w:val="24"/>
              </w:rPr>
              <w:t xml:space="preserve"> uz 7 m</w:t>
            </w:r>
            <w:r w:rsidR="00AB7168">
              <w:rPr>
                <w:sz w:val="24"/>
                <w:szCs w:val="24"/>
              </w:rPr>
              <w:t>i</w:t>
            </w:r>
            <w:r w:rsidRPr="00A917EC">
              <w:rPr>
                <w:sz w:val="24"/>
                <w:szCs w:val="24"/>
              </w:rPr>
              <w:t>lj.</w:t>
            </w:r>
            <w:r w:rsidR="00AB7168">
              <w:rPr>
                <w:sz w:val="24"/>
                <w:szCs w:val="24"/>
              </w:rPr>
              <w:t>,</w:t>
            </w:r>
            <w:r w:rsidRPr="00A917EC">
              <w:rPr>
                <w:sz w:val="24"/>
                <w:szCs w:val="24"/>
              </w:rPr>
              <w:t xml:space="preserve"> un nenodrošinātajiem tāpat – uz 3</w:t>
            </w:r>
            <w:r w:rsidR="00AB7168">
              <w:rPr>
                <w:sz w:val="24"/>
                <w:szCs w:val="24"/>
              </w:rPr>
              <w:t xml:space="preserve"> </w:t>
            </w:r>
            <w:r w:rsidRPr="00A917EC">
              <w:rPr>
                <w:sz w:val="24"/>
                <w:szCs w:val="24"/>
              </w:rPr>
              <w:t>m</w:t>
            </w:r>
            <w:r w:rsidR="00AB7168">
              <w:rPr>
                <w:sz w:val="24"/>
                <w:szCs w:val="24"/>
              </w:rPr>
              <w:t>i</w:t>
            </w:r>
            <w:r w:rsidRPr="00A917EC">
              <w:rPr>
                <w:sz w:val="24"/>
                <w:szCs w:val="24"/>
              </w:rPr>
              <w:t>lj. Tad vēl nevar galvot, ka nenodrošinātajiem nekas netiktu galarezultātā. Kur te likuma neskaidrības?</w:t>
            </w:r>
            <w:r w:rsidR="00AB7168">
              <w:rPr>
                <w:sz w:val="24"/>
                <w:szCs w:val="24"/>
              </w:rPr>
              <w:t xml:space="preserve"> </w:t>
            </w:r>
            <w:r w:rsidRPr="00A917EC">
              <w:rPr>
                <w:sz w:val="24"/>
                <w:szCs w:val="24"/>
              </w:rPr>
              <w:t xml:space="preserve">2010. gada redakcijā ir labāk </w:t>
            </w:r>
            <w:r w:rsidR="00AB7168">
              <w:rPr>
                <w:sz w:val="24"/>
                <w:szCs w:val="24"/>
              </w:rPr>
              <w:t>–</w:t>
            </w:r>
            <w:r w:rsidRPr="00A917EC">
              <w:rPr>
                <w:sz w:val="24"/>
                <w:szCs w:val="24"/>
              </w:rPr>
              <w:t xml:space="preserve"> detalizētāk un dalīti reglamentēts, bet nepiekrītu, ka 2007. gada likumu nespēja iztulkot. Maksātspēja nav obligāti jāglābj!</w:t>
            </w:r>
          </w:p>
        </w:tc>
      </w:tr>
      <w:tr w:rsidR="00253547" w:rsidRPr="00327DAE" w14:paraId="4818310D" w14:textId="77777777" w:rsidTr="00B40DAA">
        <w:trPr>
          <w:trHeight w:val="301"/>
        </w:trPr>
        <w:tc>
          <w:tcPr>
            <w:tcW w:w="562" w:type="dxa"/>
            <w:vMerge/>
          </w:tcPr>
          <w:p w14:paraId="3C63D7AE" w14:textId="4A4C199F" w:rsidR="00253547" w:rsidRPr="00327DAE" w:rsidRDefault="00253547" w:rsidP="0025317F">
            <w:pPr>
              <w:spacing w:after="120"/>
              <w:rPr>
                <w:sz w:val="24"/>
                <w:szCs w:val="24"/>
              </w:rPr>
            </w:pPr>
          </w:p>
        </w:tc>
        <w:tc>
          <w:tcPr>
            <w:tcW w:w="7797" w:type="dxa"/>
            <w:gridSpan w:val="3"/>
            <w:shd w:val="clear" w:color="auto" w:fill="auto"/>
            <w:noWrap/>
            <w:vAlign w:val="bottom"/>
          </w:tcPr>
          <w:p w14:paraId="65D8E742" w14:textId="6CD818BF" w:rsidR="00253547" w:rsidRPr="00327DAE" w:rsidRDefault="00253547" w:rsidP="0025317F">
            <w:pPr>
              <w:spacing w:after="120"/>
              <w:rPr>
                <w:i/>
                <w:sz w:val="24"/>
                <w:szCs w:val="24"/>
              </w:rPr>
            </w:pPr>
            <w:r w:rsidRPr="00327DAE">
              <w:rPr>
                <w:i/>
                <w:sz w:val="24"/>
                <w:szCs w:val="24"/>
              </w:rPr>
              <w:t>H.</w:t>
            </w:r>
            <w:r w:rsidR="00AB7168">
              <w:rPr>
                <w:i/>
                <w:sz w:val="24"/>
                <w:szCs w:val="24"/>
              </w:rPr>
              <w:t> </w:t>
            </w:r>
            <w:r w:rsidRPr="00327DAE">
              <w:rPr>
                <w:i/>
                <w:sz w:val="24"/>
                <w:szCs w:val="24"/>
              </w:rPr>
              <w:t>Jaujas atsevišķie secinājumi</w:t>
            </w:r>
          </w:p>
          <w:p w14:paraId="4D2CC763" w14:textId="0BFC70AA" w:rsidR="00253547" w:rsidRPr="00327DAE" w:rsidRDefault="00253547" w:rsidP="0025317F">
            <w:pPr>
              <w:spacing w:after="120"/>
              <w:rPr>
                <w:sz w:val="24"/>
                <w:szCs w:val="24"/>
              </w:rPr>
            </w:pPr>
            <w:r w:rsidRPr="00327DAE">
              <w:rPr>
                <w:sz w:val="24"/>
                <w:szCs w:val="24"/>
              </w:rPr>
              <w:t>Uzskatu, ka no juridiskā un ekonomiskā viedokļa parādnieka nenodrošināto kreditoru saistības bija iespējams samazināt tādā apmērā</w:t>
            </w:r>
            <w:r w:rsidR="00C157EF">
              <w:rPr>
                <w:sz w:val="24"/>
                <w:szCs w:val="24"/>
              </w:rPr>
              <w:t>,</w:t>
            </w:r>
            <w:r w:rsidRPr="00327DAE">
              <w:rPr>
                <w:sz w:val="24"/>
                <w:szCs w:val="24"/>
              </w:rPr>
              <w:t xml:space="preserve"> kā tas bija izdarīts ar nosacījumu, ka tik drastisks pasākums ir vienīgā iespēja, kā saglabāt parādnieka maksātspēju un ja nenodrošināto kreditoru ieguvums parādnieka maksātnespējas procesā būtu bijis mazāks (to</w:t>
            </w:r>
            <w:r w:rsidR="00C157EF">
              <w:rPr>
                <w:sz w:val="24"/>
                <w:szCs w:val="24"/>
              </w:rPr>
              <w:t>,</w:t>
            </w:r>
            <w:r w:rsidRPr="00327DAE">
              <w:rPr>
                <w:sz w:val="24"/>
                <w:szCs w:val="24"/>
              </w:rPr>
              <w:t xml:space="preserve"> vai nevarēja piemērot</w:t>
            </w:r>
            <w:proofErr w:type="gramStart"/>
            <w:r w:rsidRPr="00327DAE">
              <w:rPr>
                <w:sz w:val="24"/>
                <w:szCs w:val="24"/>
              </w:rPr>
              <w:t xml:space="preserve">  </w:t>
            </w:r>
            <w:proofErr w:type="gramEnd"/>
            <w:r w:rsidRPr="00327DAE">
              <w:rPr>
                <w:sz w:val="24"/>
                <w:szCs w:val="24"/>
              </w:rPr>
              <w:t>saudzīgāku parādu restrukturizācijas meto</w:t>
            </w:r>
            <w:r w:rsidR="007567F6" w:rsidRPr="00327DAE">
              <w:rPr>
                <w:sz w:val="24"/>
                <w:szCs w:val="24"/>
              </w:rPr>
              <w:t>d</w:t>
            </w:r>
            <w:r w:rsidRPr="00327DAE">
              <w:rPr>
                <w:sz w:val="24"/>
                <w:szCs w:val="24"/>
              </w:rPr>
              <w:t>i</w:t>
            </w:r>
            <w:r w:rsidR="00C157EF">
              <w:rPr>
                <w:sz w:val="24"/>
                <w:szCs w:val="24"/>
              </w:rPr>
              <w:t>,</w:t>
            </w:r>
            <w:r w:rsidRPr="00327DAE">
              <w:rPr>
                <w:sz w:val="24"/>
                <w:szCs w:val="24"/>
              </w:rPr>
              <w:t xml:space="preserve"> var noteikt</w:t>
            </w:r>
            <w:r w:rsidR="00C157EF">
              <w:rPr>
                <w:sz w:val="24"/>
                <w:szCs w:val="24"/>
              </w:rPr>
              <w:t>,</w:t>
            </w:r>
            <w:r w:rsidRPr="00327DAE">
              <w:rPr>
                <w:sz w:val="24"/>
                <w:szCs w:val="24"/>
              </w:rPr>
              <w:t xml:space="preserve"> tikai </w:t>
            </w:r>
            <w:r w:rsidR="007567F6" w:rsidRPr="00327DAE">
              <w:rPr>
                <w:sz w:val="24"/>
                <w:szCs w:val="24"/>
              </w:rPr>
              <w:t>analizējot</w:t>
            </w:r>
            <w:r w:rsidRPr="00327DAE">
              <w:rPr>
                <w:sz w:val="24"/>
                <w:szCs w:val="24"/>
              </w:rPr>
              <w:t xml:space="preserve"> lietu no ekonomiskā viedokļa, ko nebūtu pamatoti sagaidīt no tiesneša). Tāpat uzskatu, ka nenodrošinātajiem un nodrošinātajiem kreditoriem varēja paredzēt atšķirīgus parādu restrukturizācijas noteikumus. Jo abu ekonomiskais un juridiskais statuss būtiski atšķiras. Tāpēc no juridiskā viedokļa R.</w:t>
            </w:r>
            <w:r w:rsidR="00C157EF">
              <w:rPr>
                <w:sz w:val="24"/>
                <w:szCs w:val="24"/>
              </w:rPr>
              <w:t> </w:t>
            </w:r>
            <w:r w:rsidRPr="00327DAE">
              <w:rPr>
                <w:sz w:val="24"/>
                <w:szCs w:val="24"/>
              </w:rPr>
              <w:t>Bula lēmums būtu atzīstam</w:t>
            </w:r>
            <w:r w:rsidR="00C157EF">
              <w:rPr>
                <w:sz w:val="24"/>
                <w:szCs w:val="24"/>
              </w:rPr>
              <w:t>s</w:t>
            </w:r>
            <w:r w:rsidRPr="00327DAE">
              <w:rPr>
                <w:sz w:val="24"/>
                <w:szCs w:val="24"/>
              </w:rPr>
              <w:t xml:space="preserve"> par pamatotu.</w:t>
            </w:r>
          </w:p>
          <w:p w14:paraId="49E9F6D5" w14:textId="70A87542" w:rsidR="00253547" w:rsidRPr="00327DAE" w:rsidRDefault="00253547" w:rsidP="0025317F">
            <w:pPr>
              <w:spacing w:after="120"/>
              <w:rPr>
                <w:sz w:val="24"/>
                <w:szCs w:val="24"/>
              </w:rPr>
            </w:pPr>
            <w:r w:rsidRPr="00327DAE">
              <w:rPr>
                <w:sz w:val="24"/>
                <w:szCs w:val="24"/>
              </w:rPr>
              <w:t xml:space="preserve">Vienlaikus kontekstā ar </w:t>
            </w:r>
            <w:r w:rsidR="007E3D1F">
              <w:rPr>
                <w:sz w:val="24"/>
                <w:szCs w:val="24"/>
              </w:rPr>
              <w:t xml:space="preserve">izskanējušām </w:t>
            </w:r>
            <w:r w:rsidRPr="00327DAE">
              <w:rPr>
                <w:sz w:val="24"/>
                <w:szCs w:val="24"/>
              </w:rPr>
              <w:t>vispārējām aizdomām par R.</w:t>
            </w:r>
            <w:r w:rsidR="00C157EF">
              <w:rPr>
                <w:sz w:val="24"/>
                <w:szCs w:val="24"/>
              </w:rPr>
              <w:t> </w:t>
            </w:r>
            <w:r w:rsidRPr="00327DAE">
              <w:rPr>
                <w:sz w:val="24"/>
                <w:szCs w:val="24"/>
              </w:rPr>
              <w:t>Bula iesaisti maksātnespējas shēmu piesegšanā, ievērību pelna vairāki apstākļi šajā lietā.</w:t>
            </w:r>
          </w:p>
          <w:p w14:paraId="2FAF295D" w14:textId="42459284" w:rsidR="00253547" w:rsidRPr="00327DAE" w:rsidRDefault="00253547" w:rsidP="0025317F">
            <w:pPr>
              <w:pStyle w:val="ListParagraph"/>
              <w:widowControl/>
              <w:numPr>
                <w:ilvl w:val="0"/>
                <w:numId w:val="3"/>
              </w:numPr>
              <w:adjustRightInd/>
              <w:spacing w:after="120"/>
              <w:contextualSpacing w:val="0"/>
              <w:textAlignment w:val="auto"/>
              <w:rPr>
                <w:sz w:val="24"/>
                <w:szCs w:val="24"/>
              </w:rPr>
            </w:pPr>
            <w:r w:rsidRPr="00327DAE">
              <w:rPr>
                <w:sz w:val="24"/>
                <w:szCs w:val="24"/>
              </w:rPr>
              <w:t xml:space="preserve">SIA </w:t>
            </w:r>
            <w:r w:rsidR="007E3D1F">
              <w:rPr>
                <w:sz w:val="24"/>
                <w:szCs w:val="24"/>
              </w:rPr>
              <w:t>„</w:t>
            </w:r>
            <w:r w:rsidRPr="00327DAE">
              <w:rPr>
                <w:sz w:val="24"/>
                <w:szCs w:val="24"/>
              </w:rPr>
              <w:t>Būvuzņēmums STATS” ĀTAP administrators bija A.</w:t>
            </w:r>
            <w:r w:rsidR="00C157EF">
              <w:rPr>
                <w:sz w:val="24"/>
                <w:szCs w:val="24"/>
              </w:rPr>
              <w:t> </w:t>
            </w:r>
            <w:r w:rsidRPr="00327DAE">
              <w:rPr>
                <w:sz w:val="24"/>
                <w:szCs w:val="24"/>
              </w:rPr>
              <w:t>Lūsis, kurš pēc publiski pieejamas informācijas figurē kopā ar M.</w:t>
            </w:r>
            <w:r w:rsidR="00C157EF">
              <w:rPr>
                <w:sz w:val="24"/>
                <w:szCs w:val="24"/>
              </w:rPr>
              <w:t> </w:t>
            </w:r>
            <w:r w:rsidRPr="00327DAE">
              <w:rPr>
                <w:sz w:val="24"/>
                <w:szCs w:val="24"/>
              </w:rPr>
              <w:t xml:space="preserve">Sprūdu krimināllietā, kas saistīta </w:t>
            </w:r>
            <w:r w:rsidR="007E3D1F">
              <w:rPr>
                <w:sz w:val="24"/>
                <w:szCs w:val="24"/>
              </w:rPr>
              <w:t>ar iespējamiem pārkāpumiem SIA „</w:t>
            </w:r>
            <w:r w:rsidRPr="00327DAE">
              <w:rPr>
                <w:sz w:val="24"/>
                <w:szCs w:val="24"/>
              </w:rPr>
              <w:t>Peltes īpašumi”, t.i.</w:t>
            </w:r>
            <w:r w:rsidR="00C157EF">
              <w:rPr>
                <w:sz w:val="24"/>
                <w:szCs w:val="24"/>
              </w:rPr>
              <w:t>,</w:t>
            </w:r>
            <w:r w:rsidRPr="00327DAE">
              <w:rPr>
                <w:sz w:val="24"/>
                <w:szCs w:val="24"/>
              </w:rPr>
              <w:t xml:space="preserve"> profesionāli ir cieši saistīts ar M.</w:t>
            </w:r>
            <w:r w:rsidR="00C157EF">
              <w:rPr>
                <w:sz w:val="24"/>
                <w:szCs w:val="24"/>
              </w:rPr>
              <w:t> </w:t>
            </w:r>
            <w:r w:rsidRPr="00327DAE">
              <w:rPr>
                <w:sz w:val="24"/>
                <w:szCs w:val="24"/>
              </w:rPr>
              <w:t>Sprūdu un</w:t>
            </w:r>
            <w:r w:rsidR="00C157EF">
              <w:rPr>
                <w:sz w:val="24"/>
                <w:szCs w:val="24"/>
              </w:rPr>
              <w:t>,</w:t>
            </w:r>
            <w:r w:rsidRPr="00327DAE">
              <w:rPr>
                <w:sz w:val="24"/>
                <w:szCs w:val="24"/>
              </w:rPr>
              <w:t xml:space="preserve"> iespējams</w:t>
            </w:r>
            <w:r w:rsidR="00C157EF">
              <w:rPr>
                <w:sz w:val="24"/>
                <w:szCs w:val="24"/>
              </w:rPr>
              <w:t>,</w:t>
            </w:r>
            <w:r w:rsidRPr="00327DAE">
              <w:rPr>
                <w:sz w:val="24"/>
                <w:szCs w:val="24"/>
              </w:rPr>
              <w:t xml:space="preserve"> ir izmantojis līdzīgas darba metodes kā M.</w:t>
            </w:r>
            <w:r w:rsidR="007567F6" w:rsidRPr="00327DAE">
              <w:rPr>
                <w:sz w:val="24"/>
                <w:szCs w:val="24"/>
              </w:rPr>
              <w:t> </w:t>
            </w:r>
            <w:r w:rsidRPr="00327DAE">
              <w:rPr>
                <w:sz w:val="24"/>
                <w:szCs w:val="24"/>
              </w:rPr>
              <w:t>Sprūds.</w:t>
            </w:r>
          </w:p>
          <w:p w14:paraId="6DD2A269" w14:textId="263EA7E2" w:rsidR="00253547" w:rsidRPr="00327DAE" w:rsidRDefault="00253547" w:rsidP="0025317F">
            <w:pPr>
              <w:pStyle w:val="ListParagraph"/>
              <w:widowControl/>
              <w:numPr>
                <w:ilvl w:val="0"/>
                <w:numId w:val="3"/>
              </w:numPr>
              <w:adjustRightInd/>
              <w:spacing w:after="120"/>
              <w:contextualSpacing w:val="0"/>
              <w:textAlignment w:val="auto"/>
              <w:rPr>
                <w:sz w:val="24"/>
                <w:szCs w:val="24"/>
              </w:rPr>
            </w:pPr>
            <w:r w:rsidRPr="00327DAE">
              <w:rPr>
                <w:sz w:val="24"/>
                <w:szCs w:val="24"/>
              </w:rPr>
              <w:t>Parādnieks sešas dienas pirms ĀTAP pieteikuma iesniegšanas nomainīja juridisko adresi no Rīga, Bērzaunes iela 11a (Vidzemes priekšpilsēta)</w:t>
            </w:r>
            <w:r w:rsidR="00C157EF">
              <w:rPr>
                <w:sz w:val="24"/>
                <w:szCs w:val="24"/>
              </w:rPr>
              <w:t>,</w:t>
            </w:r>
            <w:r w:rsidRPr="00327DAE">
              <w:rPr>
                <w:sz w:val="24"/>
                <w:szCs w:val="24"/>
              </w:rPr>
              <w:t xml:space="preserve"> uz Rīga, Akas iela 5/7 (Centra rajons).</w:t>
            </w:r>
          </w:p>
          <w:p w14:paraId="5D56055A" w14:textId="1B839E82" w:rsidR="00253547" w:rsidRPr="00327DAE" w:rsidRDefault="00253547" w:rsidP="007E3D1F">
            <w:pPr>
              <w:spacing w:after="120"/>
              <w:rPr>
                <w:sz w:val="24"/>
                <w:szCs w:val="24"/>
              </w:rPr>
            </w:pPr>
            <w:r w:rsidRPr="00327DAE">
              <w:rPr>
                <w:sz w:val="24"/>
                <w:szCs w:val="24"/>
              </w:rPr>
              <w:t>Ņemot vērā citu parādnieku maiņas procesos, kas saistīti ar M.</w:t>
            </w:r>
            <w:r w:rsidR="00C157EF">
              <w:rPr>
                <w:sz w:val="24"/>
                <w:szCs w:val="24"/>
              </w:rPr>
              <w:t> </w:t>
            </w:r>
            <w:r w:rsidRPr="00327DAE">
              <w:rPr>
                <w:sz w:val="24"/>
                <w:szCs w:val="24"/>
              </w:rPr>
              <w:t>Sprūdu un citiem apšaubāmas reputācijas administratoriem, kā arī biežās adreses maiņas parādniekiem, kuru lietas ir skatījis R</w:t>
            </w:r>
            <w:r w:rsidR="007E3D1F">
              <w:rPr>
                <w:sz w:val="24"/>
                <w:szCs w:val="24"/>
              </w:rPr>
              <w:t>.</w:t>
            </w:r>
            <w:r w:rsidR="00C157EF">
              <w:rPr>
                <w:sz w:val="24"/>
                <w:szCs w:val="24"/>
              </w:rPr>
              <w:t> </w:t>
            </w:r>
            <w:r w:rsidRPr="00327DAE">
              <w:rPr>
                <w:sz w:val="24"/>
                <w:szCs w:val="24"/>
              </w:rPr>
              <w:t>Buls, šī adreses maiņa</w:t>
            </w:r>
            <w:r w:rsidR="00C157EF">
              <w:rPr>
                <w:sz w:val="24"/>
                <w:szCs w:val="24"/>
              </w:rPr>
              <w:t>,</w:t>
            </w:r>
            <w:r w:rsidRPr="00327DAE">
              <w:rPr>
                <w:sz w:val="24"/>
                <w:szCs w:val="24"/>
              </w:rPr>
              <w:t xml:space="preserve"> visticamāk</w:t>
            </w:r>
            <w:r w:rsidR="00C157EF">
              <w:rPr>
                <w:sz w:val="24"/>
                <w:szCs w:val="24"/>
              </w:rPr>
              <w:t>,</w:t>
            </w:r>
            <w:r w:rsidRPr="00327DAE">
              <w:rPr>
                <w:sz w:val="24"/>
                <w:szCs w:val="24"/>
              </w:rPr>
              <w:t xml:space="preserve"> nav sakritība. Kopsakarā ar citiem </w:t>
            </w:r>
            <w:r w:rsidR="007567F6" w:rsidRPr="00327DAE">
              <w:rPr>
                <w:sz w:val="24"/>
                <w:szCs w:val="24"/>
              </w:rPr>
              <w:t>apstākļiem</w:t>
            </w:r>
            <w:r w:rsidRPr="00327DAE">
              <w:rPr>
                <w:sz w:val="24"/>
                <w:szCs w:val="24"/>
              </w:rPr>
              <w:t xml:space="preserve"> neatkarīgam vērotājam no malas šis fakts varētu radīt priekšstatu, ka juridiskā adrese ir mainīta uz Centra rajonu, lai panāktu lietas piekritību Centra rajona tiesai un</w:t>
            </w:r>
            <w:r w:rsidR="00C157EF">
              <w:rPr>
                <w:sz w:val="24"/>
                <w:szCs w:val="24"/>
              </w:rPr>
              <w:t>,</w:t>
            </w:r>
            <w:r w:rsidRPr="00327DAE">
              <w:rPr>
                <w:sz w:val="24"/>
                <w:szCs w:val="24"/>
              </w:rPr>
              <w:t xml:space="preserve"> ie</w:t>
            </w:r>
            <w:r w:rsidR="007567F6" w:rsidRPr="00327DAE">
              <w:rPr>
                <w:sz w:val="24"/>
                <w:szCs w:val="24"/>
              </w:rPr>
              <w:t>spējams</w:t>
            </w:r>
            <w:r w:rsidR="00C157EF">
              <w:rPr>
                <w:sz w:val="24"/>
                <w:szCs w:val="24"/>
              </w:rPr>
              <w:t>,</w:t>
            </w:r>
            <w:r w:rsidR="007567F6" w:rsidRPr="00327DAE">
              <w:rPr>
                <w:sz w:val="24"/>
                <w:szCs w:val="24"/>
              </w:rPr>
              <w:t xml:space="preserve"> </w:t>
            </w:r>
            <w:r w:rsidRPr="00327DAE">
              <w:rPr>
                <w:sz w:val="24"/>
                <w:szCs w:val="24"/>
              </w:rPr>
              <w:t>R.</w:t>
            </w:r>
            <w:r w:rsidR="007567F6" w:rsidRPr="00327DAE">
              <w:rPr>
                <w:sz w:val="24"/>
                <w:szCs w:val="24"/>
              </w:rPr>
              <w:t> </w:t>
            </w:r>
            <w:r w:rsidRPr="00327DAE">
              <w:rPr>
                <w:sz w:val="24"/>
                <w:szCs w:val="24"/>
              </w:rPr>
              <w:t xml:space="preserve">Bulam. Savukārt nodoms </w:t>
            </w:r>
            <w:r w:rsidR="007567F6" w:rsidRPr="00327DAE">
              <w:rPr>
                <w:sz w:val="24"/>
                <w:szCs w:val="24"/>
              </w:rPr>
              <w:t>varētu</w:t>
            </w:r>
            <w:r w:rsidRPr="00327DAE">
              <w:rPr>
                <w:sz w:val="24"/>
                <w:szCs w:val="24"/>
              </w:rPr>
              <w:t xml:space="preserve"> būt nodrošināties pret risku, ka kāds tiesnesis saskata likuma neatbilstības parādnieka TAP plānā, kurš</w:t>
            </w:r>
            <w:r w:rsidR="00C157EF">
              <w:rPr>
                <w:sz w:val="24"/>
                <w:szCs w:val="24"/>
              </w:rPr>
              <w:t>,</w:t>
            </w:r>
            <w:r w:rsidRPr="00327DAE">
              <w:rPr>
                <w:sz w:val="24"/>
                <w:szCs w:val="24"/>
              </w:rPr>
              <w:t xml:space="preserve"> spriežot pēc ekspertu nevienprātības pat šob</w:t>
            </w:r>
            <w:r w:rsidR="007567F6" w:rsidRPr="00327DAE">
              <w:rPr>
                <w:sz w:val="24"/>
                <w:szCs w:val="24"/>
              </w:rPr>
              <w:t>rīd, arī tobrīd varēja tikt neviennozīmīgi</w:t>
            </w:r>
            <w:r w:rsidRPr="00327DAE">
              <w:rPr>
                <w:sz w:val="24"/>
                <w:szCs w:val="24"/>
              </w:rPr>
              <w:t xml:space="preserve"> traktēts. T.i.</w:t>
            </w:r>
            <w:r w:rsidR="00C157EF">
              <w:rPr>
                <w:sz w:val="24"/>
                <w:szCs w:val="24"/>
              </w:rPr>
              <w:t>,</w:t>
            </w:r>
            <w:r w:rsidRPr="00327DAE">
              <w:rPr>
                <w:sz w:val="24"/>
                <w:szCs w:val="24"/>
              </w:rPr>
              <w:t xml:space="preserve"> parādniekam un ar viņu saistītajām personām</w:t>
            </w:r>
            <w:r w:rsidR="00D1770B">
              <w:rPr>
                <w:sz w:val="24"/>
                <w:szCs w:val="24"/>
              </w:rPr>
              <w:t>,</w:t>
            </w:r>
            <w:r w:rsidRPr="00327DAE">
              <w:rPr>
                <w:sz w:val="24"/>
                <w:szCs w:val="24"/>
              </w:rPr>
              <w:t xml:space="preserve"> iespējams</w:t>
            </w:r>
            <w:r w:rsidR="00D1770B">
              <w:rPr>
                <w:sz w:val="24"/>
                <w:szCs w:val="24"/>
              </w:rPr>
              <w:t>,</w:t>
            </w:r>
            <w:r w:rsidRPr="00327DAE">
              <w:rPr>
                <w:sz w:val="24"/>
                <w:szCs w:val="24"/>
              </w:rPr>
              <w:t xml:space="preserve"> bija bažas par to, ka tiesa varētu neapstiprināt SIA “Būvuzņēmums STATS” TAP plānu</w:t>
            </w:r>
            <w:r w:rsidR="00D1770B">
              <w:rPr>
                <w:sz w:val="24"/>
                <w:szCs w:val="24"/>
              </w:rPr>
              <w:t>,</w:t>
            </w:r>
            <w:r w:rsidRPr="00327DAE">
              <w:rPr>
                <w:sz w:val="24"/>
                <w:szCs w:val="24"/>
              </w:rPr>
              <w:t xml:space="preserve"> un bija pamats prezumēt, ka ir lielāka iespēja, ka TAP tiks apstiprināts tieši Centra rajona tiesā, nevis Vidzemes priekšpilsētas tiesā, kur atradās iepriekšējā adrese. </w:t>
            </w:r>
          </w:p>
        </w:tc>
      </w:tr>
      <w:tr w:rsidR="00253547" w:rsidRPr="00327DAE" w14:paraId="52E5DF3B" w14:textId="77777777" w:rsidTr="00B40DAA">
        <w:trPr>
          <w:trHeight w:val="301"/>
        </w:trPr>
        <w:tc>
          <w:tcPr>
            <w:tcW w:w="562" w:type="dxa"/>
            <w:vMerge w:val="restart"/>
          </w:tcPr>
          <w:p w14:paraId="5896AA2B" w14:textId="5670F757" w:rsidR="00253547" w:rsidRPr="00327DAE" w:rsidRDefault="00253547" w:rsidP="0025317F">
            <w:pPr>
              <w:spacing w:after="120"/>
              <w:rPr>
                <w:b/>
                <w:color w:val="000000"/>
                <w:sz w:val="24"/>
                <w:szCs w:val="24"/>
              </w:rPr>
            </w:pPr>
            <w:r w:rsidRPr="00327DAE">
              <w:rPr>
                <w:b/>
                <w:color w:val="000000"/>
                <w:sz w:val="24"/>
                <w:szCs w:val="24"/>
              </w:rPr>
              <w:t>6.</w:t>
            </w:r>
          </w:p>
        </w:tc>
        <w:tc>
          <w:tcPr>
            <w:tcW w:w="1701" w:type="dxa"/>
            <w:shd w:val="clear" w:color="auto" w:fill="auto"/>
            <w:noWrap/>
            <w:vAlign w:val="bottom"/>
          </w:tcPr>
          <w:p w14:paraId="270B15DB" w14:textId="77777777" w:rsidR="00253547" w:rsidRPr="00327DAE" w:rsidRDefault="00253547" w:rsidP="0025317F">
            <w:pPr>
              <w:spacing w:after="120"/>
              <w:rPr>
                <w:b/>
                <w:sz w:val="24"/>
                <w:szCs w:val="24"/>
              </w:rPr>
            </w:pPr>
            <w:r w:rsidRPr="00327DAE">
              <w:rPr>
                <w:b/>
                <w:sz w:val="24"/>
                <w:szCs w:val="24"/>
              </w:rPr>
              <w:t>C27160009</w:t>
            </w:r>
            <w:r w:rsidRPr="00327DAE">
              <w:rPr>
                <w:rStyle w:val="FootnoteReference"/>
                <w:b/>
                <w:sz w:val="24"/>
                <w:szCs w:val="24"/>
              </w:rPr>
              <w:footnoteReference w:id="13"/>
            </w:r>
          </w:p>
          <w:p w14:paraId="6F522B0D" w14:textId="77777777" w:rsidR="00253547" w:rsidRPr="00327DAE" w:rsidRDefault="00253547" w:rsidP="0025317F">
            <w:pPr>
              <w:spacing w:after="120"/>
              <w:rPr>
                <w:b/>
                <w:sz w:val="24"/>
                <w:szCs w:val="24"/>
                <w:u w:val="single"/>
              </w:rPr>
            </w:pPr>
            <w:r w:rsidRPr="00327DAE">
              <w:rPr>
                <w:b/>
                <w:sz w:val="24"/>
                <w:szCs w:val="24"/>
              </w:rPr>
              <w:t>SPC-77/2010</w:t>
            </w:r>
          </w:p>
        </w:tc>
        <w:tc>
          <w:tcPr>
            <w:tcW w:w="2410" w:type="dxa"/>
            <w:shd w:val="clear" w:color="auto" w:fill="auto"/>
            <w:vAlign w:val="bottom"/>
          </w:tcPr>
          <w:p w14:paraId="3E4A9047" w14:textId="77777777" w:rsidR="00253547" w:rsidRPr="00327DAE" w:rsidRDefault="00253547" w:rsidP="0025317F">
            <w:pPr>
              <w:spacing w:after="120"/>
              <w:rPr>
                <w:b/>
                <w:sz w:val="24"/>
                <w:szCs w:val="24"/>
              </w:rPr>
            </w:pPr>
            <w:r w:rsidRPr="00327DAE">
              <w:rPr>
                <w:b/>
                <w:sz w:val="24"/>
                <w:szCs w:val="24"/>
              </w:rPr>
              <w:t>28.07.2009. spriedums</w:t>
            </w:r>
          </w:p>
        </w:tc>
        <w:tc>
          <w:tcPr>
            <w:tcW w:w="3686" w:type="dxa"/>
            <w:shd w:val="clear" w:color="auto" w:fill="auto"/>
            <w:vAlign w:val="bottom"/>
          </w:tcPr>
          <w:p w14:paraId="4D8DC5B0" w14:textId="77777777" w:rsidR="00253547" w:rsidRPr="00DA5069" w:rsidRDefault="00253547" w:rsidP="0025317F">
            <w:pPr>
              <w:pStyle w:val="Heading3"/>
            </w:pPr>
            <w:bookmarkStart w:id="20" w:name="_Toc522527495"/>
            <w:r w:rsidRPr="00DA5069">
              <w:rPr>
                <w:rStyle w:val="Heading2Char"/>
                <w:rFonts w:eastAsiaTheme="majorEastAsia"/>
                <w:b/>
                <w:szCs w:val="20"/>
                <w:u w:val="none"/>
              </w:rPr>
              <w:t>SIA „</w:t>
            </w:r>
            <w:proofErr w:type="spellStart"/>
            <w:r w:rsidRPr="00DA5069">
              <w:rPr>
                <w:rStyle w:val="Heading2Char"/>
                <w:rFonts w:eastAsiaTheme="majorEastAsia"/>
                <w:b/>
                <w:szCs w:val="20"/>
                <w:u w:val="none"/>
              </w:rPr>
              <w:t>Forburga</w:t>
            </w:r>
            <w:proofErr w:type="spellEnd"/>
            <w:r w:rsidRPr="00DA5069">
              <w:rPr>
                <w:rStyle w:val="Heading2Char"/>
                <w:rFonts w:eastAsiaTheme="majorEastAsia"/>
                <w:b/>
                <w:szCs w:val="20"/>
                <w:u w:val="none"/>
              </w:rPr>
              <w:t>”</w:t>
            </w:r>
            <w:r w:rsidRPr="00DA5069">
              <w:t>: TAP pieteikums, plāns</w:t>
            </w:r>
            <w:bookmarkEnd w:id="20"/>
          </w:p>
        </w:tc>
      </w:tr>
      <w:tr w:rsidR="00253547" w:rsidRPr="00327DAE" w14:paraId="3C3482AD" w14:textId="77777777" w:rsidTr="00327DAE">
        <w:trPr>
          <w:trHeight w:val="301"/>
        </w:trPr>
        <w:tc>
          <w:tcPr>
            <w:tcW w:w="562" w:type="dxa"/>
            <w:vMerge/>
          </w:tcPr>
          <w:p w14:paraId="1EDD37F9"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F5545C7" w14:textId="07A0D1B6"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3086FDAB" w14:textId="369D783D"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0562D93C" w14:textId="0D195370" w:rsidR="00253547" w:rsidRPr="00327DAE" w:rsidRDefault="00253547" w:rsidP="0025317F">
            <w:pPr>
              <w:spacing w:after="120"/>
              <w:rPr>
                <w:b/>
                <w:i/>
              </w:rPr>
            </w:pPr>
            <w:r w:rsidRPr="00327DAE">
              <w:rPr>
                <w:b/>
                <w:bCs/>
                <w:i/>
                <w:color w:val="000000"/>
              </w:rPr>
              <w:t>Lietu sadales veids/iemesls</w:t>
            </w:r>
          </w:p>
        </w:tc>
      </w:tr>
      <w:tr w:rsidR="00253547" w:rsidRPr="00327DAE" w14:paraId="5FB14465" w14:textId="77777777" w:rsidTr="00327DAE">
        <w:trPr>
          <w:trHeight w:val="301"/>
        </w:trPr>
        <w:tc>
          <w:tcPr>
            <w:tcW w:w="562" w:type="dxa"/>
            <w:vMerge/>
          </w:tcPr>
          <w:p w14:paraId="6A85DAE4" w14:textId="77777777"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13BA0ED1" w14:textId="5413F690" w:rsidR="00253547" w:rsidRPr="00327DAE" w:rsidRDefault="00253547" w:rsidP="0025317F">
            <w:pPr>
              <w:spacing w:after="120"/>
              <w:rPr>
                <w:i/>
              </w:rPr>
            </w:pPr>
            <w:r w:rsidRPr="00327DAE">
              <w:rPr>
                <w:i/>
                <w:color w:val="000000"/>
              </w:rPr>
              <w:t>09.06.2009</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63D73241" w14:textId="1CE6DC57"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51AFC8A5" w14:textId="5F9FA9E7" w:rsidR="00253547" w:rsidRPr="00327DAE" w:rsidRDefault="00253547" w:rsidP="0025317F">
            <w:pPr>
              <w:spacing w:after="120"/>
              <w:rPr>
                <w:i/>
              </w:rPr>
            </w:pPr>
            <w:r w:rsidRPr="00327DAE">
              <w:rPr>
                <w:i/>
                <w:color w:val="000000"/>
              </w:rPr>
              <w:t xml:space="preserve">Datorizēta lietu sadale. </w:t>
            </w:r>
          </w:p>
        </w:tc>
      </w:tr>
      <w:tr w:rsidR="00253547" w:rsidRPr="00327DAE" w14:paraId="386A97E6" w14:textId="77777777" w:rsidTr="00B40DAA">
        <w:trPr>
          <w:trHeight w:val="301"/>
        </w:trPr>
        <w:tc>
          <w:tcPr>
            <w:tcW w:w="562" w:type="dxa"/>
            <w:vMerge/>
          </w:tcPr>
          <w:p w14:paraId="57B1C2A8"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31E637DB" w14:textId="77777777" w:rsidR="00253547" w:rsidRPr="00327DAE" w:rsidRDefault="00253547" w:rsidP="0025317F">
            <w:pPr>
              <w:spacing w:after="120"/>
              <w:rPr>
                <w:i/>
                <w:sz w:val="24"/>
                <w:szCs w:val="24"/>
              </w:rPr>
            </w:pPr>
            <w:r w:rsidRPr="00327DAE">
              <w:rPr>
                <w:i/>
                <w:sz w:val="24"/>
                <w:szCs w:val="24"/>
              </w:rPr>
              <w:t>Augstākās tiesas norādītais pamats sprieduma atcelšanai</w:t>
            </w:r>
          </w:p>
          <w:p w14:paraId="757C30D7" w14:textId="013DA8F3" w:rsidR="00253547" w:rsidRPr="00327DAE" w:rsidRDefault="00253547" w:rsidP="0025317F">
            <w:pPr>
              <w:spacing w:after="120"/>
              <w:rPr>
                <w:sz w:val="24"/>
                <w:szCs w:val="24"/>
              </w:rPr>
            </w:pPr>
            <w:r w:rsidRPr="00327DAE">
              <w:rPr>
                <w:sz w:val="24"/>
                <w:szCs w:val="24"/>
              </w:rPr>
              <w:t>TAP plāns un tā pielikumi satur nepilnīgu un pretrunīgu informāciju p</w:t>
            </w:r>
            <w:r w:rsidR="0020329A" w:rsidRPr="00327DAE">
              <w:rPr>
                <w:sz w:val="24"/>
                <w:szCs w:val="24"/>
              </w:rPr>
              <w:t>ar komercsabiedrības saistībām.</w:t>
            </w:r>
          </w:p>
        </w:tc>
      </w:tr>
      <w:tr w:rsidR="00253547" w:rsidRPr="00327DAE" w14:paraId="77E0E689" w14:textId="77777777" w:rsidTr="00B40DAA">
        <w:trPr>
          <w:trHeight w:val="301"/>
        </w:trPr>
        <w:tc>
          <w:tcPr>
            <w:tcW w:w="562" w:type="dxa"/>
            <w:vMerge/>
          </w:tcPr>
          <w:p w14:paraId="6C522CB1"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27896FD9" w14:textId="77777777" w:rsidR="00253547" w:rsidRPr="00327DAE" w:rsidRDefault="00253547" w:rsidP="0025317F">
            <w:pPr>
              <w:spacing w:after="120"/>
              <w:rPr>
                <w:i/>
                <w:sz w:val="24"/>
                <w:szCs w:val="24"/>
              </w:rPr>
            </w:pPr>
            <w:r w:rsidRPr="00327DAE">
              <w:rPr>
                <w:i/>
                <w:sz w:val="24"/>
                <w:szCs w:val="24"/>
              </w:rPr>
              <w:t>Ekspertu secinājumi</w:t>
            </w:r>
          </w:p>
          <w:p w14:paraId="7FBF5445" w14:textId="77777777" w:rsidR="00253547" w:rsidRPr="00327DAE" w:rsidRDefault="00253547" w:rsidP="0025317F">
            <w:pPr>
              <w:spacing w:after="120"/>
              <w:rPr>
                <w:sz w:val="24"/>
                <w:szCs w:val="24"/>
              </w:rPr>
            </w:pPr>
            <w:r w:rsidRPr="00327DAE">
              <w:rPr>
                <w:sz w:val="24"/>
                <w:szCs w:val="24"/>
              </w:rPr>
              <w:t xml:space="preserve">Lietas izskatīšanas laikā nodrošinātais kreditors norādīja uz to, ka TAP plānā nav ietverts maksājumu grafiks saistībām, kas iestāsies TAP īstenošanas laikā. Tiesnesis konstatēja, ka šāds grafiks ir iesniegts, tāpēc kreditora iebildumus noraidīja. Savukārt protestā norādīts pavisam cits iebildums – skaitliska neatbilstība TAP plānā norādītajā maksājumu grafikā. Tomēr atceltā lēmuma pieņemšanas brīdī tiesneša rīcībā šādas informācijas nebija, jo nodrošinātais kreditors šādu iebildumu nebija izvirzījis. Ir apšaubāmi, vai tiesnesim būtu bijusi jāpārbauda skaitliskā neatbilstība maksājumu grafikā un vai viņš to vispār būtu varējis izdarīt, ja kreditors nebija izvirzījis šādus iebildumus. </w:t>
            </w:r>
          </w:p>
          <w:p w14:paraId="6A10C8C2" w14:textId="77777777" w:rsidR="00253547" w:rsidRPr="00327DAE" w:rsidRDefault="00253547" w:rsidP="0025317F">
            <w:pPr>
              <w:spacing w:after="120"/>
              <w:rPr>
                <w:sz w:val="24"/>
                <w:szCs w:val="24"/>
              </w:rPr>
            </w:pPr>
            <w:r w:rsidRPr="00327DAE">
              <w:rPr>
                <w:sz w:val="24"/>
                <w:szCs w:val="24"/>
              </w:rPr>
              <w:t>Tiesnesis ir paļāvies uz administratora viedokli, kuru atbalstīja arī divi citi kreditori.</w:t>
            </w:r>
          </w:p>
          <w:p w14:paraId="4D776169" w14:textId="0ED0FC70" w:rsidR="00253547" w:rsidRPr="00327DAE" w:rsidRDefault="00253547" w:rsidP="0025317F">
            <w:pPr>
              <w:spacing w:after="120"/>
              <w:rPr>
                <w:sz w:val="24"/>
                <w:szCs w:val="24"/>
              </w:rPr>
            </w:pPr>
            <w:r w:rsidRPr="00327DAE">
              <w:rPr>
                <w:sz w:val="24"/>
                <w:szCs w:val="24"/>
              </w:rPr>
              <w:t>Tomēr tiesnesis nebija izvērtējis nodrošinātā kreditora norādi par to, ka saistību izpildes termiņa pagarināšanai nepiekrīt, jo nav iekļauta kopējā parāda summa. Šī būtu vērtējama kā būtiska nepilnība spriedumā un no</w:t>
            </w:r>
            <w:r w:rsidR="0020329A" w:rsidRPr="00327DAE">
              <w:rPr>
                <w:sz w:val="24"/>
                <w:szCs w:val="24"/>
              </w:rPr>
              <w:t>pietn</w:t>
            </w:r>
            <w:r w:rsidR="00000410" w:rsidRPr="00327DAE">
              <w:rPr>
                <w:sz w:val="24"/>
                <w:szCs w:val="24"/>
              </w:rPr>
              <w:t>a kļūda</w:t>
            </w:r>
            <w:r w:rsidR="0020329A" w:rsidRPr="00327DAE">
              <w:rPr>
                <w:sz w:val="24"/>
                <w:szCs w:val="24"/>
              </w:rPr>
              <w:t>.</w:t>
            </w:r>
          </w:p>
        </w:tc>
      </w:tr>
      <w:tr w:rsidR="00253547" w:rsidRPr="00327DAE" w14:paraId="301BC384" w14:textId="77777777" w:rsidTr="00B40DAA">
        <w:trPr>
          <w:trHeight w:val="301"/>
        </w:trPr>
        <w:tc>
          <w:tcPr>
            <w:tcW w:w="562" w:type="dxa"/>
            <w:vMerge/>
          </w:tcPr>
          <w:p w14:paraId="09CD1374"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3D75AD28" w14:textId="148C897F" w:rsidR="00253547" w:rsidRPr="00327DAE" w:rsidRDefault="00253547" w:rsidP="0025317F">
            <w:pPr>
              <w:spacing w:after="120"/>
              <w:rPr>
                <w:i/>
                <w:sz w:val="24"/>
                <w:szCs w:val="24"/>
              </w:rPr>
            </w:pPr>
            <w:r w:rsidRPr="00327DAE">
              <w:rPr>
                <w:i/>
                <w:sz w:val="24"/>
                <w:szCs w:val="24"/>
              </w:rPr>
              <w:t>H. Jaujas atsevišķie secinājumi</w:t>
            </w:r>
          </w:p>
          <w:p w14:paraId="7382EB46" w14:textId="6B295F3E" w:rsidR="00253547" w:rsidRPr="00327DAE" w:rsidRDefault="00253547" w:rsidP="0025317F">
            <w:pPr>
              <w:spacing w:after="120"/>
              <w:rPr>
                <w:sz w:val="24"/>
                <w:szCs w:val="24"/>
              </w:rPr>
            </w:pPr>
            <w:r w:rsidRPr="00327DAE">
              <w:rPr>
                <w:sz w:val="24"/>
                <w:szCs w:val="24"/>
              </w:rPr>
              <w:t>Tāpat kā SI</w:t>
            </w:r>
            <w:r w:rsidR="007E3D1F">
              <w:rPr>
                <w:sz w:val="24"/>
                <w:szCs w:val="24"/>
              </w:rPr>
              <w:t>A „Būvuzņēmums STATS”, arī SIA „</w:t>
            </w:r>
            <w:proofErr w:type="spellStart"/>
            <w:r w:rsidRPr="00327DAE">
              <w:rPr>
                <w:sz w:val="24"/>
                <w:szCs w:val="24"/>
              </w:rPr>
              <w:t>Forburga</w:t>
            </w:r>
            <w:proofErr w:type="spellEnd"/>
            <w:r w:rsidRPr="00327DAE">
              <w:rPr>
                <w:sz w:val="24"/>
                <w:szCs w:val="24"/>
              </w:rPr>
              <w:t xml:space="preserve">” TAP administrators ir bijis saistīts ar Māri Sprūdu: Zanda </w:t>
            </w:r>
            <w:proofErr w:type="spellStart"/>
            <w:r w:rsidRPr="00327DAE">
              <w:rPr>
                <w:sz w:val="24"/>
                <w:szCs w:val="24"/>
              </w:rPr>
              <w:t>Kokare-Rode,</w:t>
            </w:r>
            <w:proofErr w:type="spellEnd"/>
            <w:r w:rsidRPr="00327DAE">
              <w:rPr>
                <w:sz w:val="24"/>
                <w:szCs w:val="24"/>
              </w:rPr>
              <w:t xml:space="preserve"> kura ilglaicīgi ir praktizējusi taj</w:t>
            </w:r>
            <w:r w:rsidR="00D1770B">
              <w:rPr>
                <w:sz w:val="24"/>
                <w:szCs w:val="24"/>
              </w:rPr>
              <w:t>ā</w:t>
            </w:r>
            <w:r w:rsidRPr="00327DAE">
              <w:rPr>
                <w:sz w:val="24"/>
                <w:szCs w:val="24"/>
              </w:rPr>
              <w:t xml:space="preserve"> pašā juridiskajā adresē, kur Māris Sprūds: Antonijas iela 7.</w:t>
            </w:r>
          </w:p>
          <w:p w14:paraId="1C3A7366" w14:textId="4EC5825F" w:rsidR="00253547" w:rsidRPr="00327DAE" w:rsidRDefault="007E3D1F" w:rsidP="0025317F">
            <w:pPr>
              <w:spacing w:after="120"/>
              <w:rPr>
                <w:sz w:val="24"/>
                <w:szCs w:val="24"/>
              </w:rPr>
            </w:pPr>
            <w:r>
              <w:rPr>
                <w:sz w:val="24"/>
                <w:szCs w:val="24"/>
              </w:rPr>
              <w:t>Tāpat kā SIA „</w:t>
            </w:r>
            <w:r w:rsidR="00253547" w:rsidRPr="00327DAE">
              <w:rPr>
                <w:sz w:val="24"/>
                <w:szCs w:val="24"/>
              </w:rPr>
              <w:t>Būvuzņēmums STATS”</w:t>
            </w:r>
            <w:r w:rsidR="00D1770B">
              <w:rPr>
                <w:sz w:val="24"/>
                <w:szCs w:val="24"/>
              </w:rPr>
              <w:t>,</w:t>
            </w:r>
            <w:r w:rsidR="00253547" w:rsidRPr="00327DAE">
              <w:rPr>
                <w:sz w:val="24"/>
                <w:szCs w:val="24"/>
              </w:rPr>
              <w:t xml:space="preserve"> arī SIA </w:t>
            </w:r>
            <w:r>
              <w:rPr>
                <w:sz w:val="24"/>
                <w:szCs w:val="24"/>
              </w:rPr>
              <w:t>„</w:t>
            </w:r>
            <w:proofErr w:type="spellStart"/>
            <w:r w:rsidR="00253547" w:rsidRPr="00327DAE">
              <w:rPr>
                <w:sz w:val="24"/>
                <w:szCs w:val="24"/>
              </w:rPr>
              <w:t>Forburga</w:t>
            </w:r>
            <w:proofErr w:type="spellEnd"/>
            <w:r w:rsidR="00253547" w:rsidRPr="00327DAE">
              <w:rPr>
                <w:sz w:val="24"/>
                <w:szCs w:val="24"/>
              </w:rPr>
              <w:t>” ir mainījusi juridisko adresi pirms TAP pieteikuma iesniegšanas. Līdz tam: Rīga, Bērzaunes iela 6a (Vidzemes priekšpilsēta), nepilnus 2 mēnešus līdz TAP pieteikuma iesniegšanai nomainīta uz Rīga, Čaka iela 95-16 (Centra rajons).</w:t>
            </w:r>
          </w:p>
          <w:p w14:paraId="1B6FEE75" w14:textId="31574C0F" w:rsidR="00253547" w:rsidRPr="00327DAE" w:rsidRDefault="007E3D1F" w:rsidP="007E3D1F">
            <w:pPr>
              <w:spacing w:after="120"/>
              <w:rPr>
                <w:sz w:val="24"/>
                <w:szCs w:val="24"/>
              </w:rPr>
            </w:pPr>
            <w:r>
              <w:rPr>
                <w:sz w:val="24"/>
                <w:szCs w:val="24"/>
              </w:rPr>
              <w:t>Nevar izslēgt, ka</w:t>
            </w:r>
            <w:r w:rsidR="00253547" w:rsidRPr="00327DAE">
              <w:rPr>
                <w:sz w:val="24"/>
                <w:szCs w:val="24"/>
              </w:rPr>
              <w:t xml:space="preserve"> abas sabiedrības bija </w:t>
            </w:r>
            <w:r w:rsidR="007567F6" w:rsidRPr="00327DAE">
              <w:rPr>
                <w:sz w:val="24"/>
                <w:szCs w:val="24"/>
              </w:rPr>
              <w:t>savstarpēji</w:t>
            </w:r>
            <w:r w:rsidR="00253547" w:rsidRPr="00327DAE">
              <w:rPr>
                <w:sz w:val="24"/>
                <w:szCs w:val="24"/>
              </w:rPr>
              <w:t xml:space="preserve"> saistītas</w:t>
            </w:r>
            <w:r w:rsidR="00D1770B">
              <w:rPr>
                <w:sz w:val="24"/>
                <w:szCs w:val="24"/>
              </w:rPr>
              <w:t>,</w:t>
            </w:r>
            <w:r w:rsidR="00253547" w:rsidRPr="00327DAE">
              <w:rPr>
                <w:sz w:val="24"/>
                <w:szCs w:val="24"/>
              </w:rPr>
              <w:t xml:space="preserve"> un apsvērumi, kāpēc tika mainīta juridiskā adrese abām kapitālsabiedrībām</w:t>
            </w:r>
            <w:r w:rsidR="00D1770B">
              <w:rPr>
                <w:sz w:val="24"/>
                <w:szCs w:val="24"/>
              </w:rPr>
              <w:t>, –</w:t>
            </w:r>
            <w:r w:rsidR="00253547" w:rsidRPr="00327DAE">
              <w:rPr>
                <w:sz w:val="24"/>
                <w:szCs w:val="24"/>
              </w:rPr>
              <w:t xml:space="preserve"> vienādi. R.</w:t>
            </w:r>
            <w:r w:rsidR="00D1770B">
              <w:rPr>
                <w:sz w:val="24"/>
                <w:szCs w:val="24"/>
              </w:rPr>
              <w:t> </w:t>
            </w:r>
            <w:r w:rsidR="00253547" w:rsidRPr="00327DAE">
              <w:rPr>
                <w:sz w:val="24"/>
                <w:szCs w:val="24"/>
              </w:rPr>
              <w:t>Bula nolēmums par SIA “</w:t>
            </w:r>
            <w:proofErr w:type="spellStart"/>
            <w:r w:rsidR="00253547" w:rsidRPr="00327DAE">
              <w:rPr>
                <w:sz w:val="24"/>
                <w:szCs w:val="24"/>
              </w:rPr>
              <w:t>Forburga</w:t>
            </w:r>
            <w:proofErr w:type="spellEnd"/>
            <w:r w:rsidR="00253547" w:rsidRPr="00327DAE">
              <w:rPr>
                <w:sz w:val="24"/>
                <w:szCs w:val="24"/>
              </w:rPr>
              <w:t>” TAP apstiprināšanu, ignorējot nodrošinātā kreditora iebildumus, ka tas nav piekritis ieķīlātās mantas pārdošanai, netieši norāda uz to, ka, mainot parādnieka juridisko adresi, ar parādnieku saistīto personu mērķis bija nodrošināt to, ka šajā strīdīgajā situācijā TAP plāns tiktu apstiprināts, kas arī tika panākts.</w:t>
            </w:r>
          </w:p>
        </w:tc>
      </w:tr>
      <w:tr w:rsidR="00720932" w:rsidRPr="00327DAE" w14:paraId="7BE92289" w14:textId="77777777" w:rsidTr="00B40DAA">
        <w:trPr>
          <w:trHeight w:val="244"/>
        </w:trPr>
        <w:tc>
          <w:tcPr>
            <w:tcW w:w="562" w:type="dxa"/>
            <w:vMerge w:val="restart"/>
          </w:tcPr>
          <w:p w14:paraId="09F91D78" w14:textId="59838A3D" w:rsidR="00720932" w:rsidRPr="00327DAE" w:rsidRDefault="00720932" w:rsidP="0025317F">
            <w:pPr>
              <w:spacing w:after="120"/>
              <w:rPr>
                <w:b/>
                <w:color w:val="000000"/>
                <w:sz w:val="24"/>
                <w:szCs w:val="24"/>
              </w:rPr>
            </w:pPr>
            <w:r w:rsidRPr="00327DAE">
              <w:rPr>
                <w:b/>
                <w:color w:val="000000"/>
                <w:sz w:val="24"/>
                <w:szCs w:val="24"/>
              </w:rPr>
              <w:t>7.</w:t>
            </w:r>
          </w:p>
        </w:tc>
        <w:tc>
          <w:tcPr>
            <w:tcW w:w="1701" w:type="dxa"/>
            <w:shd w:val="clear" w:color="auto" w:fill="auto"/>
            <w:noWrap/>
            <w:vAlign w:val="bottom"/>
            <w:hideMark/>
          </w:tcPr>
          <w:p w14:paraId="34EC3646" w14:textId="77777777" w:rsidR="00720932" w:rsidRPr="00327DAE" w:rsidRDefault="00720932" w:rsidP="0025317F">
            <w:pPr>
              <w:spacing w:after="120"/>
              <w:rPr>
                <w:b/>
                <w:color w:val="000000"/>
                <w:sz w:val="24"/>
                <w:szCs w:val="24"/>
              </w:rPr>
            </w:pPr>
            <w:r w:rsidRPr="00327DAE">
              <w:rPr>
                <w:b/>
                <w:color w:val="000000"/>
                <w:sz w:val="24"/>
                <w:szCs w:val="24"/>
              </w:rPr>
              <w:t>C27181909</w:t>
            </w:r>
            <w:r w:rsidRPr="00327DAE">
              <w:rPr>
                <w:rStyle w:val="FootnoteReference"/>
                <w:b/>
                <w:color w:val="000000"/>
                <w:sz w:val="24"/>
                <w:szCs w:val="24"/>
              </w:rPr>
              <w:footnoteReference w:id="14"/>
            </w:r>
          </w:p>
          <w:p w14:paraId="64EADF50" w14:textId="77777777" w:rsidR="00720932" w:rsidRPr="00327DAE" w:rsidRDefault="00AB4F91" w:rsidP="0025317F">
            <w:pPr>
              <w:spacing w:after="120"/>
              <w:rPr>
                <w:b/>
                <w:sz w:val="24"/>
                <w:szCs w:val="24"/>
              </w:rPr>
            </w:pPr>
            <w:hyperlink r:id="rId8" w:history="1">
              <w:r w:rsidR="00720932" w:rsidRPr="00327DAE">
                <w:rPr>
                  <w:b/>
                  <w:sz w:val="24"/>
                  <w:szCs w:val="24"/>
                </w:rPr>
                <w:t>SPC-175/2010</w:t>
              </w:r>
            </w:hyperlink>
          </w:p>
        </w:tc>
        <w:tc>
          <w:tcPr>
            <w:tcW w:w="2410" w:type="dxa"/>
            <w:shd w:val="clear" w:color="auto" w:fill="auto"/>
            <w:vAlign w:val="bottom"/>
            <w:hideMark/>
          </w:tcPr>
          <w:p w14:paraId="2185EFA2" w14:textId="77777777" w:rsidR="00720932" w:rsidRPr="00327DAE" w:rsidRDefault="00720932" w:rsidP="0025317F">
            <w:pPr>
              <w:spacing w:after="120"/>
              <w:rPr>
                <w:b/>
                <w:sz w:val="24"/>
                <w:szCs w:val="24"/>
              </w:rPr>
            </w:pPr>
            <w:r w:rsidRPr="00327DAE">
              <w:rPr>
                <w:b/>
                <w:sz w:val="24"/>
                <w:szCs w:val="24"/>
              </w:rPr>
              <w:t>07.09.2009. spriedums, 15.02.2010. lēmums</w:t>
            </w:r>
          </w:p>
        </w:tc>
        <w:tc>
          <w:tcPr>
            <w:tcW w:w="3686" w:type="dxa"/>
            <w:shd w:val="clear" w:color="auto" w:fill="auto"/>
            <w:vAlign w:val="bottom"/>
            <w:hideMark/>
          </w:tcPr>
          <w:p w14:paraId="2A46DF16" w14:textId="1BA73CF3" w:rsidR="00720932" w:rsidRPr="00DA5069" w:rsidRDefault="00720932" w:rsidP="0025317F">
            <w:pPr>
              <w:pStyle w:val="Heading3"/>
            </w:pPr>
            <w:bookmarkStart w:id="21" w:name="_Toc522527496"/>
            <w:r w:rsidRPr="00DA5069">
              <w:t xml:space="preserve">Fiziskās personas maksātnespējas </w:t>
            </w:r>
            <w:r w:rsidR="00DA5069" w:rsidRPr="00DA5069">
              <w:t>pieteikums</w:t>
            </w:r>
            <w:bookmarkEnd w:id="21"/>
          </w:p>
        </w:tc>
      </w:tr>
      <w:tr w:rsidR="00720932" w:rsidRPr="00327DAE" w14:paraId="5AFB3DAD" w14:textId="77777777" w:rsidTr="00327DAE">
        <w:trPr>
          <w:trHeight w:val="244"/>
        </w:trPr>
        <w:tc>
          <w:tcPr>
            <w:tcW w:w="562" w:type="dxa"/>
            <w:vMerge/>
          </w:tcPr>
          <w:p w14:paraId="45F88987" w14:textId="77777777" w:rsidR="00720932" w:rsidRPr="00327DAE" w:rsidRDefault="00720932"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62565BD" w14:textId="2177E145" w:rsidR="00720932" w:rsidRPr="00327DAE" w:rsidRDefault="00720932"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0C8AFA47" w14:textId="5DD473E2" w:rsidR="00720932" w:rsidRPr="00327DAE" w:rsidRDefault="00720932"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63BCBF14" w14:textId="086F0C2F" w:rsidR="00720932" w:rsidRPr="00DA5069" w:rsidRDefault="00720932" w:rsidP="0025317F">
            <w:pPr>
              <w:spacing w:after="120"/>
              <w:rPr>
                <w:b/>
                <w:i/>
              </w:rPr>
            </w:pPr>
            <w:r w:rsidRPr="00DA5069">
              <w:rPr>
                <w:b/>
                <w:bCs/>
                <w:i/>
              </w:rPr>
              <w:t>Lietu sadales veids/iemesls</w:t>
            </w:r>
          </w:p>
        </w:tc>
      </w:tr>
      <w:tr w:rsidR="00720932" w:rsidRPr="00327DAE" w14:paraId="3B765359" w14:textId="77777777" w:rsidTr="00327DAE">
        <w:trPr>
          <w:trHeight w:val="244"/>
        </w:trPr>
        <w:tc>
          <w:tcPr>
            <w:tcW w:w="562" w:type="dxa"/>
            <w:vMerge/>
          </w:tcPr>
          <w:p w14:paraId="7EB3504D" w14:textId="77777777" w:rsidR="00720932" w:rsidRPr="00327DAE" w:rsidRDefault="00720932"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268F886F" w14:textId="360E3CBE" w:rsidR="00720932" w:rsidRPr="00327DAE" w:rsidRDefault="00720932" w:rsidP="0025317F">
            <w:pPr>
              <w:spacing w:after="120"/>
              <w:rPr>
                <w:i/>
              </w:rPr>
            </w:pPr>
            <w:r w:rsidRPr="00327DAE">
              <w:rPr>
                <w:i/>
                <w:color w:val="000000"/>
              </w:rPr>
              <w:t>03.08.2009</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6B71E330" w14:textId="5B3D1FD6" w:rsidR="00720932" w:rsidRPr="00327DAE" w:rsidRDefault="00720932"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0B25929D" w14:textId="52FB3446" w:rsidR="00720932" w:rsidRPr="00327DAE" w:rsidRDefault="00720932" w:rsidP="0025317F">
            <w:pPr>
              <w:spacing w:after="120"/>
              <w:rPr>
                <w:i/>
              </w:rPr>
            </w:pPr>
            <w:r w:rsidRPr="00327DAE">
              <w:rPr>
                <w:i/>
                <w:color w:val="000000"/>
              </w:rPr>
              <w:t xml:space="preserve">Datorizēta lietu sadale. </w:t>
            </w:r>
          </w:p>
        </w:tc>
      </w:tr>
      <w:tr w:rsidR="00720932" w:rsidRPr="00327DAE" w14:paraId="6903DA89" w14:textId="77777777" w:rsidTr="00B40DAA">
        <w:trPr>
          <w:trHeight w:val="244"/>
        </w:trPr>
        <w:tc>
          <w:tcPr>
            <w:tcW w:w="562" w:type="dxa"/>
            <w:vMerge/>
          </w:tcPr>
          <w:p w14:paraId="39DECFEA" w14:textId="77777777" w:rsidR="00720932" w:rsidRPr="00327DAE" w:rsidRDefault="00720932" w:rsidP="0025317F">
            <w:pPr>
              <w:spacing w:after="120"/>
              <w:rPr>
                <w:sz w:val="24"/>
                <w:szCs w:val="24"/>
              </w:rPr>
            </w:pPr>
          </w:p>
        </w:tc>
        <w:tc>
          <w:tcPr>
            <w:tcW w:w="7797" w:type="dxa"/>
            <w:gridSpan w:val="3"/>
            <w:shd w:val="clear" w:color="auto" w:fill="auto"/>
            <w:noWrap/>
            <w:vAlign w:val="bottom"/>
          </w:tcPr>
          <w:p w14:paraId="2AC71A2C" w14:textId="77777777" w:rsidR="00720932" w:rsidRPr="00327DAE" w:rsidRDefault="00720932" w:rsidP="0025317F">
            <w:pPr>
              <w:spacing w:after="120"/>
              <w:rPr>
                <w:i/>
                <w:sz w:val="24"/>
                <w:szCs w:val="24"/>
              </w:rPr>
            </w:pPr>
            <w:r w:rsidRPr="00327DAE">
              <w:rPr>
                <w:i/>
                <w:sz w:val="24"/>
                <w:szCs w:val="24"/>
              </w:rPr>
              <w:t>Augstākās tiesas norādītais pamats sprieduma atcelšanai</w:t>
            </w:r>
          </w:p>
          <w:p w14:paraId="46028061" w14:textId="319BE8A9" w:rsidR="00720932" w:rsidRPr="00327DAE" w:rsidRDefault="00720932" w:rsidP="0025317F">
            <w:pPr>
              <w:spacing w:after="120"/>
              <w:rPr>
                <w:sz w:val="24"/>
                <w:szCs w:val="24"/>
              </w:rPr>
            </w:pPr>
            <w:r w:rsidRPr="00327DAE">
              <w:rPr>
                <w:sz w:val="24"/>
                <w:szCs w:val="24"/>
              </w:rPr>
              <w:t>Tiesa nav noskaidrojusi patiesos parādnieka ienākumus divpadsmit mēnešu laikā pirms maksātnespējas procesa pieteikuma iesniegšanas; tiesa nav noskaidrojusi iesniegtā plāna atbilstību likuma prasībām; pēc būtības likumā noteikto maksātnespējas procesa ierobežojumu esību tiesa nav pārbaudījusi un izvērtējusi.</w:t>
            </w:r>
          </w:p>
        </w:tc>
      </w:tr>
      <w:tr w:rsidR="00720932" w:rsidRPr="00E732C1" w14:paraId="1EC61330" w14:textId="77777777" w:rsidTr="00E732C1">
        <w:trPr>
          <w:trHeight w:val="244"/>
        </w:trPr>
        <w:tc>
          <w:tcPr>
            <w:tcW w:w="562" w:type="dxa"/>
            <w:vMerge/>
          </w:tcPr>
          <w:p w14:paraId="53E396AE" w14:textId="77777777" w:rsidR="00720932" w:rsidRPr="00327DAE" w:rsidRDefault="00720932" w:rsidP="0025317F">
            <w:pPr>
              <w:spacing w:after="120"/>
              <w:rPr>
                <w:sz w:val="24"/>
                <w:szCs w:val="24"/>
              </w:rPr>
            </w:pPr>
          </w:p>
        </w:tc>
        <w:tc>
          <w:tcPr>
            <w:tcW w:w="7797" w:type="dxa"/>
            <w:gridSpan w:val="3"/>
            <w:shd w:val="clear" w:color="auto" w:fill="FFFFFF" w:themeFill="background1"/>
            <w:noWrap/>
            <w:vAlign w:val="bottom"/>
          </w:tcPr>
          <w:p w14:paraId="5D18740A" w14:textId="77777777" w:rsidR="00720932" w:rsidRPr="00E732C1" w:rsidRDefault="00720932" w:rsidP="0025317F">
            <w:pPr>
              <w:spacing w:after="120"/>
              <w:rPr>
                <w:i/>
                <w:sz w:val="24"/>
                <w:szCs w:val="24"/>
              </w:rPr>
            </w:pPr>
            <w:r w:rsidRPr="00E732C1">
              <w:rPr>
                <w:i/>
                <w:sz w:val="24"/>
                <w:szCs w:val="24"/>
              </w:rPr>
              <w:t>Ekspertu secinājumi</w:t>
            </w:r>
          </w:p>
          <w:p w14:paraId="0D70537F" w14:textId="77777777" w:rsidR="00720932" w:rsidRPr="00E732C1" w:rsidRDefault="00720932" w:rsidP="0025317F">
            <w:pPr>
              <w:spacing w:after="120"/>
              <w:rPr>
                <w:sz w:val="24"/>
                <w:szCs w:val="24"/>
              </w:rPr>
            </w:pPr>
            <w:r w:rsidRPr="00E732C1">
              <w:rPr>
                <w:sz w:val="24"/>
                <w:szCs w:val="24"/>
              </w:rPr>
              <w:t>Tiesnesis pilnībā paļāvies uz administratora atzinumu.</w:t>
            </w:r>
          </w:p>
          <w:p w14:paraId="293FF3FF" w14:textId="41BE5973" w:rsidR="00720932" w:rsidRPr="00E732C1" w:rsidRDefault="00720932" w:rsidP="0025317F">
            <w:pPr>
              <w:spacing w:after="120"/>
              <w:rPr>
                <w:sz w:val="24"/>
                <w:szCs w:val="24"/>
              </w:rPr>
            </w:pPr>
            <w:r w:rsidRPr="00E732C1">
              <w:rPr>
                <w:sz w:val="24"/>
                <w:szCs w:val="24"/>
              </w:rPr>
              <w:t xml:space="preserve">Šajā lietā administrators ir sniedzis tiesnesim nepatiesu informāciju, jo nav norādījis ziņas par darījumiem ar nekustamajiem īpašumiem, kas notikuši gadu pirms maksātnespējas pieteikuma iesniegšanas </w:t>
            </w:r>
            <w:r w:rsidRPr="00E732C1">
              <w:rPr>
                <w:i/>
                <w:sz w:val="24"/>
                <w:szCs w:val="24"/>
              </w:rPr>
              <w:t>(2007. gada Maksātnespējas likuma 154. panta trešās daļas 6.punkts)</w:t>
            </w:r>
            <w:r w:rsidRPr="00E732C1">
              <w:rPr>
                <w:sz w:val="24"/>
                <w:szCs w:val="24"/>
              </w:rPr>
              <w:t>, un tiesnesis ir paļāvies uz administratora sniegto informāciju. Likumā nebija noteikts</w:t>
            </w:r>
            <w:r w:rsidR="00D1770B">
              <w:rPr>
                <w:sz w:val="24"/>
                <w:szCs w:val="24"/>
              </w:rPr>
              <w:t>,</w:t>
            </w:r>
            <w:r w:rsidRPr="00E732C1">
              <w:rPr>
                <w:sz w:val="24"/>
                <w:szCs w:val="24"/>
              </w:rPr>
              <w:t xml:space="preserve"> un arī šobrīd nav noteikts, ka tiesnesim būtu jāpārbauda zemesgrāmatā reģistrētie darījumi. Jāņem vērā</w:t>
            </w:r>
            <w:r w:rsidR="004529AC" w:rsidRPr="00E732C1">
              <w:rPr>
                <w:sz w:val="24"/>
                <w:szCs w:val="24"/>
              </w:rPr>
              <w:t>, ka</w:t>
            </w:r>
            <w:r w:rsidRPr="00E732C1">
              <w:rPr>
                <w:sz w:val="24"/>
                <w:szCs w:val="24"/>
              </w:rPr>
              <w:t xml:space="preserve"> civilprocesā noteiktais sacīkstes princips – tiesnesim ir jābūt neitrālam, tas nevar rīkoties tikai vienas puses, piemēram, kreditoru interesēs. Tiesnesim būtu jāpārbauda informācija par darījumiem ar īpašumiem, ja būtu saņemti kreditoru iebildumi</w:t>
            </w:r>
            <w:r w:rsidR="00D1770B">
              <w:rPr>
                <w:sz w:val="24"/>
                <w:szCs w:val="24"/>
              </w:rPr>
              <w:t>.</w:t>
            </w:r>
            <w:r w:rsidRPr="00E732C1">
              <w:rPr>
                <w:sz w:val="24"/>
                <w:szCs w:val="24"/>
              </w:rPr>
              <w:t xml:space="preserve"> Faktiski šādā situācijā drīzāk varētu runāt nevis par tiesneša, bet gan par administratora atbildību, ņemot vērā </w:t>
            </w:r>
            <w:r w:rsidRPr="00E732C1">
              <w:rPr>
                <w:color w:val="000000"/>
                <w:sz w:val="24"/>
                <w:szCs w:val="24"/>
              </w:rPr>
              <w:t xml:space="preserve">viņa pamatfunkciju – nodrošināt maksātnespējas procesa likumīgu norisi </w:t>
            </w:r>
            <w:r w:rsidRPr="00E732C1">
              <w:rPr>
                <w:i/>
                <w:color w:val="000000"/>
                <w:sz w:val="24"/>
                <w:szCs w:val="24"/>
              </w:rPr>
              <w:t>(</w:t>
            </w:r>
            <w:r w:rsidRPr="00E732C1">
              <w:rPr>
                <w:i/>
                <w:sz w:val="24"/>
                <w:szCs w:val="24"/>
              </w:rPr>
              <w:t xml:space="preserve">2007. gada Maksātnespējas likuma </w:t>
            </w:r>
            <w:r w:rsidRPr="00E732C1">
              <w:rPr>
                <w:i/>
                <w:color w:val="000000"/>
                <w:sz w:val="24"/>
                <w:szCs w:val="24"/>
              </w:rPr>
              <w:t>26.</w:t>
            </w:r>
            <w:r w:rsidR="00E732C1">
              <w:rPr>
                <w:i/>
                <w:color w:val="000000"/>
                <w:sz w:val="24"/>
                <w:szCs w:val="24"/>
              </w:rPr>
              <w:t> </w:t>
            </w:r>
            <w:r w:rsidRPr="00E732C1">
              <w:rPr>
                <w:i/>
                <w:color w:val="000000"/>
                <w:sz w:val="24"/>
                <w:szCs w:val="24"/>
              </w:rPr>
              <w:t>panta otrā daļa)</w:t>
            </w:r>
            <w:r w:rsidRPr="00E732C1">
              <w:rPr>
                <w:sz w:val="24"/>
                <w:szCs w:val="24"/>
              </w:rPr>
              <w:t xml:space="preserve">. </w:t>
            </w:r>
          </w:p>
          <w:p w14:paraId="426A2AD2" w14:textId="36344797" w:rsidR="00C276DE" w:rsidRPr="00E732C1" w:rsidRDefault="00C276DE" w:rsidP="0025317F">
            <w:pPr>
              <w:spacing w:after="120"/>
              <w:rPr>
                <w:sz w:val="24"/>
                <w:szCs w:val="24"/>
              </w:rPr>
            </w:pPr>
            <w:r w:rsidRPr="007E3D1F">
              <w:rPr>
                <w:sz w:val="24"/>
                <w:szCs w:val="24"/>
              </w:rPr>
              <w:t>Tiesnesis nav ņēmis vērā lietā esošos dokumentus, kas vērtējama kā nopietna kļūda. Tiesa nav noskaidrojusi patiesos parādnieka ienākumus pēdējo 12 mēnešu</w:t>
            </w:r>
            <w:r w:rsidRPr="00E732C1">
              <w:t xml:space="preserve"> </w:t>
            </w:r>
            <w:r w:rsidRPr="00E732C1">
              <w:rPr>
                <w:sz w:val="24"/>
                <w:szCs w:val="24"/>
              </w:rPr>
              <w:t>laikā. Maksātnespējas pieteikumam pievienotie dokumenti uzrādīja vismaz būtisku informācijas nepietiekamību un arī pretrunas.</w:t>
            </w:r>
          </w:p>
          <w:p w14:paraId="45BDD5F6" w14:textId="5D6ED552" w:rsidR="00720932" w:rsidRPr="00E732C1" w:rsidRDefault="00720932" w:rsidP="007E3D1F">
            <w:pPr>
              <w:spacing w:after="120"/>
            </w:pPr>
            <w:r w:rsidRPr="00E732C1">
              <w:rPr>
                <w:sz w:val="24"/>
                <w:szCs w:val="24"/>
                <w:shd w:val="clear" w:color="auto" w:fill="FFFFFF" w:themeFill="background1"/>
              </w:rPr>
              <w:t>T</w:t>
            </w:r>
            <w:r w:rsidR="007E3D1F">
              <w:rPr>
                <w:sz w:val="24"/>
                <w:szCs w:val="24"/>
                <w:shd w:val="clear" w:color="auto" w:fill="FFFFFF" w:themeFill="background1"/>
              </w:rPr>
              <w:t xml:space="preserve">ieslietu ministrijas </w:t>
            </w:r>
            <w:r w:rsidRPr="00E732C1">
              <w:rPr>
                <w:sz w:val="24"/>
                <w:szCs w:val="24"/>
                <w:shd w:val="clear" w:color="auto" w:fill="FFFFFF" w:themeFill="background1"/>
              </w:rPr>
              <w:t>Tiesu un zemesgrāmatu departamenta izziņa pievienota administratores atzinumam (83.</w:t>
            </w:r>
            <w:r w:rsidRPr="00E732C1">
              <w:rPr>
                <w:sz w:val="24"/>
                <w:szCs w:val="24"/>
                <w:shd w:val="clear" w:color="auto" w:fill="FFFFFF" w:themeFill="background1"/>
              </w:rPr>
              <w:softHyphen/>
              <w:t>–84. lp.), kas tiesā saņemt</w:t>
            </w:r>
            <w:r w:rsidR="007E3D1F">
              <w:rPr>
                <w:sz w:val="24"/>
                <w:szCs w:val="24"/>
                <w:shd w:val="clear" w:color="auto" w:fill="FFFFFF" w:themeFill="background1"/>
              </w:rPr>
              <w:t>a</w:t>
            </w:r>
            <w:r w:rsidRPr="00E732C1">
              <w:rPr>
                <w:sz w:val="24"/>
                <w:szCs w:val="24"/>
                <w:shd w:val="clear" w:color="auto" w:fill="FFFFFF" w:themeFill="background1"/>
              </w:rPr>
              <w:t xml:space="preserve"> 04.09.2009. – pirms atceltā lēmuma pieņemšanas. Viens no īpašumiem, uz ko A</w:t>
            </w:r>
            <w:r w:rsidR="007E3D1F">
              <w:rPr>
                <w:sz w:val="24"/>
                <w:szCs w:val="24"/>
                <w:shd w:val="clear" w:color="auto" w:fill="FFFFFF" w:themeFill="background1"/>
              </w:rPr>
              <w:t xml:space="preserve">ugstākā tiesa </w:t>
            </w:r>
            <w:r w:rsidRPr="00E732C1">
              <w:rPr>
                <w:sz w:val="24"/>
                <w:szCs w:val="24"/>
                <w:shd w:val="clear" w:color="auto" w:fill="FFFFFF" w:themeFill="background1"/>
              </w:rPr>
              <w:t xml:space="preserve">norādījusi, pārdots 09.08.2008., tātad vairāk nekā gadu pirms maksātnespējas pieteikuma iesniegšanas (03.08.2009.), tāpēc pieteicējam nebija jāsniedz ziņas par ienākumiem no šī darījuma. No izziņas redzams, ka otrs īpašums tiešām ir pārdots pēdējā gada laikā (06.10.2008.), un pieteicējs nav sniedzis informāciju par ienākumiem. Par trešo īpašumu pieteicējs ir norādījis ienākumu summu, kas nesakrīt ar zemesgrāmatā norādīto summu, tomēr lietai nav pievienota šī zemesgrāmatas informācija, tāpēc, </w:t>
            </w:r>
            <w:proofErr w:type="gramStart"/>
            <w:r w:rsidRPr="00E732C1">
              <w:rPr>
                <w:sz w:val="24"/>
                <w:szCs w:val="24"/>
                <w:shd w:val="clear" w:color="auto" w:fill="FFFFFF" w:themeFill="background1"/>
              </w:rPr>
              <w:t>lai šo nesakritību konstatētu, tiesnesim būtu pašam</w:t>
            </w:r>
            <w:proofErr w:type="gramEnd"/>
            <w:r w:rsidRPr="00E732C1">
              <w:rPr>
                <w:sz w:val="24"/>
                <w:szCs w:val="24"/>
                <w:shd w:val="clear" w:color="auto" w:fill="FFFFFF" w:themeFill="background1"/>
              </w:rPr>
              <w:t xml:space="preserve"> tā jāpārbauda.</w:t>
            </w:r>
          </w:p>
        </w:tc>
      </w:tr>
      <w:tr w:rsidR="00327DAE" w:rsidRPr="00327DAE" w14:paraId="775A931B" w14:textId="77777777" w:rsidTr="00DA5069">
        <w:trPr>
          <w:trHeight w:val="9717"/>
        </w:trPr>
        <w:tc>
          <w:tcPr>
            <w:tcW w:w="562" w:type="dxa"/>
            <w:vMerge/>
          </w:tcPr>
          <w:p w14:paraId="2FDAE398" w14:textId="77777777" w:rsidR="00327DAE" w:rsidRPr="00327DAE" w:rsidRDefault="00327DAE" w:rsidP="0025317F">
            <w:pPr>
              <w:spacing w:after="120"/>
              <w:rPr>
                <w:sz w:val="24"/>
                <w:szCs w:val="24"/>
              </w:rPr>
            </w:pPr>
          </w:p>
        </w:tc>
        <w:tc>
          <w:tcPr>
            <w:tcW w:w="7797" w:type="dxa"/>
            <w:gridSpan w:val="3"/>
            <w:shd w:val="clear" w:color="auto" w:fill="auto"/>
            <w:noWrap/>
            <w:vAlign w:val="bottom"/>
          </w:tcPr>
          <w:p w14:paraId="7B59F8CF" w14:textId="3CF7F74D" w:rsidR="00327DAE" w:rsidRPr="00327DAE" w:rsidRDefault="00327DAE" w:rsidP="0025317F">
            <w:pPr>
              <w:spacing w:after="120"/>
              <w:rPr>
                <w:i/>
                <w:sz w:val="24"/>
                <w:szCs w:val="24"/>
              </w:rPr>
            </w:pPr>
            <w:r w:rsidRPr="00327DAE">
              <w:rPr>
                <w:i/>
                <w:sz w:val="24"/>
                <w:szCs w:val="24"/>
              </w:rPr>
              <w:t>Prof. K. Torgāna atsevišķie secinājumi</w:t>
            </w:r>
          </w:p>
          <w:p w14:paraId="0BD5FCA3" w14:textId="7DD1AEAB" w:rsidR="00327DAE" w:rsidRPr="00E732C1" w:rsidRDefault="00327DAE" w:rsidP="0025317F">
            <w:pPr>
              <w:spacing w:after="120"/>
              <w:rPr>
                <w:sz w:val="24"/>
                <w:szCs w:val="24"/>
              </w:rPr>
            </w:pPr>
            <w:r w:rsidRPr="00327DAE">
              <w:rPr>
                <w:sz w:val="24"/>
                <w:szCs w:val="24"/>
              </w:rPr>
              <w:t xml:space="preserve">Augstākās tiesas spriedumā, ar kuru atcelti Centra rajona tiesas tiesneša 2009. gada 7. septembra un 2010. gada 15. februāra nolēmumi, motīvos norādītie pārkāpumi vispārināti izklausās tādi nelieli </w:t>
            </w:r>
            <w:r w:rsidR="00D1770B">
              <w:rPr>
                <w:sz w:val="24"/>
                <w:szCs w:val="24"/>
              </w:rPr>
              <w:t>–</w:t>
            </w:r>
            <w:r w:rsidRPr="00327DAE">
              <w:rPr>
                <w:sz w:val="24"/>
                <w:szCs w:val="24"/>
              </w:rPr>
              <w:t xml:space="preserve"> tiesa nav pārbaudījusi, vai nepastāv maksātnespējas procesa ierobežojumi, paļāvusies uz plāna atbilstību, nav pārbaudījusi rīcību ar īpašumiem pirms maksātnespējas</w:t>
            </w:r>
            <w:proofErr w:type="gramStart"/>
            <w:r w:rsidRPr="00327DAE">
              <w:rPr>
                <w:sz w:val="24"/>
                <w:szCs w:val="24"/>
              </w:rPr>
              <w:t xml:space="preserve">  </w:t>
            </w:r>
            <w:proofErr w:type="gramEnd"/>
            <w:r w:rsidRPr="00327DAE">
              <w:rPr>
                <w:sz w:val="24"/>
                <w:szCs w:val="24"/>
              </w:rPr>
              <w:t xml:space="preserve">pieteikuma iesniegšanas. Pieteikumu iesniegusi fiziska persona, kas sistemātiski nodarbojusies ar nekustamo īpašumu tirdzniecību, un nespēj izpildīt saistības </w:t>
            </w:r>
            <w:r w:rsidRPr="00E732C1">
              <w:rPr>
                <w:sz w:val="24"/>
                <w:szCs w:val="24"/>
              </w:rPr>
              <w:t>par 496 315,37</w:t>
            </w:r>
            <w:r w:rsidR="00D1770B" w:rsidRPr="00E732C1">
              <w:rPr>
                <w:sz w:val="24"/>
                <w:szCs w:val="24"/>
              </w:rPr>
              <w:t xml:space="preserve"> Ls</w:t>
            </w:r>
            <w:r w:rsidRPr="00E732C1">
              <w:rPr>
                <w:sz w:val="24"/>
                <w:szCs w:val="24"/>
              </w:rPr>
              <w:t>, kurām jau iestājies termiņš, un 3 956 121,49</w:t>
            </w:r>
            <w:r w:rsidR="001E6A81" w:rsidRPr="00E732C1">
              <w:rPr>
                <w:sz w:val="24"/>
                <w:szCs w:val="24"/>
              </w:rPr>
              <w:t xml:space="preserve"> Ls</w:t>
            </w:r>
            <w:r w:rsidRPr="00E732C1">
              <w:rPr>
                <w:sz w:val="24"/>
                <w:szCs w:val="24"/>
              </w:rPr>
              <w:t>, kurām samaksas termiņš iestāsies gada laikā, t.i., kopsummā vairāk nekā četri miljoni latu. Norādīta [pers. A] mantas kopējā vērtība 145 348,98</w:t>
            </w:r>
            <w:r w:rsidR="001E6A81" w:rsidRPr="00E732C1">
              <w:rPr>
                <w:sz w:val="24"/>
                <w:szCs w:val="24"/>
              </w:rPr>
              <w:t xml:space="preserve"> Ls</w:t>
            </w:r>
            <w:r w:rsidRPr="00E732C1">
              <w:rPr>
                <w:sz w:val="24"/>
                <w:szCs w:val="24"/>
              </w:rPr>
              <w:t>. Pie šādas sākuma pozīcijas bija sagaidāms, ka tiesnesis sevišķi rūpīgi pārbaudīs, vai nepastāv maksātnespējas procesa ierobežojumi, kādi ienākumi no nekustamo īpašumu pārdošanas bijuši iepriekšējā gadā u.c. No lietas materiāliem, tostarp 4. sept. iesniegtās izziņas</w:t>
            </w:r>
            <w:r w:rsidR="001E6A81">
              <w:rPr>
                <w:sz w:val="24"/>
                <w:szCs w:val="24"/>
              </w:rPr>
              <w:t>,</w:t>
            </w:r>
            <w:r w:rsidRPr="00E732C1">
              <w:rPr>
                <w:sz w:val="24"/>
                <w:szCs w:val="24"/>
              </w:rPr>
              <w:t xml:space="preserve"> redzams, ka [pers. A] 2008. gadā atsavinājis sešus sev piederošos nekustamos īpašumu</w:t>
            </w:r>
            <w:r w:rsidR="001E6A81">
              <w:rPr>
                <w:sz w:val="24"/>
                <w:szCs w:val="24"/>
              </w:rPr>
              <w:t>s</w:t>
            </w:r>
            <w:r w:rsidRPr="00E732C1">
              <w:rPr>
                <w:sz w:val="24"/>
                <w:szCs w:val="24"/>
              </w:rPr>
              <w:t>. [Pers. A] kā pierādījumu saviem ienākumiem pieteikumam pievienojis paša sagatavotu un parakstītu apliecinājumu, no kura redzams, ka viņš minētajā laika posmā saņēmis trīspadsmit dažāda veida ienākumus par kopējo summu 137 204,83</w:t>
            </w:r>
            <w:r w:rsidR="001E6A81" w:rsidRPr="00E732C1">
              <w:rPr>
                <w:sz w:val="24"/>
                <w:szCs w:val="24"/>
              </w:rPr>
              <w:t xml:space="preserve"> Ls</w:t>
            </w:r>
            <w:r w:rsidRPr="00E732C1">
              <w:rPr>
                <w:sz w:val="24"/>
                <w:szCs w:val="24"/>
              </w:rPr>
              <w:t>. Pieteikumam ir pievienota AS „DnB NORD Banka” 2009. gada 28. jūlijā sagatavotā informācija par [pers. A] viena bankas konta apgrozījumu, taču tikai par diviem mēnešiem (no 2009. gada 1. jūnija līdz 28. jūlijam). Tāpat pieteikumam pievienotā Valsts ieņēmumu dienesta 2009. gada 30. jūlija izziņa arī ir par ienākumiem tikai laikā no 2009. gada 1. jūnija līdz 30. jūnijam.</w:t>
            </w:r>
          </w:p>
          <w:p w14:paraId="2B49BA8E" w14:textId="58D1A436" w:rsidR="00327DAE" w:rsidRPr="00327DAE" w:rsidRDefault="00327DAE" w:rsidP="0025317F">
            <w:pPr>
              <w:spacing w:after="120"/>
              <w:rPr>
                <w:sz w:val="24"/>
                <w:szCs w:val="24"/>
              </w:rPr>
            </w:pPr>
            <w:r w:rsidRPr="00E732C1">
              <w:rPr>
                <w:sz w:val="24"/>
                <w:szCs w:val="24"/>
              </w:rPr>
              <w:t>[Pers. A] savā apliecinājumā norādījis, ka par nekustamā īpašuma [adrese] pārdošanu saņēmis ienākumus 38 654,22</w:t>
            </w:r>
            <w:r w:rsidR="001E6A81" w:rsidRPr="00E732C1">
              <w:rPr>
                <w:sz w:val="24"/>
                <w:szCs w:val="24"/>
              </w:rPr>
              <w:t xml:space="preserve"> Ls</w:t>
            </w:r>
            <w:r w:rsidRPr="00E732C1">
              <w:rPr>
                <w:sz w:val="24"/>
                <w:szCs w:val="24"/>
              </w:rPr>
              <w:t>, taču Rīgas pilsētas zemesgrāmatas nodalījumā Nr.[..] darījuma summa norādīta ievērojami lielāka - 59 738,34</w:t>
            </w:r>
            <w:r w:rsidR="001E6A81" w:rsidRPr="00E732C1">
              <w:rPr>
                <w:sz w:val="24"/>
                <w:szCs w:val="24"/>
              </w:rPr>
              <w:t xml:space="preserve"> Ls</w:t>
            </w:r>
            <w:r w:rsidRPr="00E732C1">
              <w:rPr>
                <w:sz w:val="24"/>
                <w:szCs w:val="24"/>
              </w:rPr>
              <w:t>. Starpība pārsniedz 21 tūkstoti latu! Šie fakti vien jau liecina, ka tiesnesis nav pieprasījis vajadzīgos paskaidrojumus un dokumentus no pieteicēja. Augstākās tiesas spriedumā norādīti vēl citi pārkāpumi.</w:t>
            </w:r>
            <w:r w:rsidRPr="00327DAE">
              <w:rPr>
                <w:sz w:val="24"/>
                <w:szCs w:val="24"/>
              </w:rPr>
              <w:t xml:space="preserve"> </w:t>
            </w:r>
          </w:p>
          <w:p w14:paraId="283794F7" w14:textId="22FC3B39" w:rsidR="00327DAE" w:rsidRPr="00327DAE" w:rsidRDefault="00327DAE" w:rsidP="007E3D1F">
            <w:pPr>
              <w:spacing w:after="120"/>
              <w:rPr>
                <w:sz w:val="24"/>
                <w:szCs w:val="24"/>
              </w:rPr>
            </w:pPr>
            <w:r w:rsidRPr="00327DAE">
              <w:rPr>
                <w:sz w:val="24"/>
                <w:szCs w:val="24"/>
              </w:rPr>
              <w:t>Līdz ar to ir pamats komisijas secinājumam, ka tiesnesis šajā lietā ir pieļāvis rupjus Civilprocesa likuma un Maksātnespējas likuma pārkāpumus.</w:t>
            </w:r>
          </w:p>
        </w:tc>
      </w:tr>
      <w:tr w:rsidR="00253547" w:rsidRPr="00327DAE" w14:paraId="7BCC48EE" w14:textId="77777777" w:rsidTr="00B40DAA">
        <w:trPr>
          <w:trHeight w:val="317"/>
        </w:trPr>
        <w:tc>
          <w:tcPr>
            <w:tcW w:w="562" w:type="dxa"/>
            <w:vMerge w:val="restart"/>
          </w:tcPr>
          <w:p w14:paraId="68CA68AB" w14:textId="141BDFBB" w:rsidR="00253547" w:rsidRPr="00327DAE" w:rsidRDefault="00253547" w:rsidP="0025317F">
            <w:pPr>
              <w:spacing w:after="120"/>
              <w:rPr>
                <w:b/>
                <w:sz w:val="24"/>
                <w:szCs w:val="24"/>
              </w:rPr>
            </w:pPr>
            <w:r w:rsidRPr="00327DAE">
              <w:rPr>
                <w:b/>
                <w:sz w:val="24"/>
                <w:szCs w:val="24"/>
              </w:rPr>
              <w:t>8.</w:t>
            </w:r>
          </w:p>
        </w:tc>
        <w:tc>
          <w:tcPr>
            <w:tcW w:w="1701" w:type="dxa"/>
            <w:shd w:val="clear" w:color="auto" w:fill="auto"/>
            <w:noWrap/>
            <w:vAlign w:val="bottom"/>
            <w:hideMark/>
          </w:tcPr>
          <w:p w14:paraId="381E5DAF" w14:textId="77777777" w:rsidR="00253547" w:rsidRPr="00327DAE" w:rsidRDefault="00253547" w:rsidP="0025317F">
            <w:pPr>
              <w:spacing w:after="120"/>
              <w:rPr>
                <w:b/>
                <w:color w:val="000000"/>
                <w:sz w:val="24"/>
                <w:szCs w:val="24"/>
              </w:rPr>
            </w:pPr>
            <w:r w:rsidRPr="00327DAE">
              <w:rPr>
                <w:b/>
                <w:color w:val="000000"/>
                <w:sz w:val="24"/>
                <w:szCs w:val="24"/>
              </w:rPr>
              <w:t>C27143710</w:t>
            </w:r>
            <w:r w:rsidRPr="00327DAE">
              <w:rPr>
                <w:rStyle w:val="FootnoteReference"/>
                <w:b/>
                <w:color w:val="000000"/>
                <w:sz w:val="24"/>
                <w:szCs w:val="24"/>
              </w:rPr>
              <w:footnoteReference w:id="15"/>
            </w:r>
          </w:p>
          <w:p w14:paraId="7FFCDC2F" w14:textId="77777777" w:rsidR="00253547" w:rsidRPr="00327DAE" w:rsidRDefault="00AB4F91" w:rsidP="0025317F">
            <w:pPr>
              <w:spacing w:after="120"/>
              <w:rPr>
                <w:b/>
                <w:sz w:val="24"/>
                <w:szCs w:val="24"/>
              </w:rPr>
            </w:pPr>
            <w:hyperlink r:id="rId9" w:history="1">
              <w:r w:rsidR="00253547" w:rsidRPr="00327DAE">
                <w:rPr>
                  <w:b/>
                  <w:sz w:val="24"/>
                  <w:szCs w:val="24"/>
                </w:rPr>
                <w:t>SPC-10/2011</w:t>
              </w:r>
            </w:hyperlink>
          </w:p>
        </w:tc>
        <w:tc>
          <w:tcPr>
            <w:tcW w:w="2410" w:type="dxa"/>
            <w:shd w:val="clear" w:color="auto" w:fill="auto"/>
            <w:hideMark/>
          </w:tcPr>
          <w:p w14:paraId="22980092" w14:textId="77777777" w:rsidR="00253547" w:rsidRPr="00327DAE" w:rsidRDefault="00253547" w:rsidP="0025317F">
            <w:pPr>
              <w:spacing w:after="120"/>
              <w:rPr>
                <w:b/>
                <w:sz w:val="24"/>
                <w:szCs w:val="24"/>
              </w:rPr>
            </w:pPr>
            <w:r w:rsidRPr="00327DAE">
              <w:rPr>
                <w:b/>
                <w:sz w:val="24"/>
                <w:szCs w:val="24"/>
              </w:rPr>
              <w:t>27.05.2010. spriedums</w:t>
            </w:r>
          </w:p>
        </w:tc>
        <w:tc>
          <w:tcPr>
            <w:tcW w:w="3686" w:type="dxa"/>
            <w:shd w:val="clear" w:color="auto" w:fill="auto"/>
            <w:vAlign w:val="bottom"/>
            <w:hideMark/>
          </w:tcPr>
          <w:p w14:paraId="3C5AA081" w14:textId="70DE2775" w:rsidR="00253547" w:rsidRPr="00327DAE" w:rsidRDefault="00253547" w:rsidP="0025317F">
            <w:pPr>
              <w:pStyle w:val="Heading3"/>
            </w:pPr>
            <w:bookmarkStart w:id="22" w:name="_Toc522527497"/>
            <w:r w:rsidRPr="00327DAE">
              <w:t xml:space="preserve">Fiziskās personas maksātnespējas </w:t>
            </w:r>
            <w:r w:rsidR="00DA5069">
              <w:t>pieteikums</w:t>
            </w:r>
            <w:bookmarkEnd w:id="22"/>
          </w:p>
        </w:tc>
      </w:tr>
      <w:tr w:rsidR="00253547" w:rsidRPr="00327DAE" w14:paraId="41FE7DC1" w14:textId="77777777" w:rsidTr="00327DAE">
        <w:trPr>
          <w:trHeight w:val="317"/>
        </w:trPr>
        <w:tc>
          <w:tcPr>
            <w:tcW w:w="562" w:type="dxa"/>
            <w:vMerge/>
          </w:tcPr>
          <w:p w14:paraId="065100F2" w14:textId="77777777"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13CFF1E" w14:textId="5DA9F42A"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364F21F5" w14:textId="3C6A70D3"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1C13E32A" w14:textId="5B5090A3" w:rsidR="00253547" w:rsidRPr="00327DAE" w:rsidRDefault="00253547" w:rsidP="0025317F">
            <w:pPr>
              <w:spacing w:after="120"/>
              <w:rPr>
                <w:b/>
                <w:i/>
              </w:rPr>
            </w:pPr>
            <w:r w:rsidRPr="00327DAE">
              <w:rPr>
                <w:b/>
                <w:bCs/>
                <w:i/>
                <w:color w:val="000000"/>
              </w:rPr>
              <w:t>Lietu sadales veids/iemesls</w:t>
            </w:r>
          </w:p>
        </w:tc>
      </w:tr>
      <w:tr w:rsidR="00253547" w:rsidRPr="00327DAE" w14:paraId="59161F62" w14:textId="77777777" w:rsidTr="00327DAE">
        <w:trPr>
          <w:trHeight w:val="317"/>
        </w:trPr>
        <w:tc>
          <w:tcPr>
            <w:tcW w:w="562" w:type="dxa"/>
            <w:vMerge/>
          </w:tcPr>
          <w:p w14:paraId="315C537F" w14:textId="77777777"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05FA52A3" w14:textId="2C98C38B" w:rsidR="00253547" w:rsidRPr="00327DAE" w:rsidRDefault="00253547" w:rsidP="0025317F">
            <w:pPr>
              <w:spacing w:after="120"/>
              <w:rPr>
                <w:i/>
              </w:rPr>
            </w:pPr>
            <w:r w:rsidRPr="00327DAE">
              <w:rPr>
                <w:i/>
                <w:color w:val="000000"/>
              </w:rPr>
              <w:t>31.03.2010</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6F40F806" w14:textId="7B928448"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2A7802F4" w14:textId="3EE9C7BA" w:rsidR="00253547" w:rsidRPr="00327DAE" w:rsidRDefault="00253547" w:rsidP="0025317F">
            <w:pPr>
              <w:spacing w:after="120"/>
              <w:rPr>
                <w:i/>
              </w:rPr>
            </w:pPr>
            <w:r w:rsidRPr="00327DAE">
              <w:rPr>
                <w:i/>
                <w:color w:val="000000"/>
              </w:rPr>
              <w:t xml:space="preserve">Datorizēta lietu sadale. </w:t>
            </w:r>
          </w:p>
        </w:tc>
      </w:tr>
      <w:tr w:rsidR="00253547" w:rsidRPr="00327DAE" w14:paraId="450D5A72" w14:textId="77777777" w:rsidTr="00327DAE">
        <w:trPr>
          <w:trHeight w:val="317"/>
        </w:trPr>
        <w:tc>
          <w:tcPr>
            <w:tcW w:w="562" w:type="dxa"/>
            <w:vMerge/>
          </w:tcPr>
          <w:p w14:paraId="23047DC2" w14:textId="77777777" w:rsidR="00253547" w:rsidRPr="00327DAE" w:rsidRDefault="00253547" w:rsidP="0025317F">
            <w:pPr>
              <w:spacing w:after="120"/>
              <w:rPr>
                <w:sz w:val="24"/>
                <w:szCs w:val="24"/>
              </w:rPr>
            </w:pPr>
          </w:p>
        </w:tc>
        <w:tc>
          <w:tcPr>
            <w:tcW w:w="1701" w:type="dxa"/>
            <w:tcBorders>
              <w:top w:val="nil"/>
              <w:left w:val="nil"/>
              <w:bottom w:val="single" w:sz="4" w:space="0" w:color="auto"/>
              <w:right w:val="single" w:sz="4" w:space="0" w:color="auto"/>
            </w:tcBorders>
            <w:shd w:val="clear" w:color="auto" w:fill="E7E6E6" w:themeFill="background2"/>
          </w:tcPr>
          <w:p w14:paraId="3ED57387" w14:textId="77EAA370" w:rsidR="00253547" w:rsidRPr="00327DAE" w:rsidRDefault="00253547" w:rsidP="0025317F">
            <w:pPr>
              <w:spacing w:after="120"/>
              <w:rPr>
                <w:i/>
              </w:rPr>
            </w:pPr>
            <w:r w:rsidRPr="00327DAE">
              <w:rPr>
                <w:i/>
                <w:color w:val="000000"/>
              </w:rPr>
              <w:t>17.03.2011</w:t>
            </w:r>
          </w:p>
        </w:tc>
        <w:tc>
          <w:tcPr>
            <w:tcW w:w="2410" w:type="dxa"/>
            <w:tcBorders>
              <w:top w:val="nil"/>
              <w:left w:val="nil"/>
              <w:bottom w:val="single" w:sz="4" w:space="0" w:color="auto"/>
              <w:right w:val="single" w:sz="4" w:space="0" w:color="auto"/>
            </w:tcBorders>
            <w:shd w:val="clear" w:color="auto" w:fill="E7E6E6" w:themeFill="background2"/>
          </w:tcPr>
          <w:p w14:paraId="1DBDDC7C" w14:textId="7F8CFCBD" w:rsidR="00253547" w:rsidRPr="00327DAE" w:rsidRDefault="00253547" w:rsidP="0025317F">
            <w:pPr>
              <w:spacing w:after="120"/>
              <w:rPr>
                <w:i/>
              </w:rPr>
            </w:pPr>
            <w:r w:rsidRPr="00327DAE">
              <w:rPr>
                <w:i/>
                <w:color w:val="000000"/>
              </w:rPr>
              <w:t>Imants Dzenis</w:t>
            </w:r>
          </w:p>
        </w:tc>
        <w:tc>
          <w:tcPr>
            <w:tcW w:w="3686" w:type="dxa"/>
            <w:tcBorders>
              <w:top w:val="nil"/>
              <w:left w:val="nil"/>
              <w:bottom w:val="single" w:sz="4" w:space="0" w:color="auto"/>
              <w:right w:val="single" w:sz="4" w:space="0" w:color="auto"/>
            </w:tcBorders>
            <w:shd w:val="clear" w:color="auto" w:fill="E7E6E6" w:themeFill="background2"/>
          </w:tcPr>
          <w:p w14:paraId="17C03DBE" w14:textId="08D9E0BB" w:rsidR="00253547" w:rsidRPr="00327DAE" w:rsidRDefault="001751AB" w:rsidP="0025317F">
            <w:pPr>
              <w:spacing w:after="120"/>
              <w:rPr>
                <w:i/>
              </w:rPr>
            </w:pPr>
            <w:r w:rsidRPr="00327DAE">
              <w:rPr>
                <w:i/>
                <w:color w:val="000000"/>
              </w:rPr>
              <w:t>Manuāla lietu sadale</w:t>
            </w:r>
            <w:r w:rsidR="001E6A81">
              <w:rPr>
                <w:i/>
                <w:color w:val="000000"/>
              </w:rPr>
              <w:t>.</w:t>
            </w:r>
          </w:p>
        </w:tc>
      </w:tr>
      <w:tr w:rsidR="00253547" w:rsidRPr="00327DAE" w14:paraId="722F320D" w14:textId="77777777" w:rsidTr="00B40DAA">
        <w:trPr>
          <w:trHeight w:val="317"/>
        </w:trPr>
        <w:tc>
          <w:tcPr>
            <w:tcW w:w="562" w:type="dxa"/>
            <w:vMerge/>
          </w:tcPr>
          <w:p w14:paraId="6716CB05"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6CD12577" w14:textId="77777777" w:rsidR="00253547" w:rsidRPr="00327DAE" w:rsidRDefault="00253547" w:rsidP="0025317F">
            <w:pPr>
              <w:spacing w:after="120"/>
              <w:rPr>
                <w:i/>
                <w:sz w:val="24"/>
                <w:szCs w:val="24"/>
              </w:rPr>
            </w:pPr>
            <w:r w:rsidRPr="00327DAE">
              <w:rPr>
                <w:i/>
                <w:sz w:val="24"/>
                <w:szCs w:val="24"/>
              </w:rPr>
              <w:t>Augstākās tiesas norādītais pamats sprieduma atcelšanai</w:t>
            </w:r>
          </w:p>
          <w:p w14:paraId="66309E20" w14:textId="0C95C2B0" w:rsidR="00253547" w:rsidRPr="00327DAE" w:rsidRDefault="00253547" w:rsidP="0025317F">
            <w:pPr>
              <w:spacing w:after="120"/>
              <w:rPr>
                <w:sz w:val="24"/>
                <w:szCs w:val="24"/>
              </w:rPr>
            </w:pPr>
            <w:r w:rsidRPr="00327DAE">
              <w:rPr>
                <w:sz w:val="24"/>
                <w:szCs w:val="24"/>
              </w:rPr>
              <w:t>Ar likumīgā spēkā stājušos Cēsu rajona tiesas spriedumu atzīts, ka pastāv Maksātnespējas likuma 152. panta pirmaj</w:t>
            </w:r>
            <w:r w:rsidR="0020329A" w:rsidRPr="00327DAE">
              <w:rPr>
                <w:sz w:val="24"/>
                <w:szCs w:val="24"/>
              </w:rPr>
              <w:t>ā daļā paredzētie ierobežojumi.</w:t>
            </w:r>
          </w:p>
        </w:tc>
      </w:tr>
      <w:tr w:rsidR="00253547" w:rsidRPr="00327DAE" w14:paraId="4A3BDF44" w14:textId="77777777" w:rsidTr="00B40DAA">
        <w:trPr>
          <w:trHeight w:val="317"/>
        </w:trPr>
        <w:tc>
          <w:tcPr>
            <w:tcW w:w="562" w:type="dxa"/>
            <w:vMerge/>
          </w:tcPr>
          <w:p w14:paraId="17A0034D"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70AB6E12" w14:textId="77777777" w:rsidR="00253547" w:rsidRPr="00327DAE" w:rsidRDefault="00253547" w:rsidP="0025317F">
            <w:pPr>
              <w:spacing w:after="120"/>
              <w:rPr>
                <w:i/>
                <w:sz w:val="24"/>
                <w:szCs w:val="24"/>
              </w:rPr>
            </w:pPr>
            <w:r w:rsidRPr="00327DAE">
              <w:rPr>
                <w:i/>
                <w:sz w:val="24"/>
                <w:szCs w:val="24"/>
              </w:rPr>
              <w:t>Ekspertu secinājumi</w:t>
            </w:r>
          </w:p>
          <w:p w14:paraId="6EAF481A" w14:textId="77777777" w:rsidR="00253547" w:rsidRPr="00327DAE" w:rsidRDefault="00253547" w:rsidP="0025317F">
            <w:pPr>
              <w:spacing w:after="120"/>
              <w:rPr>
                <w:sz w:val="24"/>
                <w:szCs w:val="24"/>
              </w:rPr>
            </w:pPr>
            <w:r w:rsidRPr="00327DAE">
              <w:rPr>
                <w:sz w:val="24"/>
                <w:szCs w:val="24"/>
              </w:rPr>
              <w:t>Tiesnesis ir pilnībā paļāvies uz administratora atzinumu.</w:t>
            </w:r>
          </w:p>
          <w:p w14:paraId="556E10DE" w14:textId="0A52F562" w:rsidR="00253547" w:rsidRPr="00327DAE" w:rsidRDefault="00253547" w:rsidP="0025317F">
            <w:pPr>
              <w:spacing w:after="120"/>
              <w:rPr>
                <w:sz w:val="24"/>
                <w:szCs w:val="24"/>
              </w:rPr>
            </w:pPr>
            <w:r w:rsidRPr="00327DAE">
              <w:rPr>
                <w:sz w:val="24"/>
                <w:szCs w:val="24"/>
              </w:rPr>
              <w:t>Administratora atzinumā norādīts, ka tas nesaskata ierobežojumus maksātnespējas lietas ierosināšanai, un tiesnesis ir pieņēmis lēmumu, pamatojoties uz administratora sniegto atzinumu. Tomēr, kā liecina lietas materiāli, lietā jau pirms tās izskatīšanas atradušās ziņas par parādnieka pirms maksātnespējas slēgtajiem darījumiem, no kuriem viens ir bijis bezatlīdzības darījums – dāvinājums. To savos paskaidrojumos norādījis pats parādnieks.</w:t>
            </w:r>
          </w:p>
          <w:p w14:paraId="7A8A0590" w14:textId="4DA668ED" w:rsidR="00253547" w:rsidRPr="00327DAE" w:rsidRDefault="00253547" w:rsidP="0025317F">
            <w:pPr>
              <w:spacing w:after="120"/>
              <w:rPr>
                <w:sz w:val="24"/>
                <w:szCs w:val="24"/>
              </w:rPr>
            </w:pPr>
            <w:r w:rsidRPr="00327DAE">
              <w:rPr>
                <w:sz w:val="24"/>
                <w:szCs w:val="24"/>
              </w:rPr>
              <w:t xml:space="preserve">Tiesnesim bija jāņem vērā šī informācija, it īpaši apstāklis, ka ir noslēgts bezatlīdzības darījums, kas parasti norāda uz vēlmi noslēpt mantu no kreditoriem un varēja būt patstāvīgs šķērslis maksātnespējas pasludināšanai uz 2007. gada Maksātnespējas likuma 152. panta pirmās daļas 1. punkta pamata. </w:t>
            </w:r>
          </w:p>
          <w:p w14:paraId="5C9138C6" w14:textId="7D9582FB" w:rsidR="00253547" w:rsidRPr="00327DAE" w:rsidRDefault="00253547" w:rsidP="0025317F">
            <w:pPr>
              <w:spacing w:after="120"/>
              <w:rPr>
                <w:sz w:val="24"/>
                <w:szCs w:val="24"/>
              </w:rPr>
            </w:pPr>
            <w:r w:rsidRPr="00327DAE">
              <w:rPr>
                <w:sz w:val="24"/>
                <w:szCs w:val="24"/>
              </w:rPr>
              <w:t xml:space="preserve">Tādējādi ir atzīstams, ka šajā lietā, nevērtējot lietā </w:t>
            </w:r>
            <w:r w:rsidR="001E6A81" w:rsidRPr="00327DAE">
              <w:rPr>
                <w:sz w:val="24"/>
                <w:szCs w:val="24"/>
              </w:rPr>
              <w:t>esoš</w:t>
            </w:r>
            <w:r w:rsidR="001E6A81">
              <w:rPr>
                <w:sz w:val="24"/>
                <w:szCs w:val="24"/>
              </w:rPr>
              <w:t>o</w:t>
            </w:r>
            <w:r w:rsidR="001E6A81" w:rsidRPr="00327DAE">
              <w:rPr>
                <w:sz w:val="24"/>
                <w:szCs w:val="24"/>
              </w:rPr>
              <w:t xml:space="preserve">s </w:t>
            </w:r>
            <w:r w:rsidRPr="00327DAE">
              <w:rPr>
                <w:sz w:val="24"/>
                <w:szCs w:val="24"/>
              </w:rPr>
              <w:t xml:space="preserve">pierādījumus, kas varēja izšķirt lietas iznākumu, tiesnesis ir pieļāvis nopietnu </w:t>
            </w:r>
            <w:r w:rsidR="00B3452A" w:rsidRPr="00327DAE">
              <w:rPr>
                <w:sz w:val="24"/>
                <w:szCs w:val="24"/>
              </w:rPr>
              <w:t>kļūdu faktu izvērtēšanā</w:t>
            </w:r>
            <w:r w:rsidRPr="00327DAE">
              <w:rPr>
                <w:sz w:val="24"/>
                <w:szCs w:val="24"/>
              </w:rPr>
              <w:t>.</w:t>
            </w:r>
          </w:p>
        </w:tc>
      </w:tr>
      <w:tr w:rsidR="00253547" w:rsidRPr="00327DAE" w14:paraId="642013C6" w14:textId="77777777" w:rsidTr="00B40DAA">
        <w:trPr>
          <w:trHeight w:val="317"/>
        </w:trPr>
        <w:tc>
          <w:tcPr>
            <w:tcW w:w="562" w:type="dxa"/>
            <w:vMerge/>
          </w:tcPr>
          <w:p w14:paraId="75F11DA6"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3E0B635D" w14:textId="4825417F" w:rsidR="00253547" w:rsidRPr="00327DAE" w:rsidRDefault="00253547" w:rsidP="0025317F">
            <w:pPr>
              <w:spacing w:after="120"/>
              <w:rPr>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r w:rsidRPr="00327DAE">
              <w:rPr>
                <w:sz w:val="24"/>
                <w:szCs w:val="24"/>
              </w:rPr>
              <w:t xml:space="preserve"> </w:t>
            </w:r>
          </w:p>
          <w:p w14:paraId="55EFBC94" w14:textId="28F7C824" w:rsidR="00253547" w:rsidRPr="00327DAE" w:rsidRDefault="00253547" w:rsidP="0025317F">
            <w:pPr>
              <w:spacing w:after="120"/>
              <w:rPr>
                <w:sz w:val="24"/>
                <w:szCs w:val="24"/>
              </w:rPr>
            </w:pPr>
            <w:r w:rsidRPr="00327DAE">
              <w:rPr>
                <w:sz w:val="24"/>
                <w:szCs w:val="24"/>
              </w:rPr>
              <w:t>Divi kreditori (bankas) bija iesnieguši informāciju, ka fiziskas personas maksātnespējas pieteikums jau bijis iesniegts Cēsu rajona tiesā un noraidīts 2010. gada 1. martā ar motivāciju, ka tas vērsts uz parādnieka mēģinājumu izvairīties no saistību izpildes un ka nav pagājis pat pilns viens mēnesis, kad 31. martā pieteikums atkārtoti iesniegts citā tiesā, proti</w:t>
            </w:r>
            <w:r w:rsidR="001E6A81">
              <w:rPr>
                <w:sz w:val="24"/>
                <w:szCs w:val="24"/>
              </w:rPr>
              <w:t>,</w:t>
            </w:r>
            <w:r w:rsidRPr="00327DAE">
              <w:rPr>
                <w:sz w:val="24"/>
                <w:szCs w:val="24"/>
              </w:rPr>
              <w:t xml:space="preserve"> Rīgas Centra rajona tiesā</w:t>
            </w:r>
            <w:r w:rsidR="001E6A81">
              <w:rPr>
                <w:sz w:val="24"/>
                <w:szCs w:val="24"/>
              </w:rPr>
              <w:t>,</w:t>
            </w:r>
            <w:r w:rsidRPr="00327DAE">
              <w:rPr>
                <w:sz w:val="24"/>
                <w:szCs w:val="24"/>
              </w:rPr>
              <w:t xml:space="preserve"> pretēji aizliegumam to darīt četru mēnešu laikā. Bankas arī norādīja, ka pieteicējs 2008. un 2009. gadā atsavinājis vairākus sev piederošos nekustamos īpašumus un uzņēmumu kapitāldaļas, tātad neilgi pirms maksātnespējas procesa pirmās ierosināšanas. </w:t>
            </w:r>
          </w:p>
          <w:p w14:paraId="64CE9467" w14:textId="07C52DF7" w:rsidR="00253547" w:rsidRPr="00327DAE" w:rsidRDefault="00253547" w:rsidP="0025317F">
            <w:pPr>
              <w:spacing w:after="120"/>
              <w:rPr>
                <w:sz w:val="24"/>
                <w:szCs w:val="24"/>
              </w:rPr>
            </w:pPr>
            <w:r w:rsidRPr="00327DAE">
              <w:rPr>
                <w:sz w:val="24"/>
                <w:szCs w:val="24"/>
              </w:rPr>
              <w:t>Centra rajona tiesā lieta ierosināta</w:t>
            </w:r>
            <w:r w:rsidR="001E6A81">
              <w:rPr>
                <w:sz w:val="24"/>
                <w:szCs w:val="24"/>
              </w:rPr>
              <w:t>,</w:t>
            </w:r>
            <w:r w:rsidRPr="00327DAE">
              <w:rPr>
                <w:sz w:val="24"/>
                <w:szCs w:val="24"/>
              </w:rPr>
              <w:t xml:space="preserve"> un 27. maijā tiesa apstiprinājusi kreditoru prasījumu apmierināšanas un mantas pārdošanas plānu, kura būtība ir tāda, ka nav iespēju nokārtot saistības vairāk nekā 2 miljonu latu apmērā, labākajā gadījumā izpārdodot mantu, kas novērtēta 1,038 miljona latu apmērā. Tādējādi tiesneša </w:t>
            </w:r>
            <w:r w:rsidRPr="00E732C1">
              <w:rPr>
                <w:sz w:val="24"/>
                <w:szCs w:val="24"/>
              </w:rPr>
              <w:t xml:space="preserve">nolēmums dotu iespēju pieteicējam atbrīvoties no ļoti liela apmēra parāda saistībām. </w:t>
            </w:r>
            <w:r w:rsidR="00057A25" w:rsidRPr="00E732C1">
              <w:rPr>
                <w:sz w:val="24"/>
                <w:szCs w:val="24"/>
              </w:rPr>
              <w:t>Rupjš pārkāpums!</w:t>
            </w:r>
          </w:p>
        </w:tc>
      </w:tr>
      <w:tr w:rsidR="00253547" w:rsidRPr="00327DAE" w14:paraId="5BF669E7" w14:textId="77777777" w:rsidTr="00B40DAA">
        <w:trPr>
          <w:trHeight w:val="317"/>
        </w:trPr>
        <w:tc>
          <w:tcPr>
            <w:tcW w:w="562" w:type="dxa"/>
            <w:vMerge/>
          </w:tcPr>
          <w:p w14:paraId="72D0678C"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631B1A65" w14:textId="665D3AB0" w:rsidR="00253547" w:rsidRPr="00327DAE" w:rsidRDefault="00253547" w:rsidP="0025317F">
            <w:pPr>
              <w:spacing w:after="120"/>
              <w:rPr>
                <w:i/>
                <w:sz w:val="24"/>
                <w:szCs w:val="24"/>
              </w:rPr>
            </w:pPr>
            <w:r w:rsidRPr="00327DAE">
              <w:rPr>
                <w:i/>
                <w:sz w:val="24"/>
                <w:szCs w:val="24"/>
              </w:rPr>
              <w:t>H.</w:t>
            </w:r>
            <w:r w:rsidR="00466B17" w:rsidRPr="00327DAE">
              <w:rPr>
                <w:i/>
                <w:sz w:val="24"/>
                <w:szCs w:val="24"/>
              </w:rPr>
              <w:t> </w:t>
            </w:r>
            <w:r w:rsidRPr="00327DAE">
              <w:rPr>
                <w:i/>
                <w:sz w:val="24"/>
                <w:szCs w:val="24"/>
              </w:rPr>
              <w:t xml:space="preserve">Jaujas atsevišķie </w:t>
            </w:r>
            <w:r w:rsidR="00466B17" w:rsidRPr="00327DAE">
              <w:rPr>
                <w:i/>
                <w:sz w:val="24"/>
                <w:szCs w:val="24"/>
              </w:rPr>
              <w:t>secinājumi</w:t>
            </w:r>
          </w:p>
          <w:p w14:paraId="5577BA34" w14:textId="048148D4" w:rsidR="00253547" w:rsidRPr="00327DAE" w:rsidRDefault="00253547" w:rsidP="0025317F">
            <w:pPr>
              <w:spacing w:after="120"/>
              <w:rPr>
                <w:sz w:val="24"/>
                <w:szCs w:val="24"/>
              </w:rPr>
            </w:pPr>
            <w:r w:rsidRPr="00327DAE">
              <w:rPr>
                <w:sz w:val="24"/>
                <w:szCs w:val="24"/>
              </w:rPr>
              <w:t>Šajā lietā tiesnesis R.</w:t>
            </w:r>
            <w:r w:rsidR="001E6A81">
              <w:rPr>
                <w:sz w:val="24"/>
                <w:szCs w:val="24"/>
              </w:rPr>
              <w:t> </w:t>
            </w:r>
            <w:r w:rsidRPr="00327DAE">
              <w:rPr>
                <w:sz w:val="24"/>
                <w:szCs w:val="24"/>
              </w:rPr>
              <w:t xml:space="preserve">Buls, atsaucoties uz formāliem argumentiem, ir nodemonstrējis iecietību pret acīmredzami </w:t>
            </w:r>
            <w:r w:rsidR="007567F6" w:rsidRPr="00327DAE">
              <w:rPr>
                <w:sz w:val="24"/>
                <w:szCs w:val="24"/>
              </w:rPr>
              <w:t>negodprātīgu</w:t>
            </w:r>
            <w:r w:rsidRPr="00327DAE">
              <w:rPr>
                <w:sz w:val="24"/>
                <w:szCs w:val="24"/>
              </w:rPr>
              <w:t xml:space="preserve"> parādnieka rīcību (parādnieka aktīvu nobēdzināšana, lai no tiem netiktu segti kreditoru prasījumi). Kopsakarā ar citiem </w:t>
            </w:r>
            <w:r w:rsidR="00A77BA8">
              <w:rPr>
                <w:sz w:val="24"/>
                <w:szCs w:val="24"/>
              </w:rPr>
              <w:t>R. </w:t>
            </w:r>
            <w:r w:rsidRPr="00327DAE">
              <w:rPr>
                <w:sz w:val="24"/>
                <w:szCs w:val="24"/>
              </w:rPr>
              <w:t>Bula nolēmumiem un apstākļiem, kādos tie ir pieņemti</w:t>
            </w:r>
            <w:r w:rsidR="001E6A81">
              <w:rPr>
                <w:sz w:val="24"/>
                <w:szCs w:val="24"/>
              </w:rPr>
              <w:t>,</w:t>
            </w:r>
            <w:r w:rsidRPr="00327DAE">
              <w:rPr>
                <w:sz w:val="24"/>
                <w:szCs w:val="24"/>
              </w:rPr>
              <w:t xml:space="preserve"> šis gadījums</w:t>
            </w:r>
            <w:r w:rsidR="007E3D1F">
              <w:rPr>
                <w:sz w:val="24"/>
                <w:szCs w:val="24"/>
              </w:rPr>
              <w:t>, manā subjektīvā ieskatā,</w:t>
            </w:r>
            <w:r w:rsidRPr="00327DAE">
              <w:rPr>
                <w:sz w:val="24"/>
                <w:szCs w:val="24"/>
              </w:rPr>
              <w:t xml:space="preserve"> papildus rada šaubas par tiesneša </w:t>
            </w:r>
            <w:r w:rsidR="00A77BA8">
              <w:rPr>
                <w:sz w:val="24"/>
                <w:szCs w:val="24"/>
              </w:rPr>
              <w:t>R. </w:t>
            </w:r>
            <w:r w:rsidRPr="00327DAE">
              <w:rPr>
                <w:sz w:val="24"/>
                <w:szCs w:val="24"/>
              </w:rPr>
              <w:t>Bula spēju pieņemt objektīvus un taisnīgus nolēmumus.</w:t>
            </w:r>
          </w:p>
          <w:p w14:paraId="40216397" w14:textId="75B7685F" w:rsidR="00253547" w:rsidRPr="00327DAE" w:rsidRDefault="00253547" w:rsidP="0025317F">
            <w:pPr>
              <w:spacing w:after="120"/>
              <w:rPr>
                <w:sz w:val="24"/>
                <w:szCs w:val="24"/>
              </w:rPr>
            </w:pPr>
            <w:r w:rsidRPr="00327DAE">
              <w:rPr>
                <w:sz w:val="24"/>
                <w:szCs w:val="24"/>
              </w:rPr>
              <w:t xml:space="preserve">Zīmīgi, ka pēc neveiksmīgiem </w:t>
            </w:r>
            <w:r w:rsidR="007567F6" w:rsidRPr="00327DAE">
              <w:rPr>
                <w:sz w:val="24"/>
                <w:szCs w:val="24"/>
              </w:rPr>
              <w:t>mēģinājumiem</w:t>
            </w:r>
            <w:r w:rsidRPr="00327DAE">
              <w:rPr>
                <w:sz w:val="24"/>
                <w:szCs w:val="24"/>
              </w:rPr>
              <w:t xml:space="preserve"> uzsākt fiziskās personas maksātnespējas procesu citās tiesās, izvēle krita uz Centra rajona tiesu. Kopsakarā ar parādnieku</w:t>
            </w:r>
            <w:r w:rsidR="001E6A81">
              <w:rPr>
                <w:sz w:val="24"/>
                <w:szCs w:val="24"/>
              </w:rPr>
              <w:t xml:space="preserve"> – </w:t>
            </w:r>
            <w:r w:rsidRPr="00327DAE">
              <w:rPr>
                <w:sz w:val="24"/>
                <w:szCs w:val="24"/>
              </w:rPr>
              <w:t xml:space="preserve">juridisko personu </w:t>
            </w:r>
            <w:r w:rsidR="001E6A81">
              <w:rPr>
                <w:sz w:val="24"/>
                <w:szCs w:val="24"/>
              </w:rPr>
              <w:t xml:space="preserve">– </w:t>
            </w:r>
            <w:r w:rsidRPr="00327DAE">
              <w:rPr>
                <w:sz w:val="24"/>
                <w:szCs w:val="24"/>
              </w:rPr>
              <w:t xml:space="preserve">adrešu maiņu uz Centra rajona tiesas piekritību citās tiesneša </w:t>
            </w:r>
            <w:r w:rsidR="00A77BA8">
              <w:rPr>
                <w:sz w:val="24"/>
                <w:szCs w:val="24"/>
              </w:rPr>
              <w:t>R. </w:t>
            </w:r>
            <w:r w:rsidRPr="00327DAE">
              <w:rPr>
                <w:sz w:val="24"/>
                <w:szCs w:val="24"/>
              </w:rPr>
              <w:t xml:space="preserve">Bula lietās vērotājam no malas arī šī </w:t>
            </w:r>
            <w:r w:rsidRPr="00327DAE">
              <w:rPr>
                <w:sz w:val="24"/>
                <w:szCs w:val="24"/>
              </w:rPr>
              <w:lastRenderedPageBreak/>
              <w:t xml:space="preserve">piekritības maiņa </w:t>
            </w:r>
            <w:r w:rsidR="007567F6" w:rsidRPr="00327DAE">
              <w:rPr>
                <w:sz w:val="24"/>
                <w:szCs w:val="24"/>
              </w:rPr>
              <w:t>varētu</w:t>
            </w:r>
            <w:r w:rsidRPr="00327DAE">
              <w:rPr>
                <w:sz w:val="24"/>
                <w:szCs w:val="24"/>
              </w:rPr>
              <w:t xml:space="preserve"> radīt iespaidu, ka parādniekam ir bijis pamats cerēt, ka Centra rajona tiesā negodprātīgā parādnieka pieteikuma apmierināšanai varēja būt lielāka iespēja.</w:t>
            </w:r>
          </w:p>
        </w:tc>
      </w:tr>
      <w:tr w:rsidR="00253547" w:rsidRPr="00327DAE" w14:paraId="47C8CD83" w14:textId="77777777" w:rsidTr="00B40DAA">
        <w:trPr>
          <w:trHeight w:val="416"/>
        </w:trPr>
        <w:tc>
          <w:tcPr>
            <w:tcW w:w="562" w:type="dxa"/>
            <w:vMerge w:val="restart"/>
          </w:tcPr>
          <w:p w14:paraId="3DA38366" w14:textId="0B0C3712" w:rsidR="00253547" w:rsidRPr="00327DAE" w:rsidRDefault="00253547" w:rsidP="0025317F">
            <w:pPr>
              <w:spacing w:after="120"/>
              <w:rPr>
                <w:b/>
                <w:color w:val="000000"/>
                <w:sz w:val="24"/>
                <w:szCs w:val="24"/>
              </w:rPr>
            </w:pPr>
            <w:r w:rsidRPr="00327DAE">
              <w:rPr>
                <w:b/>
                <w:color w:val="000000"/>
                <w:sz w:val="24"/>
                <w:szCs w:val="24"/>
              </w:rPr>
              <w:lastRenderedPageBreak/>
              <w:t>9.</w:t>
            </w:r>
          </w:p>
        </w:tc>
        <w:tc>
          <w:tcPr>
            <w:tcW w:w="1701" w:type="dxa"/>
            <w:shd w:val="clear" w:color="auto" w:fill="auto"/>
            <w:noWrap/>
            <w:vAlign w:val="bottom"/>
            <w:hideMark/>
          </w:tcPr>
          <w:p w14:paraId="44F4AC2F" w14:textId="77777777" w:rsidR="00253547" w:rsidRPr="00327DAE" w:rsidRDefault="00253547" w:rsidP="0025317F">
            <w:pPr>
              <w:spacing w:after="120"/>
              <w:rPr>
                <w:b/>
                <w:sz w:val="24"/>
                <w:szCs w:val="24"/>
              </w:rPr>
            </w:pPr>
            <w:r w:rsidRPr="00327DAE">
              <w:rPr>
                <w:b/>
                <w:sz w:val="24"/>
                <w:szCs w:val="24"/>
              </w:rPr>
              <w:t>C27242009</w:t>
            </w:r>
            <w:r w:rsidRPr="00327DAE">
              <w:rPr>
                <w:rStyle w:val="FootnoteReference"/>
                <w:b/>
                <w:sz w:val="24"/>
                <w:szCs w:val="24"/>
              </w:rPr>
              <w:footnoteReference w:id="16"/>
            </w:r>
          </w:p>
          <w:p w14:paraId="797E4F87" w14:textId="77777777" w:rsidR="00253547" w:rsidRPr="00327DAE" w:rsidRDefault="00253547" w:rsidP="0025317F">
            <w:pPr>
              <w:spacing w:after="120"/>
              <w:rPr>
                <w:b/>
                <w:sz w:val="24"/>
                <w:szCs w:val="24"/>
              </w:rPr>
            </w:pPr>
            <w:r w:rsidRPr="00327DAE">
              <w:rPr>
                <w:b/>
                <w:sz w:val="24"/>
                <w:szCs w:val="24"/>
              </w:rPr>
              <w:t>C27125610</w:t>
            </w:r>
            <w:r w:rsidRPr="00327DAE">
              <w:rPr>
                <w:rStyle w:val="FootnoteReference"/>
                <w:b/>
                <w:sz w:val="24"/>
                <w:szCs w:val="24"/>
              </w:rPr>
              <w:footnoteReference w:id="17"/>
            </w:r>
          </w:p>
          <w:p w14:paraId="7DBDE0AE" w14:textId="77777777" w:rsidR="00253547" w:rsidRPr="00327DAE" w:rsidRDefault="00253547" w:rsidP="0025317F">
            <w:pPr>
              <w:spacing w:after="120"/>
              <w:rPr>
                <w:b/>
                <w:sz w:val="24"/>
                <w:szCs w:val="24"/>
              </w:rPr>
            </w:pPr>
          </w:p>
        </w:tc>
        <w:tc>
          <w:tcPr>
            <w:tcW w:w="2410" w:type="dxa"/>
            <w:shd w:val="clear" w:color="auto" w:fill="auto"/>
            <w:vAlign w:val="bottom"/>
            <w:hideMark/>
          </w:tcPr>
          <w:p w14:paraId="7861701D" w14:textId="77777777" w:rsidR="00253547" w:rsidRPr="00327DAE" w:rsidRDefault="00253547" w:rsidP="0025317F">
            <w:pPr>
              <w:spacing w:after="120"/>
              <w:rPr>
                <w:b/>
                <w:sz w:val="24"/>
                <w:szCs w:val="24"/>
              </w:rPr>
            </w:pPr>
          </w:p>
        </w:tc>
        <w:tc>
          <w:tcPr>
            <w:tcW w:w="3686" w:type="dxa"/>
            <w:shd w:val="clear" w:color="auto" w:fill="auto"/>
            <w:vAlign w:val="bottom"/>
            <w:hideMark/>
          </w:tcPr>
          <w:p w14:paraId="068C19DC" w14:textId="35556B40" w:rsidR="00253547" w:rsidRPr="00327DAE" w:rsidRDefault="00253547" w:rsidP="0025317F">
            <w:pPr>
              <w:pStyle w:val="Heading3"/>
            </w:pPr>
            <w:bookmarkStart w:id="23" w:name="_Toc522527498"/>
            <w:r w:rsidRPr="00327DAE">
              <w:t xml:space="preserve">SIA „Troja </w:t>
            </w:r>
            <w:proofErr w:type="spellStart"/>
            <w:r w:rsidRPr="00327DAE">
              <w:t>Immobilien</w:t>
            </w:r>
            <w:proofErr w:type="spellEnd"/>
            <w:r w:rsidR="00DC395A" w:rsidRPr="00327DAE">
              <w:t>”</w:t>
            </w:r>
            <w:r w:rsidR="001E268C" w:rsidRPr="00327DAE">
              <w:t xml:space="preserve">; </w:t>
            </w:r>
            <w:r w:rsidRPr="00327DAE">
              <w:t>SIA “Ceturtā planēta”</w:t>
            </w:r>
            <w:bookmarkEnd w:id="23"/>
          </w:p>
        </w:tc>
      </w:tr>
      <w:tr w:rsidR="001751AB" w:rsidRPr="00327DAE" w14:paraId="25F9D009" w14:textId="77777777" w:rsidTr="00327DAE">
        <w:trPr>
          <w:trHeight w:val="416"/>
        </w:trPr>
        <w:tc>
          <w:tcPr>
            <w:tcW w:w="562" w:type="dxa"/>
            <w:vMerge/>
          </w:tcPr>
          <w:p w14:paraId="290C440C" w14:textId="77777777" w:rsidR="001751AB" w:rsidRPr="00327DAE" w:rsidRDefault="001751AB" w:rsidP="0025317F">
            <w:pPr>
              <w:spacing w:after="120"/>
              <w:rPr>
                <w:b/>
                <w:color w:val="000000"/>
                <w:sz w:val="24"/>
                <w:szCs w:val="24"/>
              </w:rPr>
            </w:pPr>
          </w:p>
        </w:tc>
        <w:tc>
          <w:tcPr>
            <w:tcW w:w="1701" w:type="dxa"/>
            <w:shd w:val="clear" w:color="auto" w:fill="E7E6E6" w:themeFill="background2"/>
            <w:noWrap/>
            <w:vAlign w:val="center"/>
          </w:tcPr>
          <w:p w14:paraId="569B401F" w14:textId="2C4AD9B7" w:rsidR="001751AB" w:rsidRPr="00327DAE" w:rsidRDefault="001751AB" w:rsidP="0025317F">
            <w:pPr>
              <w:spacing w:after="120"/>
              <w:rPr>
                <w:b/>
                <w:i/>
              </w:rPr>
            </w:pPr>
            <w:r w:rsidRPr="00327DAE">
              <w:rPr>
                <w:b/>
                <w:bCs/>
                <w:i/>
                <w:color w:val="000000"/>
              </w:rPr>
              <w:t>Sadales datums</w:t>
            </w:r>
          </w:p>
        </w:tc>
        <w:tc>
          <w:tcPr>
            <w:tcW w:w="2410" w:type="dxa"/>
            <w:shd w:val="clear" w:color="auto" w:fill="E7E6E6" w:themeFill="background2"/>
            <w:vAlign w:val="center"/>
          </w:tcPr>
          <w:p w14:paraId="1CF7D535" w14:textId="4E8F127A" w:rsidR="001751AB" w:rsidRPr="00327DAE" w:rsidRDefault="001751AB" w:rsidP="0025317F">
            <w:pPr>
              <w:spacing w:after="120"/>
              <w:rPr>
                <w:b/>
                <w:i/>
              </w:rPr>
            </w:pPr>
            <w:r w:rsidRPr="00327DAE">
              <w:rPr>
                <w:b/>
                <w:bCs/>
                <w:i/>
                <w:color w:val="000000"/>
              </w:rPr>
              <w:t>Tiesnesis pēc sadales</w:t>
            </w:r>
          </w:p>
        </w:tc>
        <w:tc>
          <w:tcPr>
            <w:tcW w:w="3686" w:type="dxa"/>
            <w:shd w:val="clear" w:color="auto" w:fill="E7E6E6" w:themeFill="background2"/>
            <w:vAlign w:val="bottom"/>
          </w:tcPr>
          <w:p w14:paraId="6ABB13F7" w14:textId="51AFBC78" w:rsidR="001751AB" w:rsidRPr="009D11F9" w:rsidRDefault="001751AB" w:rsidP="0025317F">
            <w:pPr>
              <w:spacing w:after="120"/>
              <w:rPr>
                <w:b/>
                <w:i/>
              </w:rPr>
            </w:pPr>
            <w:r w:rsidRPr="009D11F9">
              <w:rPr>
                <w:b/>
                <w:i/>
              </w:rPr>
              <w:t>Lietu sadales veids/iemesl</w:t>
            </w:r>
            <w:r w:rsidR="009D11F9" w:rsidRPr="009D11F9">
              <w:rPr>
                <w:b/>
                <w:i/>
              </w:rPr>
              <w:t>s</w:t>
            </w:r>
          </w:p>
        </w:tc>
      </w:tr>
      <w:tr w:rsidR="001751AB" w:rsidRPr="00327DAE" w14:paraId="78A4B216" w14:textId="77777777" w:rsidTr="00327DAE">
        <w:trPr>
          <w:trHeight w:val="416"/>
        </w:trPr>
        <w:tc>
          <w:tcPr>
            <w:tcW w:w="562" w:type="dxa"/>
            <w:vMerge/>
          </w:tcPr>
          <w:p w14:paraId="1443A8AF" w14:textId="77777777"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14:paraId="402D7D59" w14:textId="77777777" w:rsidR="001751AB" w:rsidRPr="00327DAE" w:rsidRDefault="001751AB" w:rsidP="0025317F">
            <w:pPr>
              <w:widowControl/>
              <w:adjustRightInd/>
              <w:spacing w:after="120"/>
              <w:textAlignment w:val="auto"/>
              <w:rPr>
                <w:i/>
                <w:color w:val="000000"/>
              </w:rPr>
            </w:pPr>
            <w:r w:rsidRPr="00327DAE">
              <w:rPr>
                <w:i/>
                <w:color w:val="000000"/>
              </w:rPr>
              <w:t>23.12.2009</w:t>
            </w:r>
          </w:p>
          <w:p w14:paraId="02AB0623" w14:textId="0F614512" w:rsidR="001751AB" w:rsidRPr="00327DAE" w:rsidRDefault="001751AB" w:rsidP="0025317F">
            <w:pPr>
              <w:widowControl/>
              <w:adjustRightInd/>
              <w:spacing w:after="120"/>
              <w:textAlignment w:val="auto"/>
              <w:rPr>
                <w:i/>
                <w:color w:val="000000"/>
              </w:rPr>
            </w:pPr>
            <w:r w:rsidRPr="00327DAE">
              <w:rPr>
                <w:i/>
                <w:color w:val="000000"/>
              </w:rPr>
              <w:t>(C27242009)</w:t>
            </w:r>
          </w:p>
        </w:tc>
        <w:tc>
          <w:tcPr>
            <w:tcW w:w="2410" w:type="dxa"/>
            <w:shd w:val="clear" w:color="auto" w:fill="E7E6E6" w:themeFill="background2"/>
            <w:vAlign w:val="bottom"/>
          </w:tcPr>
          <w:p w14:paraId="761727E8" w14:textId="7D51383E" w:rsidR="001751AB" w:rsidRPr="00327DAE" w:rsidRDefault="001751AB" w:rsidP="0025317F">
            <w:pPr>
              <w:spacing w:after="120"/>
              <w:rPr>
                <w:i/>
              </w:rPr>
            </w:pPr>
            <w:r w:rsidRPr="00327DAE">
              <w:rPr>
                <w:i/>
              </w:rPr>
              <w:t>Raimonds Buls</w:t>
            </w:r>
          </w:p>
        </w:tc>
        <w:tc>
          <w:tcPr>
            <w:tcW w:w="3686" w:type="dxa"/>
            <w:shd w:val="clear" w:color="auto" w:fill="E7E6E6" w:themeFill="background2"/>
            <w:vAlign w:val="bottom"/>
          </w:tcPr>
          <w:p w14:paraId="7162DC27" w14:textId="4E659291" w:rsidR="001751AB" w:rsidRPr="00327DAE" w:rsidRDefault="001751AB" w:rsidP="0025317F">
            <w:pPr>
              <w:widowControl/>
              <w:adjustRightInd/>
              <w:spacing w:after="120"/>
              <w:jc w:val="left"/>
              <w:textAlignment w:val="auto"/>
              <w:rPr>
                <w:i/>
                <w:color w:val="000000"/>
              </w:rPr>
            </w:pPr>
            <w:r w:rsidRPr="00327DAE">
              <w:rPr>
                <w:i/>
                <w:color w:val="000000"/>
              </w:rPr>
              <w:t>Datorizēta lietu sadale</w:t>
            </w:r>
          </w:p>
        </w:tc>
      </w:tr>
      <w:tr w:rsidR="001751AB" w:rsidRPr="00327DAE" w14:paraId="462B272D" w14:textId="77777777" w:rsidTr="00327DAE">
        <w:trPr>
          <w:trHeight w:val="416"/>
        </w:trPr>
        <w:tc>
          <w:tcPr>
            <w:tcW w:w="562" w:type="dxa"/>
            <w:vMerge/>
          </w:tcPr>
          <w:p w14:paraId="794356DC" w14:textId="77777777"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14:paraId="27683D2B" w14:textId="167B8D3E" w:rsidR="001751AB" w:rsidRPr="00327DAE" w:rsidRDefault="001751AB" w:rsidP="0025317F">
            <w:pPr>
              <w:widowControl/>
              <w:adjustRightInd/>
              <w:spacing w:after="120"/>
              <w:textAlignment w:val="auto"/>
              <w:rPr>
                <w:i/>
                <w:color w:val="000000"/>
              </w:rPr>
            </w:pPr>
            <w:r w:rsidRPr="00327DAE">
              <w:rPr>
                <w:i/>
                <w:color w:val="000000"/>
              </w:rPr>
              <w:t>23.02.2010 (C27125610)</w:t>
            </w:r>
          </w:p>
        </w:tc>
        <w:tc>
          <w:tcPr>
            <w:tcW w:w="2410" w:type="dxa"/>
            <w:shd w:val="clear" w:color="auto" w:fill="E7E6E6" w:themeFill="background2"/>
            <w:vAlign w:val="bottom"/>
          </w:tcPr>
          <w:p w14:paraId="64FF6F37" w14:textId="466A2398" w:rsidR="001751AB" w:rsidRPr="00327DAE" w:rsidRDefault="001751AB" w:rsidP="0025317F">
            <w:pPr>
              <w:spacing w:after="120"/>
              <w:rPr>
                <w:b/>
                <w:i/>
              </w:rPr>
            </w:pPr>
            <w:r w:rsidRPr="00327DAE">
              <w:rPr>
                <w:i/>
              </w:rPr>
              <w:t>Raimonds Buls</w:t>
            </w:r>
          </w:p>
        </w:tc>
        <w:tc>
          <w:tcPr>
            <w:tcW w:w="3686" w:type="dxa"/>
            <w:shd w:val="clear" w:color="auto" w:fill="E7E6E6" w:themeFill="background2"/>
            <w:vAlign w:val="bottom"/>
          </w:tcPr>
          <w:p w14:paraId="365A6D98" w14:textId="3DD8C5EA" w:rsidR="001751AB" w:rsidRPr="00327DAE" w:rsidRDefault="001751AB" w:rsidP="0025317F">
            <w:pPr>
              <w:widowControl/>
              <w:adjustRightInd/>
              <w:spacing w:after="120"/>
              <w:jc w:val="left"/>
              <w:textAlignment w:val="auto"/>
              <w:rPr>
                <w:i/>
                <w:color w:val="000000"/>
              </w:rPr>
            </w:pPr>
            <w:r w:rsidRPr="00327DAE">
              <w:rPr>
                <w:i/>
                <w:color w:val="000000"/>
              </w:rPr>
              <w:t>Manuāla lietu sadale</w:t>
            </w:r>
          </w:p>
        </w:tc>
      </w:tr>
      <w:tr w:rsidR="00253547" w:rsidRPr="00327DAE" w14:paraId="5855A58B" w14:textId="77777777" w:rsidTr="00B40DAA">
        <w:trPr>
          <w:trHeight w:val="416"/>
        </w:trPr>
        <w:tc>
          <w:tcPr>
            <w:tcW w:w="562" w:type="dxa"/>
            <w:vMerge/>
          </w:tcPr>
          <w:p w14:paraId="7D80E417"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30A58114" w14:textId="27E849A8" w:rsidR="00253547" w:rsidRPr="00327DAE" w:rsidRDefault="00253547" w:rsidP="0025317F">
            <w:pPr>
              <w:spacing w:after="120"/>
              <w:rPr>
                <w:sz w:val="24"/>
                <w:szCs w:val="24"/>
              </w:rPr>
            </w:pPr>
            <w:r w:rsidRPr="00327DAE">
              <w:rPr>
                <w:sz w:val="24"/>
                <w:szCs w:val="24"/>
              </w:rPr>
              <w:t xml:space="preserve">Protests par tiesneša pieņemtajiem lēmumiem </w:t>
            </w:r>
            <w:r w:rsidR="0020329A" w:rsidRPr="00327DAE">
              <w:rPr>
                <w:sz w:val="24"/>
                <w:szCs w:val="24"/>
              </w:rPr>
              <w:t>Augstākajā tiesā nav iesniegts.</w:t>
            </w:r>
          </w:p>
        </w:tc>
      </w:tr>
      <w:tr w:rsidR="00253547" w:rsidRPr="00327DAE" w14:paraId="20222A9E" w14:textId="77777777" w:rsidTr="00B40DAA">
        <w:trPr>
          <w:trHeight w:val="416"/>
        </w:trPr>
        <w:tc>
          <w:tcPr>
            <w:tcW w:w="562" w:type="dxa"/>
            <w:vMerge/>
          </w:tcPr>
          <w:p w14:paraId="68BCB80F"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2AEE0D3D" w14:textId="77777777" w:rsidR="00253547" w:rsidRPr="00E732C1" w:rsidRDefault="00253547" w:rsidP="0025317F">
            <w:pPr>
              <w:spacing w:after="120"/>
              <w:rPr>
                <w:i/>
                <w:sz w:val="24"/>
                <w:szCs w:val="24"/>
              </w:rPr>
            </w:pPr>
            <w:r w:rsidRPr="00E732C1">
              <w:rPr>
                <w:i/>
                <w:sz w:val="24"/>
                <w:szCs w:val="24"/>
              </w:rPr>
              <w:t>Ekspertu secinājumi</w:t>
            </w:r>
          </w:p>
          <w:p w14:paraId="35013253" w14:textId="3F3BDE8A"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Administrators neatzina AS „</w:t>
            </w:r>
            <w:proofErr w:type="spellStart"/>
            <w:r w:rsidRPr="00E732C1">
              <w:rPr>
                <w:color w:val="000000"/>
                <w:sz w:val="24"/>
                <w:szCs w:val="24"/>
              </w:rPr>
              <w:t>Danske</w:t>
            </w:r>
            <w:proofErr w:type="spellEnd"/>
            <w:r w:rsidRPr="00E732C1">
              <w:rPr>
                <w:color w:val="000000"/>
                <w:sz w:val="24"/>
                <w:szCs w:val="24"/>
              </w:rPr>
              <w:t xml:space="preserve"> </w:t>
            </w:r>
            <w:proofErr w:type="spellStart"/>
            <w:r w:rsidRPr="00E732C1">
              <w:rPr>
                <w:color w:val="000000"/>
                <w:sz w:val="24"/>
                <w:szCs w:val="24"/>
              </w:rPr>
              <w:t>Bank</w:t>
            </w:r>
            <w:proofErr w:type="spellEnd"/>
            <w:r w:rsidRPr="00E732C1">
              <w:rPr>
                <w:color w:val="000000"/>
                <w:sz w:val="24"/>
                <w:szCs w:val="24"/>
              </w:rPr>
              <w:t xml:space="preserve">” prasījumu pret SIA „Troja </w:t>
            </w:r>
            <w:proofErr w:type="spellStart"/>
            <w:r w:rsidRPr="00E732C1">
              <w:rPr>
                <w:color w:val="000000"/>
                <w:sz w:val="24"/>
                <w:szCs w:val="24"/>
              </w:rPr>
              <w:t>Immobilien</w:t>
            </w:r>
            <w:proofErr w:type="spellEnd"/>
            <w:r w:rsidRPr="00E732C1">
              <w:rPr>
                <w:color w:val="000000"/>
                <w:sz w:val="24"/>
                <w:szCs w:val="24"/>
              </w:rPr>
              <w:t>”, kas bija nodrošināts ar ķīlu, t.sk. ar tre</w:t>
            </w:r>
            <w:r w:rsidR="003007CA">
              <w:rPr>
                <w:color w:val="000000"/>
                <w:sz w:val="24"/>
                <w:szCs w:val="24"/>
              </w:rPr>
              <w:t>šās personas – SIA „</w:t>
            </w:r>
            <w:r w:rsidRPr="00E732C1">
              <w:rPr>
                <w:color w:val="000000"/>
                <w:sz w:val="24"/>
                <w:szCs w:val="24"/>
              </w:rPr>
              <w:t xml:space="preserve">Ceturtā planēta” </w:t>
            </w:r>
            <w:r w:rsidR="001E6A81">
              <w:rPr>
                <w:color w:val="000000"/>
                <w:sz w:val="24"/>
                <w:szCs w:val="24"/>
              </w:rPr>
              <w:t xml:space="preserve">– </w:t>
            </w:r>
            <w:r w:rsidRPr="00E732C1">
              <w:rPr>
                <w:color w:val="000000"/>
                <w:sz w:val="24"/>
                <w:szCs w:val="24"/>
              </w:rPr>
              <w:t xml:space="preserve">dotu ķīlu un galvojumu. Abām SIA ir saistīti dalībnieki. </w:t>
            </w:r>
          </w:p>
          <w:p w14:paraId="09F4798A" w14:textId="182BED0A"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SIA “Ceturtā planēta” saistība pret AS „</w:t>
            </w:r>
            <w:proofErr w:type="spellStart"/>
            <w:r w:rsidRPr="00E732C1">
              <w:rPr>
                <w:color w:val="000000"/>
                <w:sz w:val="24"/>
                <w:szCs w:val="24"/>
              </w:rPr>
              <w:t>Danske</w:t>
            </w:r>
            <w:proofErr w:type="spellEnd"/>
            <w:r w:rsidRPr="00E732C1">
              <w:rPr>
                <w:color w:val="000000"/>
                <w:sz w:val="24"/>
                <w:szCs w:val="24"/>
              </w:rPr>
              <w:t xml:space="preserve"> </w:t>
            </w:r>
            <w:proofErr w:type="spellStart"/>
            <w:r w:rsidR="001E6A81">
              <w:rPr>
                <w:color w:val="000000"/>
                <w:sz w:val="24"/>
                <w:szCs w:val="24"/>
              </w:rPr>
              <w:t>B</w:t>
            </w:r>
            <w:r w:rsidRPr="00E732C1">
              <w:rPr>
                <w:color w:val="000000"/>
                <w:sz w:val="24"/>
                <w:szCs w:val="24"/>
              </w:rPr>
              <w:t>ank</w:t>
            </w:r>
            <w:proofErr w:type="spellEnd"/>
            <w:r w:rsidRPr="00E732C1">
              <w:rPr>
                <w:color w:val="000000"/>
                <w:sz w:val="24"/>
                <w:szCs w:val="24"/>
              </w:rPr>
              <w:t xml:space="preserve">” bija radusies pēc tam, kad SIA ar </w:t>
            </w:r>
            <w:proofErr w:type="spellStart"/>
            <w:r w:rsidRPr="00E732C1">
              <w:rPr>
                <w:color w:val="000000"/>
                <w:sz w:val="24"/>
                <w:szCs w:val="24"/>
              </w:rPr>
              <w:t>overdrafta</w:t>
            </w:r>
            <w:proofErr w:type="spellEnd"/>
            <w:r w:rsidRPr="00E732C1">
              <w:rPr>
                <w:color w:val="000000"/>
                <w:sz w:val="24"/>
                <w:szCs w:val="24"/>
              </w:rPr>
              <w:t xml:space="preserve"> pārjaunojuma līgumu pārņēma 2 miljonu latu saistību. </w:t>
            </w:r>
          </w:p>
          <w:p w14:paraId="02E75F61" w14:textId="05A0B4FF"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Ņemot vērā, ka administrators, neatzīstot bankas prasību, pēc būtības neaps</w:t>
            </w:r>
            <w:r w:rsidR="003E4BCB">
              <w:rPr>
                <w:color w:val="000000"/>
                <w:sz w:val="24"/>
                <w:szCs w:val="24"/>
              </w:rPr>
              <w:t>trīd naudas saņemšanu no bankas, v</w:t>
            </w:r>
            <w:r w:rsidRPr="00E732C1">
              <w:rPr>
                <w:color w:val="000000"/>
                <w:sz w:val="24"/>
                <w:szCs w:val="24"/>
              </w:rPr>
              <w:t>iņa iebildumi pret prasījuma pamatotību ir formāli un pat absurdi, apgalvojot, ka bankas pieteiktais prasījums neizrietot no tiem līgumiem, uz kuriem atsaukusies banka, taču vienlaikus nenorādot citu prasījuma pamatu, kā arī atsaucoties uz to,</w:t>
            </w:r>
            <w:r w:rsidR="002F421A" w:rsidRPr="00E732C1">
              <w:rPr>
                <w:color w:val="000000"/>
                <w:sz w:val="24"/>
                <w:szCs w:val="24"/>
              </w:rPr>
              <w:t xml:space="preserve"> ka</w:t>
            </w:r>
            <w:r w:rsidRPr="00E732C1">
              <w:rPr>
                <w:color w:val="000000"/>
                <w:sz w:val="24"/>
                <w:szCs w:val="24"/>
              </w:rPr>
              <w:t xml:space="preserve"> Kredītu reģistrā ierakstītie saistību rašanās datumi neatbilst līgumu datumiem. Ņemot vērā administratora lomu maksātnespējas procesā –</w:t>
            </w:r>
            <w:r w:rsidR="00435D11">
              <w:rPr>
                <w:color w:val="000000"/>
                <w:sz w:val="24"/>
                <w:szCs w:val="24"/>
              </w:rPr>
              <w:t xml:space="preserve"> </w:t>
            </w:r>
            <w:r w:rsidRPr="00E732C1">
              <w:rPr>
                <w:color w:val="000000"/>
                <w:sz w:val="24"/>
                <w:szCs w:val="24"/>
              </w:rPr>
              <w:t xml:space="preserve">nodrošināt maksātnespējas procesa likumīgu norisi un veikt neatkarīgu profesionālu parādnieka revīziju </w:t>
            </w:r>
            <w:r w:rsidRPr="00E732C1">
              <w:rPr>
                <w:i/>
                <w:color w:val="000000"/>
                <w:sz w:val="24"/>
                <w:szCs w:val="24"/>
              </w:rPr>
              <w:t>(2007. gada Maksātnespējas likuma 26. panta otrā daļa, 60. panta pirmās daļas 2. punkts, 60. panta otrā daļa, 63. panta pirmās daļas 2. punkts u.c.)</w:t>
            </w:r>
            <w:r w:rsidR="00435D11">
              <w:rPr>
                <w:i/>
                <w:color w:val="000000"/>
                <w:sz w:val="24"/>
                <w:szCs w:val="24"/>
              </w:rPr>
              <w:t xml:space="preserve"> –</w:t>
            </w:r>
            <w:r w:rsidRPr="00E732C1">
              <w:rPr>
                <w:color w:val="000000"/>
                <w:sz w:val="24"/>
                <w:szCs w:val="24"/>
              </w:rPr>
              <w:t>, šādi formāli administratora iebildumi ir ļoti apšaubāmi, it īpaši tāpēc, ka pēc būtības naudas saņemšanas fakts netiek apstrīdēts.</w:t>
            </w:r>
          </w:p>
          <w:p w14:paraId="0142C137" w14:textId="014C40B4"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Pēc AS „</w:t>
            </w:r>
            <w:proofErr w:type="spellStart"/>
            <w:r w:rsidRPr="00E732C1">
              <w:rPr>
                <w:color w:val="000000"/>
                <w:sz w:val="24"/>
                <w:szCs w:val="24"/>
              </w:rPr>
              <w:t>Danske</w:t>
            </w:r>
            <w:proofErr w:type="spellEnd"/>
            <w:r w:rsidRPr="00E732C1">
              <w:rPr>
                <w:color w:val="000000"/>
                <w:sz w:val="24"/>
                <w:szCs w:val="24"/>
              </w:rPr>
              <w:t xml:space="preserve"> </w:t>
            </w:r>
            <w:proofErr w:type="spellStart"/>
            <w:r w:rsidR="00435D11">
              <w:rPr>
                <w:color w:val="000000"/>
                <w:sz w:val="24"/>
                <w:szCs w:val="24"/>
              </w:rPr>
              <w:t>B</w:t>
            </w:r>
            <w:r w:rsidRPr="00E732C1">
              <w:rPr>
                <w:color w:val="000000"/>
                <w:sz w:val="24"/>
                <w:szCs w:val="24"/>
              </w:rPr>
              <w:t>ank</w:t>
            </w:r>
            <w:proofErr w:type="spellEnd"/>
            <w:r w:rsidRPr="00E732C1">
              <w:rPr>
                <w:color w:val="000000"/>
                <w:sz w:val="24"/>
                <w:szCs w:val="24"/>
              </w:rPr>
              <w:t xml:space="preserve">” sūdzības par šo administratora lēmumu tiesnesis </w:t>
            </w:r>
            <w:r w:rsidR="00A77BA8">
              <w:rPr>
                <w:color w:val="000000"/>
                <w:sz w:val="24"/>
                <w:szCs w:val="24"/>
              </w:rPr>
              <w:t>R. </w:t>
            </w:r>
            <w:r w:rsidRPr="00E732C1">
              <w:rPr>
                <w:color w:val="000000"/>
                <w:sz w:val="24"/>
                <w:szCs w:val="24"/>
              </w:rPr>
              <w:t xml:space="preserve">Buls neizprotami pievienojies administratora formālajiem argumentiem, ignorējot faktu, ka būtībā nav strīda par to, ka no bankas saņemts aizdevums 2 miljonu latu apmērā. Tiesnesis prasījumu neatzīst tikai tādēļ, ka pastāv nenozīmīga nesakritība prasījuma summā un Kredītu reģistra ierakstos, uz kā pamata viņš pievienojas administratora atziņai, ka bankas prasījumā pamatā nav bankas norādītās saistības. Šīs nesakritības banka ir skaidrojusi sūdzībā, taču tiesnesis šos skaidrojumus ir ignorējis, ne tikai neanalizējot un neatspēkojot tos savā lēmumā, bet pat vispār nepieminot. </w:t>
            </w:r>
          </w:p>
          <w:p w14:paraId="54D08B5E" w14:textId="4D621834" w:rsidR="00253547" w:rsidRPr="00E732C1" w:rsidRDefault="00253547" w:rsidP="0025317F">
            <w:pPr>
              <w:shd w:val="clear" w:color="auto" w:fill="FFFFFF" w:themeFill="background1"/>
              <w:spacing w:after="120"/>
              <w:rPr>
                <w:i/>
                <w:color w:val="000000"/>
                <w:sz w:val="24"/>
                <w:szCs w:val="24"/>
              </w:rPr>
            </w:pPr>
            <w:r w:rsidRPr="00E732C1">
              <w:rPr>
                <w:color w:val="000000"/>
                <w:sz w:val="24"/>
                <w:szCs w:val="24"/>
              </w:rPr>
              <w:t xml:space="preserve">Vēl lielāku neizpratni šajā lēmumā rada tas, ka šādā situācijā, kad faktiski nav </w:t>
            </w:r>
            <w:r w:rsidRPr="00E732C1">
              <w:rPr>
                <w:color w:val="000000"/>
                <w:sz w:val="24"/>
                <w:szCs w:val="24"/>
              </w:rPr>
              <w:lastRenderedPageBreak/>
              <w:t xml:space="preserve">strīda par parāda faktu, bet ir formāls strīds par parāda pamatu, noraidot bankas sūdzību par prasījuma neatzīšanu, tiesnesis nav atzinis strīda par tiesībām pastāvēšanu un nav noteicis termiņu prasības celšanai. Saskaņā ar tālaika tiesu praksi ar to bankai faktiski </w:t>
            </w:r>
            <w:r w:rsidR="006C34AF" w:rsidRPr="00E732C1">
              <w:rPr>
                <w:color w:val="000000"/>
                <w:sz w:val="24"/>
                <w:szCs w:val="24"/>
              </w:rPr>
              <w:t xml:space="preserve">pilnībā </w:t>
            </w:r>
            <w:r w:rsidRPr="00E732C1">
              <w:rPr>
                <w:color w:val="000000"/>
                <w:sz w:val="24"/>
                <w:szCs w:val="24"/>
              </w:rPr>
              <w:t xml:space="preserve">tika atņemtas tiesības tiesāties par šā parāda piedziņu prasības kārtībā. </w:t>
            </w:r>
            <w:r w:rsidRPr="00E732C1">
              <w:rPr>
                <w:b/>
                <w:i/>
                <w:color w:val="000000"/>
                <w:sz w:val="24"/>
                <w:szCs w:val="24"/>
              </w:rPr>
              <w:t>NB!</w:t>
            </w:r>
            <w:r w:rsidRPr="00E732C1">
              <w:rPr>
                <w:color w:val="000000"/>
                <w:sz w:val="24"/>
                <w:szCs w:val="24"/>
              </w:rPr>
              <w:t xml:space="preserve"> Banka gan, pretēji iepriekšējai </w:t>
            </w:r>
            <w:r w:rsidR="007E3D1F">
              <w:rPr>
                <w:color w:val="000000"/>
                <w:sz w:val="24"/>
                <w:szCs w:val="24"/>
              </w:rPr>
              <w:t>praksei, cēla prasību pret SIA „</w:t>
            </w:r>
            <w:r w:rsidRPr="00E732C1">
              <w:rPr>
                <w:color w:val="000000"/>
                <w:sz w:val="24"/>
                <w:szCs w:val="24"/>
              </w:rPr>
              <w:t>Ceturtā planēta”, taču tiesvedība tika izbeigta, jo tiesvedības laikā tika likvidēts atbildētājs un nebija tiesību pārņēmēja. Šo praksi 2013. gadā mainīja Satversmes tiesa lietā Nr. 2012-25/01, kura saistīta ar šo lietu (banka iesniedza konstitucionālo sūdzību), atzīstot, ka var celt prasību arī bez strīda par tiesībām atzīšanu.</w:t>
            </w:r>
          </w:p>
          <w:p w14:paraId="5F7F7521" w14:textId="693C6155"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Papildu šaubas par to, ka tiesnesis ir pienācīgi izvērtējis lietas apstākļus, rada fakts, ka tiesas sēde, kurā bija jāskata AS „</w:t>
            </w:r>
            <w:proofErr w:type="spellStart"/>
            <w:r w:rsidRPr="00E732C1">
              <w:rPr>
                <w:color w:val="000000"/>
                <w:sz w:val="24"/>
                <w:szCs w:val="24"/>
              </w:rPr>
              <w:t>Danske</w:t>
            </w:r>
            <w:proofErr w:type="spellEnd"/>
            <w:r w:rsidRPr="00E732C1">
              <w:rPr>
                <w:color w:val="000000"/>
                <w:sz w:val="24"/>
                <w:szCs w:val="24"/>
              </w:rPr>
              <w:t xml:space="preserve"> </w:t>
            </w:r>
            <w:proofErr w:type="spellStart"/>
            <w:r w:rsidR="00D21F7E">
              <w:rPr>
                <w:color w:val="000000"/>
                <w:sz w:val="24"/>
                <w:szCs w:val="24"/>
              </w:rPr>
              <w:t>B</w:t>
            </w:r>
            <w:r w:rsidR="00D21F7E" w:rsidRPr="00E732C1">
              <w:rPr>
                <w:color w:val="000000"/>
                <w:sz w:val="24"/>
                <w:szCs w:val="24"/>
              </w:rPr>
              <w:t>ank</w:t>
            </w:r>
            <w:proofErr w:type="spellEnd"/>
            <w:r w:rsidRPr="00E732C1">
              <w:rPr>
                <w:color w:val="000000"/>
                <w:sz w:val="24"/>
                <w:szCs w:val="24"/>
              </w:rPr>
              <w:t xml:space="preserve">” apjomīgā un detalizētā sūdzība lietā, kurā saistības radītas ar daudziem līgumiem, to vairākkārtējiem pārjaunojumiem un grozījumiem, kopumā ilga tikai 27 minūtes. </w:t>
            </w:r>
          </w:p>
          <w:p w14:paraId="37BD66FA" w14:textId="77777777"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Taisnības labad jānorāda, ka arī banka, piesakot prasījumu administratoram, nav norādījusi uz galvojuma līgumu, kas ir viens no prasījumu apstiprinošiem dokumentiem, taču tas nemaina iepriekš minēto vērtējumu par neizskaidrojami formālo pieeju lietas izskatīšanai.</w:t>
            </w:r>
          </w:p>
          <w:p w14:paraId="2758BF2C" w14:textId="7AFEDE9D"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Aplūkojot šajā lietā pieņemtos nolēmumus kopsakarā ar lietas apstākļiem, eksperti atzīst, ka lietas faktisko apstākļu kontekstā nav racionāla izskaidrojuma tiesneša pieņemto lēmumu saturam. Ekspertu rīcībā nav ziņu par tiesneša rīcības patiesajiem iemesliem, un nav arī instrumentu to konstatēšanai. Tomēr, ņemot vērā tiesneša pietiekamo pieredzi un kvalifikāciju šā lēmuma pieņemšanas brīdī</w:t>
            </w:r>
            <w:r w:rsidR="00D21F7E">
              <w:rPr>
                <w:color w:val="000000"/>
                <w:sz w:val="24"/>
                <w:szCs w:val="24"/>
              </w:rPr>
              <w:t>,</w:t>
            </w:r>
            <w:r w:rsidRPr="00E732C1">
              <w:rPr>
                <w:color w:val="000000"/>
                <w:sz w:val="24"/>
                <w:szCs w:val="24"/>
              </w:rPr>
              <w:t xml:space="preserve"> lai šādas kļūdas nepieļautu, apstākļu kopsakars norāda uz pietiekami lielu varbūtību, ka šajā lietā tiesnesis varētu būt vai nu pieļāvis rupju nolaidību, vai arī rīkojies ļaunprātīgi. </w:t>
            </w:r>
          </w:p>
          <w:p w14:paraId="4F44DEBF" w14:textId="071A67AA" w:rsidR="00466B17" w:rsidRPr="00327DAE" w:rsidRDefault="00253547" w:rsidP="0025317F">
            <w:pPr>
              <w:shd w:val="clear" w:color="auto" w:fill="FFFFFF" w:themeFill="background1"/>
              <w:spacing w:after="120"/>
              <w:rPr>
                <w:sz w:val="24"/>
                <w:szCs w:val="24"/>
              </w:rPr>
            </w:pPr>
            <w:r w:rsidRPr="00E732C1">
              <w:rPr>
                <w:color w:val="000000"/>
                <w:sz w:val="24"/>
                <w:szCs w:val="24"/>
              </w:rPr>
              <w:t>Par prasības nodrošinājuma atcelšanu: prasības nodrošinājumi konkrētajos apstākļos atcelti tiesiski un atbilstoši judikatūrai. Līdz ar maksātnespējas procesa uzsākšanu zūd Civilprocesa likuma 137. pantā paredzētais prasības nodrošināšanas pamats, jo tiesas sprieduma izpildes lietvedība nav pieļaujama (SKC-951/2011). Tas, ka administrators šo prasības nodrošinājumu atcelšanu izmantoja prettiesiski un pretēji administratora darbības pamatprincipiem, nenozīmē, ka tiesa pieļāvusi kļūdu.</w:t>
            </w:r>
            <w:r w:rsidRPr="00327DAE">
              <w:rPr>
                <w:sz w:val="24"/>
                <w:szCs w:val="24"/>
              </w:rPr>
              <w:t xml:space="preserve"> </w:t>
            </w:r>
          </w:p>
        </w:tc>
      </w:tr>
      <w:tr w:rsidR="00253547" w:rsidRPr="00327DAE" w14:paraId="2B130206" w14:textId="77777777" w:rsidTr="00B40DAA">
        <w:trPr>
          <w:trHeight w:val="416"/>
        </w:trPr>
        <w:tc>
          <w:tcPr>
            <w:tcW w:w="562" w:type="dxa"/>
            <w:vMerge/>
          </w:tcPr>
          <w:p w14:paraId="7BC430B1" w14:textId="77777777" w:rsidR="00253547" w:rsidRPr="00327DAE" w:rsidRDefault="00253547" w:rsidP="0025317F">
            <w:pPr>
              <w:spacing w:after="120"/>
              <w:rPr>
                <w:sz w:val="24"/>
                <w:szCs w:val="24"/>
              </w:rPr>
            </w:pPr>
          </w:p>
        </w:tc>
        <w:tc>
          <w:tcPr>
            <w:tcW w:w="7797" w:type="dxa"/>
            <w:gridSpan w:val="3"/>
            <w:shd w:val="clear" w:color="auto" w:fill="auto"/>
            <w:noWrap/>
            <w:vAlign w:val="bottom"/>
          </w:tcPr>
          <w:p w14:paraId="5DA2FF2B" w14:textId="79D88B13" w:rsidR="00253547" w:rsidRPr="00327DAE" w:rsidRDefault="00253547" w:rsidP="0025317F">
            <w:pPr>
              <w:spacing w:after="120"/>
              <w:rPr>
                <w:i/>
                <w:sz w:val="24"/>
                <w:szCs w:val="24"/>
              </w:rPr>
            </w:pPr>
            <w:r w:rsidRPr="00327DAE">
              <w:rPr>
                <w:i/>
                <w:sz w:val="24"/>
                <w:szCs w:val="24"/>
              </w:rPr>
              <w:t>H.</w:t>
            </w:r>
            <w:r w:rsidR="00466B17" w:rsidRPr="00327DAE">
              <w:rPr>
                <w:i/>
                <w:sz w:val="24"/>
                <w:szCs w:val="24"/>
              </w:rPr>
              <w:t> </w:t>
            </w:r>
            <w:r w:rsidRPr="00327DAE">
              <w:rPr>
                <w:i/>
                <w:sz w:val="24"/>
                <w:szCs w:val="24"/>
              </w:rPr>
              <w:t>Jaujas atsevišķie secinājumi</w:t>
            </w:r>
          </w:p>
          <w:p w14:paraId="6D5455F2" w14:textId="17E861AB" w:rsidR="00253547" w:rsidRPr="00327DAE" w:rsidRDefault="00253547" w:rsidP="0025317F">
            <w:pPr>
              <w:spacing w:after="120"/>
              <w:rPr>
                <w:sz w:val="24"/>
                <w:szCs w:val="24"/>
              </w:rPr>
            </w:pPr>
            <w:r w:rsidRPr="00327DAE">
              <w:rPr>
                <w:sz w:val="24"/>
                <w:szCs w:val="24"/>
              </w:rPr>
              <w:t>Izskatāmajā lietā pēc būtības nemaz nepastāvēja strīds par to, ka parādnieks ir saņēmis aizdevumu no nodrošināta kreditora</w:t>
            </w:r>
            <w:r w:rsidR="007E3D1F">
              <w:rPr>
                <w:sz w:val="24"/>
                <w:szCs w:val="24"/>
              </w:rPr>
              <w:t xml:space="preserve">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Maksātnespējas administratora lēmums neatzīt nodrošinātā kreditora prasījumu balstījās uz dažām nesakritībām ziņās par prasījumu. Turklāt dažas no pretenzijām bija klaji absurdas. Piemēram, lai saņemtu </w:t>
            </w:r>
            <w:proofErr w:type="spellStart"/>
            <w:r w:rsidRPr="00327DAE">
              <w:rPr>
                <w:sz w:val="24"/>
                <w:szCs w:val="24"/>
              </w:rPr>
              <w:t>overdrafta</w:t>
            </w:r>
            <w:proofErr w:type="spellEnd"/>
            <w:r w:rsidRPr="00327DAE">
              <w:rPr>
                <w:sz w:val="24"/>
                <w:szCs w:val="24"/>
              </w:rPr>
              <w:t xml:space="preserve"> līdzekļus, parādniekam līgumā bija uzlikts par pienākumu veikt atsevišķas darbības (samaksāt komisijas maksu, apdrošināt īpašumus), taču banka bija piešķīrusi līdzekļus parādniekam, neskatoties uz to, ka šīs prasības bija izpildītas tikai daļēji. Administrators šo apstākli izmantoja kā vienu no argumentiem, apšaubo</w:t>
            </w:r>
            <w:r w:rsidR="007567F6" w:rsidRPr="00327DAE">
              <w:rPr>
                <w:sz w:val="24"/>
                <w:szCs w:val="24"/>
              </w:rPr>
              <w:t>t bankas prasījuma pamatotību.</w:t>
            </w:r>
          </w:p>
          <w:p w14:paraId="577221F8" w14:textId="77777777" w:rsidR="00253547" w:rsidRPr="00327DAE" w:rsidRDefault="00253547" w:rsidP="0025317F">
            <w:pPr>
              <w:spacing w:after="120"/>
              <w:rPr>
                <w:sz w:val="24"/>
                <w:szCs w:val="24"/>
              </w:rPr>
            </w:pPr>
            <w:r w:rsidRPr="00327DAE">
              <w:rPr>
                <w:sz w:val="24"/>
                <w:szCs w:val="24"/>
              </w:rPr>
              <w:t>Šis un citi apstākļi liecina, ka administratora rīcība bija pretēja labai ticībai un veselajam saprātam.</w:t>
            </w:r>
          </w:p>
          <w:p w14:paraId="508E0714" w14:textId="77777777" w:rsidR="00253547" w:rsidRPr="00327DAE" w:rsidRDefault="00253547" w:rsidP="0025317F">
            <w:pPr>
              <w:spacing w:after="120"/>
              <w:rPr>
                <w:sz w:val="24"/>
                <w:szCs w:val="24"/>
              </w:rPr>
            </w:pPr>
            <w:r w:rsidRPr="00327DAE">
              <w:rPr>
                <w:sz w:val="24"/>
                <w:szCs w:val="24"/>
              </w:rPr>
              <w:lastRenderedPageBreak/>
              <w:t xml:space="preserve">Nodrošināta kreditora paskaidrojumos tiesai tika dots izsmeļošs skaidrojums par lietas apstākļiem, kas atspēkoja visas iespējamās šaubas par prasījuma apmēru un pamatotību. </w:t>
            </w:r>
          </w:p>
          <w:p w14:paraId="73B257E3" w14:textId="4275A03C" w:rsidR="00253547" w:rsidRPr="00327DAE" w:rsidRDefault="00253547" w:rsidP="0025317F">
            <w:pPr>
              <w:spacing w:after="120"/>
              <w:rPr>
                <w:sz w:val="24"/>
                <w:szCs w:val="24"/>
              </w:rPr>
            </w:pPr>
            <w:r w:rsidRPr="00327DAE">
              <w:rPr>
                <w:sz w:val="24"/>
                <w:szCs w:val="24"/>
              </w:rPr>
              <w:t xml:space="preserve">Saskaņā </w:t>
            </w:r>
            <w:r w:rsidR="00D21F7E">
              <w:rPr>
                <w:sz w:val="24"/>
                <w:szCs w:val="24"/>
              </w:rPr>
              <w:t xml:space="preserve">ar </w:t>
            </w:r>
            <w:r w:rsidRPr="00327DAE">
              <w:rPr>
                <w:sz w:val="24"/>
                <w:szCs w:val="24"/>
              </w:rPr>
              <w:t>regulējumu (2007.</w:t>
            </w:r>
            <w:r w:rsidR="007567F6" w:rsidRPr="00327DAE">
              <w:rPr>
                <w:sz w:val="24"/>
                <w:szCs w:val="24"/>
              </w:rPr>
              <w:t> </w:t>
            </w:r>
            <w:r w:rsidRPr="00327DAE">
              <w:rPr>
                <w:sz w:val="24"/>
                <w:szCs w:val="24"/>
              </w:rPr>
              <w:t>gada 1.</w:t>
            </w:r>
            <w:r w:rsidR="007567F6" w:rsidRPr="00327DAE">
              <w:rPr>
                <w:sz w:val="24"/>
                <w:szCs w:val="24"/>
              </w:rPr>
              <w:t> </w:t>
            </w:r>
            <w:r w:rsidRPr="00327DAE">
              <w:rPr>
                <w:sz w:val="24"/>
                <w:szCs w:val="24"/>
              </w:rPr>
              <w:t>novembra Maksātnespējas likuma 74.</w:t>
            </w:r>
            <w:r w:rsidR="007567F6" w:rsidRPr="00327DAE">
              <w:rPr>
                <w:sz w:val="24"/>
                <w:szCs w:val="24"/>
              </w:rPr>
              <w:t> </w:t>
            </w:r>
            <w:r w:rsidRPr="00327DAE">
              <w:rPr>
                <w:sz w:val="24"/>
                <w:szCs w:val="24"/>
              </w:rPr>
              <w:t xml:space="preserve">panta pirmā daļa), kas bija spēkā tiesneša </w:t>
            </w:r>
            <w:r w:rsidR="00A77BA8">
              <w:rPr>
                <w:sz w:val="24"/>
                <w:szCs w:val="24"/>
              </w:rPr>
              <w:t>R. </w:t>
            </w:r>
            <w:r w:rsidRPr="00327DAE">
              <w:rPr>
                <w:sz w:val="24"/>
                <w:szCs w:val="24"/>
              </w:rPr>
              <w:t>Bula lēmuma pieņemšanas brīdī, administrators</w:t>
            </w:r>
            <w:r w:rsidR="00D21F7E">
              <w:rPr>
                <w:sz w:val="24"/>
                <w:szCs w:val="24"/>
              </w:rPr>
              <w:t>,</w:t>
            </w:r>
            <w:r w:rsidRPr="00327DAE">
              <w:rPr>
                <w:sz w:val="24"/>
                <w:szCs w:val="24"/>
              </w:rPr>
              <w:t xml:space="preserve"> pārbaudot kreditora prasījuma pamatotību</w:t>
            </w:r>
            <w:r w:rsidR="00D21F7E">
              <w:rPr>
                <w:sz w:val="24"/>
                <w:szCs w:val="24"/>
              </w:rPr>
              <w:t>,</w:t>
            </w:r>
            <w:r w:rsidRPr="00327DAE">
              <w:rPr>
                <w:sz w:val="24"/>
                <w:szCs w:val="24"/>
              </w:rPr>
              <w:t xml:space="preserve"> cita starpā var neatzīt prasījumu, ja past</w:t>
            </w:r>
            <w:r w:rsidR="00D21F7E">
              <w:rPr>
                <w:sz w:val="24"/>
                <w:szCs w:val="24"/>
              </w:rPr>
              <w:t>ā</w:t>
            </w:r>
            <w:r w:rsidRPr="00327DAE">
              <w:rPr>
                <w:sz w:val="24"/>
                <w:szCs w:val="24"/>
              </w:rPr>
              <w:t xml:space="preserve">v strīds </w:t>
            </w:r>
            <w:r w:rsidRPr="00327DAE">
              <w:rPr>
                <w:sz w:val="24"/>
                <w:szCs w:val="24"/>
                <w:u w:val="single"/>
              </w:rPr>
              <w:t>starp parādnieku un kreditoru</w:t>
            </w:r>
            <w:r w:rsidRPr="00327DAE">
              <w:rPr>
                <w:sz w:val="24"/>
                <w:szCs w:val="24"/>
              </w:rPr>
              <w:t xml:space="preserve">. Attiecīgi Civilprocesa likuma regulējums paredzēja, ka gadījumā, ja tiesa izskata sūdzību par administratora lēmumu neatzīt kreditora prasījumu un ir saskatāms strīds par tiesībām, tiesa nosaka termiņu, kādā sūdzības iesniedzējs var celt prasību </w:t>
            </w:r>
            <w:r w:rsidR="007567F6" w:rsidRPr="00327DAE">
              <w:rPr>
                <w:sz w:val="24"/>
                <w:szCs w:val="24"/>
              </w:rPr>
              <w:t>vispārējā</w:t>
            </w:r>
            <w:r w:rsidRPr="00327DAE">
              <w:rPr>
                <w:sz w:val="24"/>
                <w:szCs w:val="24"/>
              </w:rPr>
              <w:t xml:space="preserve"> kārtībā (CPL 363.</w:t>
            </w:r>
            <w:r w:rsidRPr="00327DAE">
              <w:rPr>
                <w:sz w:val="24"/>
                <w:szCs w:val="24"/>
                <w:vertAlign w:val="superscript"/>
              </w:rPr>
              <w:t>11</w:t>
            </w:r>
            <w:r w:rsidR="007567F6" w:rsidRPr="00327DAE">
              <w:rPr>
                <w:sz w:val="24"/>
                <w:szCs w:val="24"/>
              </w:rPr>
              <w:t> </w:t>
            </w:r>
            <w:r w:rsidR="00D21F7E">
              <w:rPr>
                <w:sz w:val="24"/>
                <w:szCs w:val="24"/>
              </w:rPr>
              <w:t xml:space="preserve">panta </w:t>
            </w:r>
            <w:r w:rsidR="007567F6" w:rsidRPr="00327DAE">
              <w:rPr>
                <w:sz w:val="24"/>
                <w:szCs w:val="24"/>
              </w:rPr>
              <w:t>ceturtā</w:t>
            </w:r>
            <w:r w:rsidRPr="00327DAE">
              <w:rPr>
                <w:sz w:val="24"/>
                <w:szCs w:val="24"/>
              </w:rPr>
              <w:t xml:space="preserve"> daļa).</w:t>
            </w:r>
          </w:p>
          <w:p w14:paraId="1BE2A690" w14:textId="15705A47" w:rsidR="00253547" w:rsidRPr="00327DAE" w:rsidRDefault="00253547" w:rsidP="0025317F">
            <w:pPr>
              <w:spacing w:after="120"/>
              <w:rPr>
                <w:sz w:val="24"/>
                <w:szCs w:val="24"/>
              </w:rPr>
            </w:pPr>
            <w:r w:rsidRPr="00327DAE">
              <w:rPr>
                <w:sz w:val="24"/>
                <w:szCs w:val="24"/>
              </w:rPr>
              <w:t>Izskatāmajā gadījumā strīda par prasījumu starp parādnieku un kreditoru nebija, jo prasījums pilnā apmērā bija iekļauts parādnieka ĀTAP plānā un pats administrators šo plānu bija atzinis par pamatotu. To, ka administratora iebildumi ir formāli un nepamatoti, varēja pietiekami uzskatāmi konstatēt no lietas materiāliem un nodrošināt</w:t>
            </w:r>
            <w:r w:rsidR="00D21F7E">
              <w:rPr>
                <w:sz w:val="24"/>
                <w:szCs w:val="24"/>
              </w:rPr>
              <w:t>ā</w:t>
            </w:r>
            <w:r w:rsidRPr="00327DAE">
              <w:rPr>
                <w:sz w:val="24"/>
                <w:szCs w:val="24"/>
              </w:rPr>
              <w:t xml:space="preserve"> kreditora sūdzības, kura visus administratora iebildumus atspēkoja. Respektīvi, lietas materiāli norādīja, ka strīda par tiesībām pēc būtības nav (ir formāli un būtību neietekmējoši administratora iebildumi, kurus procesuālās ekonomijas dēļ nav pamats skatīt vispārējā tiesvedībā) un saprātīgam tiesību piemērotājam bija pamats pilnībā apmierināt nodrošināt</w:t>
            </w:r>
            <w:r w:rsidR="00D21F7E">
              <w:rPr>
                <w:sz w:val="24"/>
                <w:szCs w:val="24"/>
              </w:rPr>
              <w:t>ā</w:t>
            </w:r>
            <w:r w:rsidRPr="00327DAE">
              <w:rPr>
                <w:sz w:val="24"/>
                <w:szCs w:val="24"/>
              </w:rPr>
              <w:t xml:space="preserve"> kreditora sūdzību, atceļot administratora lēmumu.</w:t>
            </w:r>
          </w:p>
          <w:p w14:paraId="611CA8F8" w14:textId="0733038F" w:rsidR="00253547" w:rsidRPr="00327DAE" w:rsidRDefault="00253547" w:rsidP="0025317F">
            <w:pPr>
              <w:spacing w:after="120"/>
              <w:rPr>
                <w:sz w:val="24"/>
                <w:szCs w:val="24"/>
              </w:rPr>
            </w:pPr>
            <w:r w:rsidRPr="00327DAE">
              <w:rPr>
                <w:sz w:val="24"/>
                <w:szCs w:val="24"/>
              </w:rPr>
              <w:t xml:space="preserve">Pat saskatot šajā lietā strīdu, tiesnesim bija pienākums dot termiņu prasības celšanai </w:t>
            </w:r>
            <w:r w:rsidR="007567F6" w:rsidRPr="00327DAE">
              <w:rPr>
                <w:sz w:val="24"/>
                <w:szCs w:val="24"/>
              </w:rPr>
              <w:t>vispārējā</w:t>
            </w:r>
            <w:r w:rsidRPr="00327DAE">
              <w:rPr>
                <w:sz w:val="24"/>
                <w:szCs w:val="24"/>
              </w:rPr>
              <w:t xml:space="preserve"> kārtībā. Taču tiesnesis </w:t>
            </w:r>
            <w:r w:rsidR="00A77BA8">
              <w:rPr>
                <w:sz w:val="24"/>
                <w:szCs w:val="24"/>
              </w:rPr>
              <w:t>R. </w:t>
            </w:r>
            <w:r w:rsidRPr="00327DAE">
              <w:rPr>
                <w:sz w:val="24"/>
                <w:szCs w:val="24"/>
              </w:rPr>
              <w:t>Buls nedz apmierināja sūdzību, nedz arī deva iespēju celt prasību vispārējā kārtībā.</w:t>
            </w:r>
          </w:p>
          <w:p w14:paraId="238B16F3" w14:textId="0EA206BF" w:rsidR="00253547" w:rsidRPr="00327DAE" w:rsidRDefault="00253547" w:rsidP="0025317F">
            <w:pPr>
              <w:spacing w:after="120"/>
              <w:rPr>
                <w:sz w:val="24"/>
                <w:szCs w:val="24"/>
              </w:rPr>
            </w:pPr>
            <w:r w:rsidRPr="00327DAE">
              <w:rPr>
                <w:sz w:val="24"/>
                <w:szCs w:val="24"/>
              </w:rPr>
              <w:t xml:space="preserve">Tiesneša </w:t>
            </w:r>
            <w:r w:rsidR="00A77BA8">
              <w:rPr>
                <w:sz w:val="24"/>
                <w:szCs w:val="24"/>
              </w:rPr>
              <w:t>R. </w:t>
            </w:r>
            <w:r w:rsidR="007E3D1F">
              <w:rPr>
                <w:sz w:val="24"/>
                <w:szCs w:val="24"/>
              </w:rPr>
              <w:t>Bula lēmums par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sūdzības noraidīšanu pēc būtības ne ar ko </w:t>
            </w:r>
            <w:r w:rsidR="00D21F7E" w:rsidRPr="00327DAE">
              <w:rPr>
                <w:sz w:val="24"/>
                <w:szCs w:val="24"/>
              </w:rPr>
              <w:t xml:space="preserve">nav </w:t>
            </w:r>
            <w:r w:rsidRPr="00327DAE">
              <w:rPr>
                <w:sz w:val="24"/>
                <w:szCs w:val="24"/>
              </w:rPr>
              <w:t>pamatots. Tajā ir vispārēji atreferēti administratora apsvērumi un gandrīz vispār nav ned</w:t>
            </w:r>
            <w:r w:rsidR="007E3D1F">
              <w:rPr>
                <w:sz w:val="24"/>
                <w:szCs w:val="24"/>
              </w:rPr>
              <w:t>z pieminēti, nedz analizēti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apsvērumi un paskaidrojumi. Vienīgais arguments, ko tiesnesis ir </w:t>
            </w:r>
            <w:r w:rsidR="007567F6" w:rsidRPr="00327DAE">
              <w:rPr>
                <w:sz w:val="24"/>
                <w:szCs w:val="24"/>
              </w:rPr>
              <w:t>analizējis</w:t>
            </w:r>
            <w:r w:rsidRPr="00327DAE">
              <w:rPr>
                <w:sz w:val="24"/>
                <w:szCs w:val="24"/>
              </w:rPr>
              <w:t>, ir norāde, ka pats administrators ir akceptējis parādnieka ĀTAP plānu, kurā bija ietverts bankas prasījums. Turklāt arī š</w:t>
            </w:r>
            <w:r w:rsidR="00D21F7E">
              <w:rPr>
                <w:sz w:val="24"/>
                <w:szCs w:val="24"/>
              </w:rPr>
              <w:t>ī</w:t>
            </w:r>
            <w:r w:rsidRPr="00327DAE">
              <w:rPr>
                <w:sz w:val="24"/>
                <w:szCs w:val="24"/>
              </w:rPr>
              <w:t xml:space="preserve"> argumenta analīzei tiesnesis ir pievērsies formāli un atrauti no pārējā konteksta.</w:t>
            </w:r>
          </w:p>
          <w:p w14:paraId="29FC2E7D" w14:textId="5DE1BE60" w:rsidR="00253547" w:rsidRPr="00327DAE" w:rsidRDefault="00253547" w:rsidP="0025317F">
            <w:pPr>
              <w:spacing w:after="120"/>
              <w:rPr>
                <w:sz w:val="24"/>
                <w:szCs w:val="24"/>
              </w:rPr>
            </w:pPr>
            <w:r w:rsidRPr="00327DAE">
              <w:rPr>
                <w:sz w:val="24"/>
                <w:szCs w:val="24"/>
              </w:rPr>
              <w:t>Šajā liet</w:t>
            </w:r>
            <w:r w:rsidR="00D21F7E">
              <w:rPr>
                <w:sz w:val="24"/>
                <w:szCs w:val="24"/>
              </w:rPr>
              <w:t>ā</w:t>
            </w:r>
            <w:r w:rsidRPr="00327DAE">
              <w:rPr>
                <w:sz w:val="24"/>
                <w:szCs w:val="24"/>
              </w:rPr>
              <w:t xml:space="preserve"> ievērību pelna arī tiesneša </w:t>
            </w:r>
            <w:r w:rsidR="00A77BA8">
              <w:rPr>
                <w:sz w:val="24"/>
                <w:szCs w:val="24"/>
              </w:rPr>
              <w:t>R. </w:t>
            </w:r>
            <w:r w:rsidRPr="00327DAE">
              <w:rPr>
                <w:sz w:val="24"/>
                <w:szCs w:val="24"/>
              </w:rPr>
              <w:t xml:space="preserve">Bula lēmums izbeigt SIA “Troja </w:t>
            </w:r>
            <w:proofErr w:type="spellStart"/>
            <w:r w:rsidRPr="00327DAE">
              <w:rPr>
                <w:sz w:val="24"/>
                <w:szCs w:val="24"/>
              </w:rPr>
              <w:t>Immobilien</w:t>
            </w:r>
            <w:proofErr w:type="spellEnd"/>
            <w:r w:rsidRPr="00327DAE">
              <w:rPr>
                <w:sz w:val="24"/>
                <w:szCs w:val="24"/>
              </w:rPr>
              <w:t>” maksātnespējas proce</w:t>
            </w:r>
            <w:r w:rsidR="007E3D1F">
              <w:rPr>
                <w:sz w:val="24"/>
                <w:szCs w:val="24"/>
              </w:rPr>
              <w:t>su brīdī, kad bija pieņemts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labvēlīgs spriedums Rīg</w:t>
            </w:r>
            <w:r w:rsidR="007E3D1F">
              <w:rPr>
                <w:sz w:val="24"/>
                <w:szCs w:val="24"/>
              </w:rPr>
              <w:t>as apgabaltiesā, kas atzina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007E3D1F">
              <w:rPr>
                <w:sz w:val="24"/>
                <w:szCs w:val="24"/>
              </w:rPr>
              <w:t>” kreditora prasījumu pret SIA „</w:t>
            </w:r>
            <w:r w:rsidRPr="00327DAE">
              <w:rPr>
                <w:sz w:val="24"/>
                <w:szCs w:val="24"/>
              </w:rPr>
              <w:t>Troja</w:t>
            </w:r>
            <w:r w:rsidR="00D21F7E">
              <w:rPr>
                <w:sz w:val="24"/>
                <w:szCs w:val="24"/>
              </w:rPr>
              <w:t xml:space="preserve"> </w:t>
            </w:r>
            <w:proofErr w:type="spellStart"/>
            <w:r w:rsidRPr="00327DAE">
              <w:rPr>
                <w:sz w:val="24"/>
                <w:szCs w:val="24"/>
              </w:rPr>
              <w:t>Immobilien</w:t>
            </w:r>
            <w:proofErr w:type="spellEnd"/>
            <w:r w:rsidRPr="00327DAE">
              <w:rPr>
                <w:sz w:val="24"/>
                <w:szCs w:val="24"/>
              </w:rPr>
              <w:t xml:space="preserve">” un šis spriedums bija pārsūdzēts </w:t>
            </w:r>
            <w:r w:rsidR="007567F6" w:rsidRPr="00327DAE">
              <w:rPr>
                <w:sz w:val="24"/>
                <w:szCs w:val="24"/>
              </w:rPr>
              <w:t>Augstākajā</w:t>
            </w:r>
            <w:r w:rsidR="00A77BA8">
              <w:rPr>
                <w:sz w:val="24"/>
                <w:szCs w:val="24"/>
              </w:rPr>
              <w:t xml:space="preserve"> </w:t>
            </w:r>
            <w:r w:rsidR="00D21F7E">
              <w:rPr>
                <w:sz w:val="24"/>
                <w:szCs w:val="24"/>
              </w:rPr>
              <w:t xml:space="preserve">tiesā, </w:t>
            </w:r>
            <w:r w:rsidR="00A77BA8">
              <w:rPr>
                <w:sz w:val="24"/>
                <w:szCs w:val="24"/>
              </w:rPr>
              <w:t>un</w:t>
            </w:r>
            <w:r w:rsidRPr="00327DAE">
              <w:rPr>
                <w:sz w:val="24"/>
                <w:szCs w:val="24"/>
              </w:rPr>
              <w:t xml:space="preserve"> pastāvēja ļoti liela iespēja, ka gala </w:t>
            </w:r>
            <w:r w:rsidR="007567F6" w:rsidRPr="00327DAE">
              <w:rPr>
                <w:sz w:val="24"/>
                <w:szCs w:val="24"/>
              </w:rPr>
              <w:t>noregulējums</w:t>
            </w:r>
            <w:r w:rsidR="007E3D1F">
              <w:rPr>
                <w:sz w:val="24"/>
                <w:szCs w:val="24"/>
              </w:rPr>
              <w:t xml:space="preserve"> būs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labvēlīgs. Tiesneša </w:t>
            </w:r>
            <w:r w:rsidR="007567F6" w:rsidRPr="00327DAE">
              <w:rPr>
                <w:sz w:val="24"/>
                <w:szCs w:val="24"/>
              </w:rPr>
              <w:t>lēmumu</w:t>
            </w:r>
            <w:r w:rsidRPr="00327DAE">
              <w:rPr>
                <w:sz w:val="24"/>
                <w:szCs w:val="24"/>
              </w:rPr>
              <w:t xml:space="preserve"> izbeigt </w:t>
            </w:r>
            <w:r w:rsidR="007567F6" w:rsidRPr="00327DAE">
              <w:rPr>
                <w:sz w:val="24"/>
                <w:szCs w:val="24"/>
              </w:rPr>
              <w:t>maksātnespējas</w:t>
            </w:r>
            <w:r w:rsidRPr="00327DAE">
              <w:rPr>
                <w:sz w:val="24"/>
                <w:szCs w:val="24"/>
              </w:rPr>
              <w:t xml:space="preserve"> procesu, protams, var</w:t>
            </w:r>
            <w:r w:rsidR="007E3D1F">
              <w:rPr>
                <w:sz w:val="24"/>
                <w:szCs w:val="24"/>
              </w:rPr>
              <w:t xml:space="preserve"> skaidrot ar to, ka formāli AS „</w:t>
            </w:r>
            <w:proofErr w:type="spellStart"/>
            <w:r w:rsidRPr="00327DAE">
              <w:rPr>
                <w:sz w:val="24"/>
                <w:szCs w:val="24"/>
              </w:rPr>
              <w:t>Danske</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nebija kreditora statusa šajā maksātnespējas proce</w:t>
            </w:r>
            <w:r w:rsidR="007E3D1F">
              <w:rPr>
                <w:sz w:val="24"/>
                <w:szCs w:val="24"/>
              </w:rPr>
              <w:t>sā. Taču ir acīmredzami, ka AS „</w:t>
            </w:r>
            <w:proofErr w:type="spellStart"/>
            <w:r w:rsidRPr="00327DAE">
              <w:rPr>
                <w:sz w:val="24"/>
                <w:szCs w:val="24"/>
              </w:rPr>
              <w:t>Danske</w:t>
            </w:r>
            <w:proofErr w:type="spellEnd"/>
            <w:r w:rsidRPr="00327DAE">
              <w:rPr>
                <w:sz w:val="24"/>
                <w:szCs w:val="24"/>
              </w:rPr>
              <w:t xml:space="preserve"> </w:t>
            </w:r>
            <w:proofErr w:type="spellStart"/>
            <w:r w:rsidR="00403B72">
              <w:rPr>
                <w:sz w:val="24"/>
                <w:szCs w:val="24"/>
              </w:rPr>
              <w:t>B</w:t>
            </w:r>
            <w:r w:rsidRPr="00327DAE">
              <w:rPr>
                <w:sz w:val="24"/>
                <w:szCs w:val="24"/>
              </w:rPr>
              <w:t>ank</w:t>
            </w:r>
            <w:proofErr w:type="spellEnd"/>
            <w:r w:rsidRPr="00327DAE">
              <w:rPr>
                <w:sz w:val="24"/>
                <w:szCs w:val="24"/>
              </w:rPr>
              <w:t xml:space="preserve">” šī statusa nebija paša tiesneša rupja </w:t>
            </w:r>
            <w:r w:rsidR="007567F6" w:rsidRPr="00327DAE">
              <w:rPr>
                <w:sz w:val="24"/>
                <w:szCs w:val="24"/>
              </w:rPr>
              <w:t>pārkāpuma</w:t>
            </w:r>
            <w:r w:rsidRPr="00327DAE">
              <w:rPr>
                <w:sz w:val="24"/>
                <w:szCs w:val="24"/>
              </w:rPr>
              <w:t xml:space="preserve"> dēļ. Turklāt izbeigt maksātnespējas procesu, ignorējot nodrošinātā kreditora mantiskās intereses, kas pārsniedz miljonu EUR</w:t>
            </w:r>
            <w:r w:rsidR="00403B72">
              <w:rPr>
                <w:sz w:val="24"/>
                <w:szCs w:val="24"/>
              </w:rPr>
              <w:t>,</w:t>
            </w:r>
            <w:r w:rsidRPr="00327DAE">
              <w:rPr>
                <w:sz w:val="24"/>
                <w:szCs w:val="24"/>
              </w:rPr>
              <w:t xml:space="preserve"> ir klajā pretrunā ar veselo saprātu un taisnīguma apsvērumiem. </w:t>
            </w:r>
          </w:p>
          <w:p w14:paraId="308CF801" w14:textId="692F0CF3" w:rsidR="00253547" w:rsidRPr="00327DAE" w:rsidRDefault="00253547" w:rsidP="0025317F">
            <w:pPr>
              <w:spacing w:after="120"/>
              <w:rPr>
                <w:sz w:val="24"/>
                <w:szCs w:val="24"/>
              </w:rPr>
            </w:pPr>
            <w:r w:rsidRPr="00327DAE">
              <w:rPr>
                <w:sz w:val="24"/>
                <w:szCs w:val="24"/>
              </w:rPr>
              <w:t xml:space="preserve">Abi minētie tiesneša </w:t>
            </w:r>
            <w:r w:rsidR="00A77BA8">
              <w:rPr>
                <w:sz w:val="24"/>
                <w:szCs w:val="24"/>
              </w:rPr>
              <w:t>R. </w:t>
            </w:r>
            <w:r w:rsidRPr="00327DAE">
              <w:rPr>
                <w:sz w:val="24"/>
                <w:szCs w:val="24"/>
              </w:rPr>
              <w:t>Bula lēmumi šajā lietā ir vērtējami acīmredzami pretrunā ar likumu, veselo saprātu un taisnīguma apsvērumiem. Ņemot vērā pār</w:t>
            </w:r>
            <w:r w:rsidR="00403B72">
              <w:rPr>
                <w:sz w:val="24"/>
                <w:szCs w:val="24"/>
              </w:rPr>
              <w:t>ē</w:t>
            </w:r>
            <w:r w:rsidRPr="00327DAE">
              <w:rPr>
                <w:sz w:val="24"/>
                <w:szCs w:val="24"/>
              </w:rPr>
              <w:t>jos tiesneša nolēmumus un citus apstākļus, šī lieta</w:t>
            </w:r>
            <w:r w:rsidR="00AC4D98">
              <w:rPr>
                <w:sz w:val="24"/>
                <w:szCs w:val="24"/>
              </w:rPr>
              <w:t>, manuprāt,</w:t>
            </w:r>
            <w:r w:rsidRPr="00327DAE">
              <w:rPr>
                <w:sz w:val="24"/>
                <w:szCs w:val="24"/>
              </w:rPr>
              <w:t xml:space="preserve"> rada papildus pamatotas šaubas par tiesneša spēju pieņemt objektīvus un taisnīgus </w:t>
            </w:r>
            <w:r w:rsidRPr="00327DAE">
              <w:rPr>
                <w:sz w:val="24"/>
                <w:szCs w:val="24"/>
              </w:rPr>
              <w:lastRenderedPageBreak/>
              <w:t xml:space="preserve">nolēmumus. Kā arī vērotājam no malas var radīt šaubas par tiesneša godaprātu. </w:t>
            </w:r>
          </w:p>
        </w:tc>
      </w:tr>
      <w:tr w:rsidR="00A23FB2" w:rsidRPr="00327DAE" w14:paraId="1F6A0CBE" w14:textId="77777777" w:rsidTr="00B40DAA">
        <w:trPr>
          <w:trHeight w:val="416"/>
        </w:trPr>
        <w:tc>
          <w:tcPr>
            <w:tcW w:w="562" w:type="dxa"/>
            <w:vMerge w:val="restart"/>
          </w:tcPr>
          <w:p w14:paraId="59C9B215" w14:textId="014C40B4" w:rsidR="00A23FB2" w:rsidRPr="00327DAE" w:rsidRDefault="00A23FB2" w:rsidP="0025317F">
            <w:pPr>
              <w:spacing w:after="120"/>
              <w:rPr>
                <w:b/>
                <w:color w:val="000000"/>
                <w:sz w:val="24"/>
                <w:szCs w:val="24"/>
              </w:rPr>
            </w:pPr>
            <w:r w:rsidRPr="00327DAE">
              <w:rPr>
                <w:b/>
                <w:color w:val="000000"/>
                <w:sz w:val="24"/>
                <w:szCs w:val="24"/>
              </w:rPr>
              <w:lastRenderedPageBreak/>
              <w:t>10.11.</w:t>
            </w:r>
          </w:p>
          <w:p w14:paraId="29C1C2CC" w14:textId="047923BC" w:rsidR="00A23FB2" w:rsidRPr="00327DAE" w:rsidRDefault="00A23FB2" w:rsidP="0025317F">
            <w:pPr>
              <w:spacing w:after="120"/>
              <w:rPr>
                <w:b/>
                <w:color w:val="000000"/>
                <w:sz w:val="24"/>
                <w:szCs w:val="24"/>
              </w:rPr>
            </w:pPr>
          </w:p>
        </w:tc>
        <w:tc>
          <w:tcPr>
            <w:tcW w:w="1701" w:type="dxa"/>
            <w:shd w:val="clear" w:color="auto" w:fill="auto"/>
            <w:noWrap/>
            <w:vAlign w:val="bottom"/>
            <w:hideMark/>
          </w:tcPr>
          <w:p w14:paraId="095AC68F" w14:textId="77777777" w:rsidR="00A23FB2" w:rsidRPr="00327DAE" w:rsidRDefault="00A23FB2" w:rsidP="0025317F">
            <w:pPr>
              <w:spacing w:after="120"/>
              <w:rPr>
                <w:b/>
                <w:color w:val="000000"/>
                <w:sz w:val="24"/>
                <w:szCs w:val="24"/>
              </w:rPr>
            </w:pPr>
            <w:r w:rsidRPr="00327DAE">
              <w:rPr>
                <w:b/>
                <w:color w:val="000000"/>
                <w:sz w:val="24"/>
                <w:szCs w:val="24"/>
              </w:rPr>
              <w:t>C27208110</w:t>
            </w:r>
            <w:r w:rsidRPr="00327DAE">
              <w:rPr>
                <w:rStyle w:val="FootnoteReference"/>
                <w:b/>
                <w:color w:val="000000"/>
                <w:sz w:val="24"/>
                <w:szCs w:val="24"/>
              </w:rPr>
              <w:footnoteReference w:id="18"/>
            </w:r>
          </w:p>
          <w:p w14:paraId="7A800322" w14:textId="77777777" w:rsidR="00A23FB2" w:rsidRPr="00327DAE" w:rsidRDefault="00A23FB2" w:rsidP="0025317F">
            <w:pPr>
              <w:spacing w:after="120"/>
              <w:rPr>
                <w:b/>
                <w:sz w:val="24"/>
                <w:szCs w:val="24"/>
              </w:rPr>
            </w:pPr>
            <w:r w:rsidRPr="00327DAE">
              <w:rPr>
                <w:b/>
                <w:color w:val="000000"/>
                <w:sz w:val="24"/>
                <w:szCs w:val="24"/>
              </w:rPr>
              <w:t>C27205910</w:t>
            </w:r>
            <w:r w:rsidRPr="00327DAE">
              <w:rPr>
                <w:rStyle w:val="FootnoteReference"/>
                <w:b/>
                <w:color w:val="000000"/>
                <w:sz w:val="24"/>
                <w:szCs w:val="24"/>
              </w:rPr>
              <w:footnoteReference w:id="19"/>
            </w:r>
          </w:p>
        </w:tc>
        <w:tc>
          <w:tcPr>
            <w:tcW w:w="2410" w:type="dxa"/>
            <w:shd w:val="clear" w:color="auto" w:fill="auto"/>
            <w:vAlign w:val="bottom"/>
            <w:hideMark/>
          </w:tcPr>
          <w:p w14:paraId="1C052F7B" w14:textId="77777777" w:rsidR="00A23FB2" w:rsidRPr="00327DAE" w:rsidRDefault="00A23FB2" w:rsidP="0025317F">
            <w:pPr>
              <w:spacing w:after="120"/>
              <w:rPr>
                <w:b/>
                <w:color w:val="000000"/>
                <w:sz w:val="24"/>
                <w:szCs w:val="24"/>
              </w:rPr>
            </w:pPr>
            <w:r w:rsidRPr="00327DAE">
              <w:rPr>
                <w:b/>
                <w:sz w:val="24"/>
                <w:szCs w:val="24"/>
              </w:rPr>
              <w:t xml:space="preserve">Tiesneša R. Bula 08.09.2010. lēmums </w:t>
            </w:r>
            <w:r w:rsidRPr="00327DAE">
              <w:rPr>
                <w:b/>
                <w:color w:val="000000"/>
                <w:sz w:val="24"/>
                <w:szCs w:val="24"/>
              </w:rPr>
              <w:t xml:space="preserve">SIA „Arts </w:t>
            </w:r>
            <w:proofErr w:type="spellStart"/>
            <w:r w:rsidRPr="00327DAE">
              <w:rPr>
                <w:b/>
                <w:color w:val="000000"/>
                <w:sz w:val="24"/>
                <w:szCs w:val="24"/>
              </w:rPr>
              <w:t>Plaza</w:t>
            </w:r>
            <w:proofErr w:type="spellEnd"/>
            <w:r w:rsidRPr="00327DAE">
              <w:rPr>
                <w:b/>
                <w:color w:val="000000"/>
                <w:sz w:val="24"/>
                <w:szCs w:val="24"/>
              </w:rPr>
              <w:t>” lietā;</w:t>
            </w:r>
          </w:p>
          <w:p w14:paraId="0DFB4C8A" w14:textId="3D4118DB" w:rsidR="00A23FB2" w:rsidRPr="00327DAE" w:rsidRDefault="00AC4D98" w:rsidP="0025317F">
            <w:pPr>
              <w:spacing w:after="120"/>
              <w:rPr>
                <w:b/>
                <w:sz w:val="24"/>
                <w:szCs w:val="24"/>
              </w:rPr>
            </w:pPr>
            <w:r>
              <w:rPr>
                <w:b/>
                <w:sz w:val="24"/>
                <w:szCs w:val="24"/>
              </w:rPr>
              <w:t xml:space="preserve">17.11.2010. lēmums </w:t>
            </w:r>
            <w:r w:rsidR="00A23FB2" w:rsidRPr="00327DAE">
              <w:rPr>
                <w:b/>
                <w:sz w:val="24"/>
                <w:szCs w:val="24"/>
              </w:rPr>
              <w:t xml:space="preserve">SIA </w:t>
            </w:r>
            <w:r>
              <w:rPr>
                <w:b/>
                <w:sz w:val="24"/>
                <w:szCs w:val="24"/>
              </w:rPr>
              <w:t>„</w:t>
            </w:r>
            <w:r w:rsidR="00A23FB2" w:rsidRPr="00327DAE">
              <w:rPr>
                <w:b/>
                <w:sz w:val="24"/>
                <w:szCs w:val="24"/>
              </w:rPr>
              <w:t>Tērbatas biznesa centrs” lietā</w:t>
            </w:r>
          </w:p>
        </w:tc>
        <w:tc>
          <w:tcPr>
            <w:tcW w:w="3686" w:type="dxa"/>
            <w:shd w:val="clear" w:color="auto" w:fill="auto"/>
            <w:vAlign w:val="bottom"/>
            <w:hideMark/>
          </w:tcPr>
          <w:p w14:paraId="22B89CF4" w14:textId="48D4321D" w:rsidR="00A23FB2" w:rsidRPr="00327DAE" w:rsidRDefault="00A23FB2" w:rsidP="0025317F">
            <w:pPr>
              <w:pStyle w:val="Heading3"/>
            </w:pPr>
            <w:bookmarkStart w:id="24" w:name="_Toc522527499"/>
            <w:r w:rsidRPr="00327DAE">
              <w:t xml:space="preserve">SIA „Tērbatas biznesa centrs”: ĀTAP pieteikums; SIA „Arts </w:t>
            </w:r>
            <w:proofErr w:type="spellStart"/>
            <w:r w:rsidRPr="00327DAE">
              <w:t>Plaza</w:t>
            </w:r>
            <w:proofErr w:type="spellEnd"/>
            <w:r w:rsidRPr="00327DAE">
              <w:t>”: ĀTAP pieteikums</w:t>
            </w:r>
            <w:bookmarkEnd w:id="24"/>
          </w:p>
        </w:tc>
      </w:tr>
      <w:tr w:rsidR="00E81010" w:rsidRPr="00327DAE" w14:paraId="5DADE721" w14:textId="77777777" w:rsidTr="00327DAE">
        <w:trPr>
          <w:trHeight w:val="416"/>
        </w:trPr>
        <w:tc>
          <w:tcPr>
            <w:tcW w:w="562" w:type="dxa"/>
            <w:vMerge/>
          </w:tcPr>
          <w:p w14:paraId="2DFCF264" w14:textId="77777777" w:rsidR="00E81010" w:rsidRPr="00327DAE" w:rsidRDefault="00E81010" w:rsidP="0025317F">
            <w:pPr>
              <w:spacing w:after="120"/>
              <w:rPr>
                <w:b/>
                <w:color w:val="000000"/>
                <w:sz w:val="24"/>
                <w:szCs w:val="24"/>
              </w:rPr>
            </w:pPr>
          </w:p>
        </w:tc>
        <w:tc>
          <w:tcPr>
            <w:tcW w:w="1701" w:type="dxa"/>
            <w:shd w:val="clear" w:color="auto" w:fill="E7E6E6" w:themeFill="background2"/>
            <w:noWrap/>
            <w:vAlign w:val="center"/>
          </w:tcPr>
          <w:p w14:paraId="5BEBBB38" w14:textId="1A0F6237" w:rsidR="00E81010" w:rsidRPr="009D11F9" w:rsidRDefault="00E81010" w:rsidP="0025317F">
            <w:pPr>
              <w:spacing w:after="120"/>
              <w:rPr>
                <w:b/>
                <w:i/>
              </w:rPr>
            </w:pPr>
            <w:r w:rsidRPr="009D11F9">
              <w:rPr>
                <w:b/>
                <w:i/>
              </w:rPr>
              <w:t>Sadales datums</w:t>
            </w:r>
          </w:p>
        </w:tc>
        <w:tc>
          <w:tcPr>
            <w:tcW w:w="2410" w:type="dxa"/>
            <w:shd w:val="clear" w:color="auto" w:fill="E7E6E6" w:themeFill="background2"/>
            <w:vAlign w:val="center"/>
          </w:tcPr>
          <w:p w14:paraId="7D7A4BD3" w14:textId="5B37A561" w:rsidR="00E81010" w:rsidRPr="009D11F9" w:rsidRDefault="00E81010" w:rsidP="0025317F">
            <w:pPr>
              <w:spacing w:after="120"/>
              <w:rPr>
                <w:b/>
                <w:i/>
              </w:rPr>
            </w:pPr>
            <w:r w:rsidRPr="009D11F9">
              <w:rPr>
                <w:b/>
                <w:i/>
              </w:rPr>
              <w:t>Tiesnesis pēc sadales</w:t>
            </w:r>
          </w:p>
        </w:tc>
        <w:tc>
          <w:tcPr>
            <w:tcW w:w="3686" w:type="dxa"/>
            <w:shd w:val="clear" w:color="auto" w:fill="E7E6E6" w:themeFill="background2"/>
            <w:vAlign w:val="bottom"/>
          </w:tcPr>
          <w:p w14:paraId="57BBE0DA" w14:textId="00D06C6F" w:rsidR="00E81010" w:rsidRPr="009D11F9" w:rsidRDefault="00E81010" w:rsidP="0025317F">
            <w:pPr>
              <w:spacing w:after="120"/>
              <w:rPr>
                <w:b/>
                <w:i/>
              </w:rPr>
            </w:pPr>
            <w:r w:rsidRPr="009D11F9">
              <w:rPr>
                <w:b/>
                <w:i/>
              </w:rPr>
              <w:t>Lietu sadales veids/iemesls</w:t>
            </w:r>
          </w:p>
        </w:tc>
      </w:tr>
      <w:tr w:rsidR="001751AB" w:rsidRPr="00327DAE" w14:paraId="742BB585" w14:textId="77777777" w:rsidTr="00327DAE">
        <w:trPr>
          <w:trHeight w:val="416"/>
        </w:trPr>
        <w:tc>
          <w:tcPr>
            <w:tcW w:w="562" w:type="dxa"/>
            <w:vMerge/>
          </w:tcPr>
          <w:p w14:paraId="396B09FA" w14:textId="77777777"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14:paraId="5E54DEF6" w14:textId="78FA5F3A" w:rsidR="001751AB" w:rsidRPr="009D11F9" w:rsidRDefault="001751AB" w:rsidP="0025317F">
            <w:pPr>
              <w:spacing w:after="120"/>
              <w:rPr>
                <w:i/>
              </w:rPr>
            </w:pPr>
            <w:r w:rsidRPr="009D11F9">
              <w:rPr>
                <w:i/>
              </w:rPr>
              <w:t>02.09.2010.</w:t>
            </w:r>
          </w:p>
          <w:p w14:paraId="5A6A85FF" w14:textId="4BDFA8A0" w:rsidR="001751AB" w:rsidRPr="009D11F9" w:rsidRDefault="001751AB" w:rsidP="0025317F">
            <w:pPr>
              <w:spacing w:after="120"/>
              <w:rPr>
                <w:i/>
              </w:rPr>
            </w:pPr>
            <w:r w:rsidRPr="009D11F9">
              <w:rPr>
                <w:i/>
              </w:rPr>
              <w:t>(C27208110)</w:t>
            </w:r>
          </w:p>
        </w:tc>
        <w:tc>
          <w:tcPr>
            <w:tcW w:w="2410" w:type="dxa"/>
            <w:shd w:val="clear" w:color="auto" w:fill="E7E6E6" w:themeFill="background2"/>
            <w:vAlign w:val="bottom"/>
          </w:tcPr>
          <w:p w14:paraId="43A38118" w14:textId="60E89ABC" w:rsidR="001751AB" w:rsidRPr="009D11F9" w:rsidRDefault="001751AB" w:rsidP="0025317F">
            <w:pPr>
              <w:spacing w:after="120"/>
              <w:rPr>
                <w:i/>
              </w:rPr>
            </w:pPr>
            <w:r w:rsidRPr="009D11F9">
              <w:rPr>
                <w:i/>
              </w:rPr>
              <w:t>Raimonds Buls</w:t>
            </w:r>
          </w:p>
        </w:tc>
        <w:tc>
          <w:tcPr>
            <w:tcW w:w="3686" w:type="dxa"/>
            <w:shd w:val="clear" w:color="auto" w:fill="E7E6E6" w:themeFill="background2"/>
            <w:vAlign w:val="bottom"/>
          </w:tcPr>
          <w:p w14:paraId="729C606A" w14:textId="433E345D" w:rsidR="001751AB" w:rsidRPr="009D11F9" w:rsidRDefault="001751AB" w:rsidP="0025317F">
            <w:pPr>
              <w:spacing w:after="120"/>
              <w:rPr>
                <w:i/>
              </w:rPr>
            </w:pPr>
            <w:r w:rsidRPr="009D11F9">
              <w:rPr>
                <w:i/>
              </w:rPr>
              <w:t>Manuāla lietu sadale</w:t>
            </w:r>
          </w:p>
        </w:tc>
      </w:tr>
      <w:tr w:rsidR="001751AB" w:rsidRPr="00327DAE" w14:paraId="3AE7B4E3" w14:textId="77777777" w:rsidTr="00327DAE">
        <w:trPr>
          <w:trHeight w:val="416"/>
        </w:trPr>
        <w:tc>
          <w:tcPr>
            <w:tcW w:w="562" w:type="dxa"/>
            <w:vMerge/>
          </w:tcPr>
          <w:p w14:paraId="2EB289D3" w14:textId="77777777"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14:paraId="661337D0" w14:textId="77777777" w:rsidR="001751AB" w:rsidRPr="009D11F9" w:rsidRDefault="001751AB" w:rsidP="0025317F">
            <w:pPr>
              <w:spacing w:after="120"/>
              <w:rPr>
                <w:i/>
              </w:rPr>
            </w:pPr>
            <w:r w:rsidRPr="009D11F9">
              <w:rPr>
                <w:i/>
              </w:rPr>
              <w:t>24.08.2010.</w:t>
            </w:r>
          </w:p>
          <w:p w14:paraId="125E2DE9" w14:textId="6297496C" w:rsidR="001751AB" w:rsidRPr="009D11F9" w:rsidRDefault="001751AB" w:rsidP="0025317F">
            <w:pPr>
              <w:spacing w:after="120"/>
              <w:rPr>
                <w:i/>
              </w:rPr>
            </w:pPr>
            <w:r w:rsidRPr="009D11F9">
              <w:rPr>
                <w:i/>
              </w:rPr>
              <w:t>(C27205910)</w:t>
            </w:r>
          </w:p>
        </w:tc>
        <w:tc>
          <w:tcPr>
            <w:tcW w:w="2410" w:type="dxa"/>
            <w:shd w:val="clear" w:color="auto" w:fill="E7E6E6" w:themeFill="background2"/>
            <w:vAlign w:val="bottom"/>
          </w:tcPr>
          <w:p w14:paraId="4213F758" w14:textId="14C0CC3E" w:rsidR="001751AB" w:rsidRPr="009D11F9" w:rsidRDefault="001751AB" w:rsidP="0025317F">
            <w:pPr>
              <w:spacing w:after="120"/>
              <w:rPr>
                <w:i/>
              </w:rPr>
            </w:pPr>
            <w:r w:rsidRPr="009D11F9">
              <w:rPr>
                <w:i/>
              </w:rPr>
              <w:t>Raimonds Buls</w:t>
            </w:r>
          </w:p>
        </w:tc>
        <w:tc>
          <w:tcPr>
            <w:tcW w:w="3686" w:type="dxa"/>
            <w:shd w:val="clear" w:color="auto" w:fill="E7E6E6" w:themeFill="background2"/>
            <w:vAlign w:val="bottom"/>
          </w:tcPr>
          <w:p w14:paraId="1304D18C" w14:textId="51826014" w:rsidR="001751AB" w:rsidRPr="009D11F9" w:rsidRDefault="001751AB" w:rsidP="0025317F">
            <w:pPr>
              <w:spacing w:after="120"/>
              <w:rPr>
                <w:i/>
              </w:rPr>
            </w:pPr>
            <w:r w:rsidRPr="009D11F9">
              <w:rPr>
                <w:i/>
              </w:rPr>
              <w:t>Manuāla lietu sadale</w:t>
            </w:r>
          </w:p>
        </w:tc>
      </w:tr>
      <w:tr w:rsidR="00A23FB2" w:rsidRPr="00327DAE" w14:paraId="2C2EC84C" w14:textId="77777777" w:rsidTr="00B40DAA">
        <w:trPr>
          <w:trHeight w:val="416"/>
        </w:trPr>
        <w:tc>
          <w:tcPr>
            <w:tcW w:w="562" w:type="dxa"/>
            <w:vMerge/>
          </w:tcPr>
          <w:p w14:paraId="42778F2B" w14:textId="0A510E1E" w:rsidR="00A23FB2" w:rsidRPr="00327DAE" w:rsidRDefault="00A23FB2" w:rsidP="0025317F">
            <w:pPr>
              <w:spacing w:after="120"/>
              <w:rPr>
                <w:sz w:val="24"/>
                <w:szCs w:val="24"/>
              </w:rPr>
            </w:pPr>
          </w:p>
        </w:tc>
        <w:tc>
          <w:tcPr>
            <w:tcW w:w="7797" w:type="dxa"/>
            <w:gridSpan w:val="3"/>
            <w:shd w:val="clear" w:color="auto" w:fill="auto"/>
            <w:noWrap/>
            <w:vAlign w:val="bottom"/>
          </w:tcPr>
          <w:p w14:paraId="7FBC3CA9" w14:textId="77777777" w:rsidR="00A23FB2" w:rsidRPr="00327DAE" w:rsidRDefault="00A23FB2" w:rsidP="0025317F">
            <w:pPr>
              <w:spacing w:after="120"/>
              <w:rPr>
                <w:sz w:val="24"/>
                <w:szCs w:val="24"/>
              </w:rPr>
            </w:pPr>
            <w:r w:rsidRPr="00327DAE">
              <w:rPr>
                <w:sz w:val="24"/>
                <w:szCs w:val="24"/>
              </w:rPr>
              <w:t>Protests par tiesneša pieņemtajiem lēmumiem Augstākajā tiesā nav iesniegts.</w:t>
            </w:r>
          </w:p>
          <w:p w14:paraId="737009A4" w14:textId="43E8F048" w:rsidR="007C521F" w:rsidRPr="00327DAE" w:rsidRDefault="00A23FB2" w:rsidP="0025317F">
            <w:pPr>
              <w:spacing w:after="120"/>
              <w:rPr>
                <w:sz w:val="24"/>
                <w:szCs w:val="24"/>
              </w:rPr>
            </w:pPr>
            <w:r w:rsidRPr="00327DAE">
              <w:rPr>
                <w:sz w:val="24"/>
                <w:szCs w:val="24"/>
              </w:rPr>
              <w:t xml:space="preserve">Šo lietu kontekstā skatāmi arī tiesneša I. Dzeņa spriedums </w:t>
            </w:r>
            <w:r w:rsidR="007C521F" w:rsidRPr="00327DAE">
              <w:rPr>
                <w:sz w:val="24"/>
                <w:szCs w:val="24"/>
              </w:rPr>
              <w:t>un t</w:t>
            </w:r>
            <w:r w:rsidRPr="00327DAE">
              <w:rPr>
                <w:sz w:val="24"/>
                <w:szCs w:val="24"/>
              </w:rPr>
              <w:t>iesneses V. Gailītes lēmumi SIA „Gvano” ĀTAP pieteikuma lietā</w:t>
            </w:r>
            <w:r w:rsidR="007C521F" w:rsidRPr="00327DAE">
              <w:rPr>
                <w:sz w:val="24"/>
                <w:szCs w:val="24"/>
              </w:rPr>
              <w:t>.</w:t>
            </w:r>
            <w:r w:rsidR="003007CA">
              <w:rPr>
                <w:sz w:val="24"/>
                <w:szCs w:val="24"/>
              </w:rPr>
              <w:t xml:space="preserve"> SIA „Gvano” lieta tika izprasīta papildus publikācijā minētajām.</w:t>
            </w:r>
          </w:p>
        </w:tc>
      </w:tr>
      <w:tr w:rsidR="00A23FB2" w:rsidRPr="00327DAE" w14:paraId="7D4B1E76" w14:textId="77777777" w:rsidTr="00B40DAA">
        <w:trPr>
          <w:trHeight w:val="416"/>
        </w:trPr>
        <w:tc>
          <w:tcPr>
            <w:tcW w:w="562" w:type="dxa"/>
            <w:vMerge/>
          </w:tcPr>
          <w:p w14:paraId="19C6DEDB" w14:textId="10EC7D8D" w:rsidR="00A23FB2" w:rsidRPr="00327DAE" w:rsidRDefault="00A23FB2" w:rsidP="0025317F">
            <w:pPr>
              <w:spacing w:after="120"/>
              <w:rPr>
                <w:sz w:val="24"/>
                <w:szCs w:val="24"/>
              </w:rPr>
            </w:pPr>
          </w:p>
        </w:tc>
        <w:tc>
          <w:tcPr>
            <w:tcW w:w="7797" w:type="dxa"/>
            <w:gridSpan w:val="3"/>
            <w:shd w:val="clear" w:color="auto" w:fill="auto"/>
            <w:noWrap/>
            <w:vAlign w:val="bottom"/>
          </w:tcPr>
          <w:p w14:paraId="7D6049D4" w14:textId="77777777" w:rsidR="00A23FB2" w:rsidRPr="00327DAE" w:rsidRDefault="00A23FB2" w:rsidP="0025317F">
            <w:pPr>
              <w:spacing w:after="120"/>
              <w:rPr>
                <w:i/>
                <w:sz w:val="24"/>
                <w:szCs w:val="24"/>
              </w:rPr>
            </w:pPr>
            <w:r w:rsidRPr="00327DAE">
              <w:rPr>
                <w:i/>
                <w:sz w:val="24"/>
                <w:szCs w:val="24"/>
              </w:rPr>
              <w:t>Ekspertu secinājumi</w:t>
            </w:r>
          </w:p>
          <w:p w14:paraId="71FD34C9" w14:textId="7B3CFDAE" w:rsidR="00A23FB2" w:rsidRPr="00327DAE" w:rsidRDefault="00A23FB2" w:rsidP="0025317F">
            <w:pPr>
              <w:spacing w:after="120"/>
              <w:rPr>
                <w:sz w:val="24"/>
                <w:szCs w:val="24"/>
              </w:rPr>
            </w:pPr>
            <w:r w:rsidRPr="00327DAE">
              <w:rPr>
                <w:sz w:val="24"/>
                <w:szCs w:val="24"/>
              </w:rPr>
              <w:t xml:space="preserve">Abos procesos (SIA „Tērbatas biznesa centrs” un SIA „Arts </w:t>
            </w:r>
            <w:proofErr w:type="spellStart"/>
            <w:r w:rsidRPr="00327DAE">
              <w:rPr>
                <w:sz w:val="24"/>
                <w:szCs w:val="24"/>
              </w:rPr>
              <w:t>Plaza</w:t>
            </w:r>
            <w:proofErr w:type="spellEnd"/>
            <w:r w:rsidRPr="00327DAE">
              <w:rPr>
                <w:sz w:val="24"/>
                <w:szCs w:val="24"/>
              </w:rPr>
              <w:t>”) kreditoru prasījumi pret AS „</w:t>
            </w:r>
            <w:proofErr w:type="spellStart"/>
            <w:r w:rsidRPr="00327DAE">
              <w:rPr>
                <w:sz w:val="24"/>
                <w:szCs w:val="24"/>
              </w:rPr>
              <w:t>Swedbank</w:t>
            </w:r>
            <w:proofErr w:type="spellEnd"/>
            <w:r w:rsidRPr="00327DAE">
              <w:rPr>
                <w:sz w:val="24"/>
                <w:szCs w:val="24"/>
              </w:rPr>
              <w:t xml:space="preserve">” bija nodrošināti ar trešās personas – SIA „Gvano” </w:t>
            </w:r>
            <w:r w:rsidR="00403B72">
              <w:rPr>
                <w:sz w:val="24"/>
                <w:szCs w:val="24"/>
              </w:rPr>
              <w:t xml:space="preserve">– </w:t>
            </w:r>
            <w:r w:rsidRPr="00327DAE">
              <w:rPr>
                <w:sz w:val="24"/>
                <w:szCs w:val="24"/>
              </w:rPr>
              <w:t>ķīlu.</w:t>
            </w:r>
          </w:p>
          <w:p w14:paraId="20D26E59" w14:textId="1CC0DED8" w:rsidR="00A23FB2" w:rsidRPr="00E732C1" w:rsidRDefault="00A23FB2" w:rsidP="0025317F">
            <w:pPr>
              <w:shd w:val="clear" w:color="auto" w:fill="FFFFFF" w:themeFill="background1"/>
              <w:spacing w:after="120"/>
              <w:rPr>
                <w:sz w:val="24"/>
                <w:szCs w:val="24"/>
              </w:rPr>
            </w:pPr>
            <w:r w:rsidRPr="00327DAE">
              <w:rPr>
                <w:sz w:val="24"/>
                <w:szCs w:val="24"/>
              </w:rPr>
              <w:t>Vienā lietā prasīta kreditoru prasījumu samazināšana par 80</w:t>
            </w:r>
            <w:r w:rsidR="008405D0">
              <w:rPr>
                <w:sz w:val="24"/>
                <w:szCs w:val="24"/>
              </w:rPr>
              <w:t> </w:t>
            </w:r>
            <w:r w:rsidRPr="00327DAE">
              <w:rPr>
                <w:sz w:val="24"/>
                <w:szCs w:val="24"/>
              </w:rPr>
              <w:t>%, otrā – par 75</w:t>
            </w:r>
            <w:r w:rsidR="008405D0">
              <w:rPr>
                <w:sz w:val="24"/>
                <w:szCs w:val="24"/>
              </w:rPr>
              <w:t> </w:t>
            </w:r>
            <w:r w:rsidRPr="00327DAE">
              <w:rPr>
                <w:sz w:val="24"/>
                <w:szCs w:val="24"/>
              </w:rPr>
              <w:t xml:space="preserve">%. </w:t>
            </w:r>
            <w:r w:rsidRPr="00E732C1">
              <w:rPr>
                <w:sz w:val="24"/>
                <w:szCs w:val="24"/>
              </w:rPr>
              <w:t>Lēmumi par kreditoru prasījumu samazināšanu tika pieņemti atbilstoši tobrīd spēkā esošajai Maksātnespēj</w:t>
            </w:r>
            <w:r w:rsidR="007C521F" w:rsidRPr="00E732C1">
              <w:rPr>
                <w:sz w:val="24"/>
                <w:szCs w:val="24"/>
              </w:rPr>
              <w:t>as likumā noteiktajai kārtībai.</w:t>
            </w:r>
          </w:p>
          <w:p w14:paraId="7939BEB3" w14:textId="5D636C5D" w:rsidR="007C521F" w:rsidRPr="00E732C1" w:rsidRDefault="007C521F" w:rsidP="0025317F">
            <w:pPr>
              <w:shd w:val="clear" w:color="auto" w:fill="FFFFFF" w:themeFill="background1"/>
              <w:spacing w:after="120"/>
              <w:rPr>
                <w:sz w:val="24"/>
                <w:szCs w:val="24"/>
              </w:rPr>
            </w:pPr>
            <w:r w:rsidRPr="00E732C1">
              <w:rPr>
                <w:sz w:val="24"/>
                <w:szCs w:val="24"/>
              </w:rPr>
              <w:t>Strīdīgs ir jautājums par t</w:t>
            </w:r>
            <w:r w:rsidR="00A917EC">
              <w:rPr>
                <w:sz w:val="24"/>
                <w:szCs w:val="24"/>
              </w:rPr>
              <w:t>o, vai AS „</w:t>
            </w:r>
            <w:proofErr w:type="spellStart"/>
            <w:r w:rsidR="00A917EC">
              <w:rPr>
                <w:sz w:val="24"/>
                <w:szCs w:val="24"/>
              </w:rPr>
              <w:t>Swedbank</w:t>
            </w:r>
            <w:proofErr w:type="spellEnd"/>
            <w:r w:rsidR="00A917EC">
              <w:rPr>
                <w:sz w:val="24"/>
                <w:szCs w:val="24"/>
              </w:rPr>
              <w:t xml:space="preserve">” </w:t>
            </w:r>
            <w:r w:rsidRPr="00E732C1">
              <w:rPr>
                <w:sz w:val="24"/>
                <w:szCs w:val="24"/>
              </w:rPr>
              <w:t>bija nodrošinātais vai nenodrošinātais kreditors, par to ekspertu domas dalās. Jānorāda, ka parādnieks un administrators pieteikumā bija norādījuši, ka AS „</w:t>
            </w:r>
            <w:proofErr w:type="spellStart"/>
            <w:r w:rsidRPr="00E732C1">
              <w:rPr>
                <w:sz w:val="24"/>
                <w:szCs w:val="24"/>
              </w:rPr>
              <w:t>Swedbank</w:t>
            </w:r>
            <w:proofErr w:type="spellEnd"/>
            <w:r w:rsidRPr="00E732C1">
              <w:rPr>
                <w:sz w:val="24"/>
                <w:szCs w:val="24"/>
              </w:rPr>
              <w:t>” ir nenodrošinātais kreditors, un par pretējo uz ĀTAP lēmuma brīdi lietā ziņu nebija, un tādēļ tiesnesim tas nevarēja būt zināms. Šīs ziņas lietā parādījās divus gadus vēlāk, un, skatot šo jautājumu, tiesnesis pieturējās pie koncepcijas, ka šādā situācijā AS „</w:t>
            </w:r>
            <w:proofErr w:type="spellStart"/>
            <w:r w:rsidRPr="00E732C1">
              <w:rPr>
                <w:sz w:val="24"/>
                <w:szCs w:val="24"/>
              </w:rPr>
              <w:t>Swedbank</w:t>
            </w:r>
            <w:proofErr w:type="spellEnd"/>
            <w:r w:rsidRPr="00E732C1">
              <w:rPr>
                <w:sz w:val="24"/>
                <w:szCs w:val="24"/>
              </w:rPr>
              <w:t>” nav uzskatāma par nodrošināto kreditoru, to motivējot. Prakse trešās personas ķīlas</w:t>
            </w:r>
            <w:r w:rsidR="00E81FE0">
              <w:rPr>
                <w:sz w:val="24"/>
                <w:szCs w:val="24"/>
              </w:rPr>
              <w:t xml:space="preserve"> jeb t.s. „trijstūra” </w:t>
            </w:r>
            <w:r w:rsidRPr="00E732C1">
              <w:rPr>
                <w:sz w:val="24"/>
                <w:szCs w:val="24"/>
              </w:rPr>
              <w:t xml:space="preserve">jautājumā tobrīd bija dažāda, un tas tika atrisināts ar Maksātnespējas likuma 2014. gada grozījumiem 7. pantā, </w:t>
            </w:r>
            <w:r w:rsidR="00E81FE0">
              <w:rPr>
                <w:sz w:val="24"/>
                <w:szCs w:val="24"/>
              </w:rPr>
              <w:t xml:space="preserve">apstiprinot </w:t>
            </w:r>
            <w:r w:rsidRPr="00E732C1">
              <w:rPr>
                <w:sz w:val="24"/>
                <w:szCs w:val="24"/>
              </w:rPr>
              <w:t xml:space="preserve">to nenodrošinātā kreditora koncepciju, kuru pārstāvēja tiesnesis R. Buls. </w:t>
            </w:r>
          </w:p>
          <w:p w14:paraId="3755C54D" w14:textId="769B9A77" w:rsidR="007C521F" w:rsidRPr="00327DAE" w:rsidRDefault="007C521F" w:rsidP="0025317F">
            <w:pPr>
              <w:shd w:val="clear" w:color="auto" w:fill="FFFFFF" w:themeFill="background1"/>
              <w:spacing w:after="120"/>
              <w:rPr>
                <w:sz w:val="24"/>
                <w:szCs w:val="24"/>
              </w:rPr>
            </w:pPr>
            <w:r w:rsidRPr="00E732C1">
              <w:rPr>
                <w:sz w:val="24"/>
                <w:szCs w:val="24"/>
              </w:rPr>
              <w:t>Tas, vai AS „</w:t>
            </w:r>
            <w:proofErr w:type="spellStart"/>
            <w:r w:rsidRPr="00E732C1">
              <w:rPr>
                <w:sz w:val="24"/>
                <w:szCs w:val="24"/>
              </w:rPr>
              <w:t>Swedbank</w:t>
            </w:r>
            <w:proofErr w:type="spellEnd"/>
            <w:r w:rsidRPr="00E732C1">
              <w:rPr>
                <w:sz w:val="24"/>
                <w:szCs w:val="24"/>
              </w:rPr>
              <w:t xml:space="preserve">” stāvoklis pasliktinājās ar prasījuma tiesību samazināšanu pret galvenajiem parādniekiem, ņemot vērā, ka bija vēl trešās personas ķīla, tolaik bija strīdīgs tiesību jautājums. Tas tika atrisināts par labu ķīlas kreditoriem ar spriedumu SIA „Gvano” lietā (SPC-27/2014), kurš mainīja praksi Maksātnespējas likuma normu piemērošanā Civillikuma 1278. un </w:t>
            </w:r>
            <w:r w:rsidRPr="00E732C1">
              <w:rPr>
                <w:sz w:val="24"/>
                <w:szCs w:val="24"/>
              </w:rPr>
              <w:lastRenderedPageBreak/>
              <w:t>1309. panta kontekstā.</w:t>
            </w:r>
          </w:p>
          <w:p w14:paraId="1A9FBE10" w14:textId="4FB0D393" w:rsidR="007C521F" w:rsidRPr="00327DAE" w:rsidRDefault="003007CA" w:rsidP="0025317F">
            <w:pPr>
              <w:spacing w:after="120"/>
              <w:rPr>
                <w:sz w:val="24"/>
                <w:szCs w:val="24"/>
              </w:rPr>
            </w:pPr>
            <w:r>
              <w:rPr>
                <w:sz w:val="24"/>
                <w:szCs w:val="24"/>
              </w:rPr>
              <w:t>Savukārt „</w:t>
            </w:r>
            <w:r w:rsidR="007C521F" w:rsidRPr="00327DAE">
              <w:rPr>
                <w:sz w:val="24"/>
                <w:szCs w:val="24"/>
              </w:rPr>
              <w:t>Gvano” lietā lēmumu nav pieņēmis tiesnesis R. Buls. Minētajā lietā pirmās instances tiesas spriedums atbilst tālaika judikatūrai (SPC-22/2013), kuru mainīja Augstākās tiesas paplašinātā sastāvā taisīts spriedums lietā SPC</w:t>
            </w:r>
            <w:r w:rsidR="007C521F" w:rsidRPr="00327DAE">
              <w:rPr>
                <w:sz w:val="24"/>
                <w:szCs w:val="24"/>
              </w:rPr>
              <w:noBreakHyphen/>
              <w:t>27/2014.</w:t>
            </w:r>
          </w:p>
        </w:tc>
      </w:tr>
      <w:tr w:rsidR="00A23FB2" w:rsidRPr="00327DAE" w14:paraId="67C3CC24" w14:textId="77777777" w:rsidTr="00B40DAA">
        <w:trPr>
          <w:trHeight w:val="416"/>
        </w:trPr>
        <w:tc>
          <w:tcPr>
            <w:tcW w:w="562" w:type="dxa"/>
          </w:tcPr>
          <w:p w14:paraId="45DC8CFA" w14:textId="7BE41D02" w:rsidR="00A23FB2" w:rsidRPr="00327DAE" w:rsidRDefault="00A23FB2" w:rsidP="0025317F">
            <w:pPr>
              <w:spacing w:after="120"/>
              <w:rPr>
                <w:sz w:val="24"/>
                <w:szCs w:val="24"/>
              </w:rPr>
            </w:pPr>
          </w:p>
        </w:tc>
        <w:tc>
          <w:tcPr>
            <w:tcW w:w="7797" w:type="dxa"/>
            <w:gridSpan w:val="3"/>
            <w:shd w:val="clear" w:color="auto" w:fill="auto"/>
            <w:noWrap/>
            <w:vAlign w:val="bottom"/>
          </w:tcPr>
          <w:p w14:paraId="39193341" w14:textId="57220637" w:rsidR="00A23FB2" w:rsidRPr="00327DAE" w:rsidRDefault="00A23FB2"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 xml:space="preserve">Torgāna </w:t>
            </w:r>
            <w:r w:rsidR="00466B17" w:rsidRPr="00327DAE">
              <w:rPr>
                <w:i/>
                <w:sz w:val="24"/>
                <w:szCs w:val="24"/>
              </w:rPr>
              <w:t>atsevišķie secinājumi</w:t>
            </w:r>
            <w:r w:rsidRPr="00327DAE">
              <w:rPr>
                <w:i/>
                <w:sz w:val="24"/>
                <w:szCs w:val="24"/>
              </w:rPr>
              <w:t xml:space="preserve"> </w:t>
            </w:r>
          </w:p>
          <w:p w14:paraId="16D015B0" w14:textId="48FF5BD2" w:rsidR="00A23FB2" w:rsidRPr="00E732C1" w:rsidRDefault="00A23FB2" w:rsidP="0025317F">
            <w:pPr>
              <w:shd w:val="clear" w:color="auto" w:fill="FFFFFF" w:themeFill="background1"/>
              <w:spacing w:after="120"/>
              <w:rPr>
                <w:sz w:val="24"/>
                <w:szCs w:val="24"/>
              </w:rPr>
            </w:pPr>
            <w:r w:rsidRPr="00327DAE">
              <w:rPr>
                <w:sz w:val="24"/>
                <w:szCs w:val="24"/>
              </w:rPr>
              <w:t xml:space="preserve">Tiesneša divi lēmumi, ar kuriem apstiprināti SIA „Arts </w:t>
            </w:r>
            <w:proofErr w:type="spellStart"/>
            <w:r w:rsidRPr="00327DAE">
              <w:rPr>
                <w:sz w:val="24"/>
                <w:szCs w:val="24"/>
              </w:rPr>
              <w:t>Plaza</w:t>
            </w:r>
            <w:proofErr w:type="spellEnd"/>
            <w:r w:rsidRPr="00327DAE">
              <w:rPr>
                <w:sz w:val="24"/>
                <w:szCs w:val="24"/>
              </w:rPr>
              <w:t xml:space="preserve">” un SIA „Tērbatas biznesa centrs” ĀTAP iezīmēja sākumu lielas shēmas īstenošanai, kas kopā ar SIA „Gvano” ĀTAP bija vērstas uz </w:t>
            </w:r>
            <w:r w:rsidR="00403B72">
              <w:rPr>
                <w:sz w:val="24"/>
                <w:szCs w:val="24"/>
              </w:rPr>
              <w:t>“</w:t>
            </w:r>
            <w:proofErr w:type="spellStart"/>
            <w:r w:rsidRPr="00327DAE">
              <w:rPr>
                <w:sz w:val="24"/>
                <w:szCs w:val="24"/>
              </w:rPr>
              <w:t>Swedbank</w:t>
            </w:r>
            <w:proofErr w:type="spellEnd"/>
            <w:r w:rsidR="00403B72">
              <w:rPr>
                <w:sz w:val="24"/>
                <w:szCs w:val="24"/>
              </w:rPr>
              <w:t>”</w:t>
            </w:r>
            <w:r w:rsidRPr="00327DAE">
              <w:rPr>
                <w:sz w:val="24"/>
                <w:szCs w:val="24"/>
              </w:rPr>
              <w:t xml:space="preserve"> kā kreditora prasījumu dzēšanu 75 un 80 % apmērā un </w:t>
            </w:r>
            <w:r w:rsidRPr="00E732C1">
              <w:rPr>
                <w:sz w:val="24"/>
                <w:szCs w:val="24"/>
              </w:rPr>
              <w:t>piedziņas vēršanas uz vērtīgiem nekustamiem īpašumiem Rīgā iespējas izslēgšanu. Skaidrību par shēmas prettiesiskumu deva Augstākās tiesas paplašinātā sastāva spriedums lietā Nr. SPC-27/2014 un blakus lēmums, kas nosūtīts Ģenerālprokuratūrai. Ekspertu uzdevums bija vērtēt, vai prettiesiski bija shēmas īstenošanas sākuma nolēmumi, kas taisīti Rīgas Centra rajona tiesā.</w:t>
            </w:r>
            <w:r w:rsidR="00C87FE0" w:rsidRPr="00E732C1">
              <w:rPr>
                <w:sz w:val="24"/>
                <w:szCs w:val="24"/>
              </w:rPr>
              <w:t xml:space="preserve"> Tiesnesim </w:t>
            </w:r>
            <w:r w:rsidR="00A77BA8">
              <w:rPr>
                <w:sz w:val="24"/>
                <w:szCs w:val="24"/>
              </w:rPr>
              <w:t>R. </w:t>
            </w:r>
            <w:r w:rsidR="00C87FE0" w:rsidRPr="00E732C1">
              <w:rPr>
                <w:sz w:val="24"/>
                <w:szCs w:val="24"/>
              </w:rPr>
              <w:t>Bulam ir pārmetam</w:t>
            </w:r>
            <w:r w:rsidR="000F03B6" w:rsidRPr="00E732C1">
              <w:rPr>
                <w:sz w:val="24"/>
                <w:szCs w:val="24"/>
              </w:rPr>
              <w:t>s tas, ka</w:t>
            </w:r>
            <w:r w:rsidR="00271279" w:rsidRPr="00E732C1">
              <w:rPr>
                <w:sz w:val="24"/>
                <w:szCs w:val="24"/>
              </w:rPr>
              <w:t>, pirmkārt,</w:t>
            </w:r>
            <w:r w:rsidR="000F03B6" w:rsidRPr="00E732C1">
              <w:rPr>
                <w:sz w:val="24"/>
                <w:szCs w:val="24"/>
              </w:rPr>
              <w:t xml:space="preserve"> viņš pēc </w:t>
            </w:r>
            <w:r w:rsidR="00271279" w:rsidRPr="00E732C1">
              <w:rPr>
                <w:sz w:val="24"/>
                <w:szCs w:val="24"/>
              </w:rPr>
              <w:t xml:space="preserve">uz likuma citējumiem balstīta </w:t>
            </w:r>
            <w:r w:rsidR="000F03B6" w:rsidRPr="00E732C1">
              <w:rPr>
                <w:sz w:val="24"/>
                <w:szCs w:val="24"/>
              </w:rPr>
              <w:t>lēmuma nav paanalizējis pielikumā apstiprināmo ĀTAP, kas</w:t>
            </w:r>
            <w:r w:rsidR="00403B72">
              <w:rPr>
                <w:sz w:val="24"/>
                <w:szCs w:val="24"/>
              </w:rPr>
              <w:t>,</w:t>
            </w:r>
            <w:r w:rsidR="000F03B6" w:rsidRPr="00E732C1">
              <w:rPr>
                <w:sz w:val="24"/>
                <w:szCs w:val="24"/>
              </w:rPr>
              <w:t xml:space="preserve"> ignorējot ķīlas</w:t>
            </w:r>
            <w:r w:rsidR="00403B72">
              <w:rPr>
                <w:sz w:val="24"/>
                <w:szCs w:val="24"/>
              </w:rPr>
              <w:t>,</w:t>
            </w:r>
            <w:r w:rsidR="00BB0F30" w:rsidRPr="00E732C1">
              <w:rPr>
                <w:sz w:val="24"/>
                <w:szCs w:val="24"/>
              </w:rPr>
              <w:t xml:space="preserve"> samazina bankas prasījumus (kurš </w:t>
            </w:r>
            <w:r w:rsidR="00271279" w:rsidRPr="00E732C1">
              <w:rPr>
                <w:sz w:val="24"/>
                <w:szCs w:val="24"/>
              </w:rPr>
              <w:t xml:space="preserve">gan  vēl </w:t>
            </w:r>
            <w:r w:rsidR="00BB0F30" w:rsidRPr="00E732C1">
              <w:rPr>
                <w:sz w:val="24"/>
                <w:szCs w:val="24"/>
              </w:rPr>
              <w:t>rēķināsies ar ķīlu, ja tiesa apstiprinājusi, ka 75 un  80% nav jāmaksā!</w:t>
            </w:r>
            <w:r w:rsidR="00403B72">
              <w:rPr>
                <w:sz w:val="24"/>
                <w:szCs w:val="24"/>
              </w:rPr>
              <w:t>).</w:t>
            </w:r>
            <w:r w:rsidR="00BB0F30" w:rsidRPr="00E732C1">
              <w:rPr>
                <w:sz w:val="24"/>
                <w:szCs w:val="24"/>
              </w:rPr>
              <w:t xml:space="preserve">  Otrkārt, ir jābūt </w:t>
            </w:r>
            <w:proofErr w:type="spellStart"/>
            <w:r w:rsidR="00BB0F30" w:rsidRPr="00E732C1">
              <w:rPr>
                <w:sz w:val="24"/>
                <w:szCs w:val="24"/>
              </w:rPr>
              <w:t>supernaivam</w:t>
            </w:r>
            <w:proofErr w:type="spellEnd"/>
            <w:r w:rsidR="00BB0F30" w:rsidRPr="00E732C1">
              <w:rPr>
                <w:sz w:val="24"/>
                <w:szCs w:val="24"/>
              </w:rPr>
              <w:t xml:space="preserve"> tiesnesim, lai pieņemtu, ka banka izsniedz aizdevumus vairāku miljonu apmērā, nesaņemot nodrošinājumus</w:t>
            </w:r>
            <w:r w:rsidR="00B561F9" w:rsidRPr="00E732C1">
              <w:rPr>
                <w:sz w:val="24"/>
                <w:szCs w:val="24"/>
              </w:rPr>
              <w:t>.</w:t>
            </w:r>
          </w:p>
          <w:p w14:paraId="7C15B4BE" w14:textId="717648EE" w:rsidR="00A23FB2" w:rsidRPr="00327DAE" w:rsidRDefault="00A23FB2" w:rsidP="00AC4D98">
            <w:pPr>
              <w:spacing w:after="120"/>
              <w:rPr>
                <w:sz w:val="24"/>
                <w:szCs w:val="24"/>
              </w:rPr>
            </w:pPr>
            <w:r w:rsidRPr="00E732C1">
              <w:rPr>
                <w:sz w:val="24"/>
                <w:szCs w:val="24"/>
              </w:rPr>
              <w:t>Divos tiesneša R. Bula lēmumos, kas taisīti ar nedēļas atstarpi, pēc Maksātnespējas likuma 461. panta piecu nosacījumu citējuma teikts, ka tiesai ir pienākums pieņemt lēmumu par ĀTAP, ja ar ticamiem pierādījumiem ir konstatēta Maksātnespējas likuma 46.</w:t>
            </w:r>
            <w:r w:rsidRPr="00E732C1">
              <w:rPr>
                <w:sz w:val="24"/>
                <w:szCs w:val="24"/>
                <w:vertAlign w:val="superscript"/>
              </w:rPr>
              <w:t>1</w:t>
            </w:r>
            <w:r w:rsidRPr="00E732C1">
              <w:rPr>
                <w:sz w:val="24"/>
                <w:szCs w:val="24"/>
              </w:rPr>
              <w:t xml:space="preserve"> panta pirmajā daļā </w:t>
            </w:r>
            <w:r w:rsidR="00403B72" w:rsidRPr="00E732C1">
              <w:rPr>
                <w:sz w:val="24"/>
                <w:szCs w:val="24"/>
              </w:rPr>
              <w:t>minēt</w:t>
            </w:r>
            <w:r w:rsidR="00403B72">
              <w:rPr>
                <w:sz w:val="24"/>
                <w:szCs w:val="24"/>
              </w:rPr>
              <w:t>o</w:t>
            </w:r>
            <w:r w:rsidR="00403B72" w:rsidRPr="00E732C1">
              <w:rPr>
                <w:sz w:val="24"/>
                <w:szCs w:val="24"/>
              </w:rPr>
              <w:t xml:space="preserve"> </w:t>
            </w:r>
            <w:r w:rsidRPr="00E732C1">
              <w:rPr>
                <w:sz w:val="24"/>
                <w:szCs w:val="24"/>
              </w:rPr>
              <w:t>nosacījumu esība un ka panta prasības nav plašāk tulkojamas</w:t>
            </w:r>
            <w:r w:rsidRPr="00327DAE">
              <w:rPr>
                <w:sz w:val="24"/>
                <w:szCs w:val="24"/>
              </w:rPr>
              <w:t xml:space="preserve">. Turpinājumā norādīta arī 463. panta prasība, lai ārpustiesas tiesiskās aizsardzības procesa pasākumu plāns nodrošinātu, ka plānu nesaskaņojušo kreditoru ieguvums no tiesiskās aizsardzības procesa īstenošanas ir vismaz tikpat liels kā gadījumā, ja tiesiskās aizsardzības procesa pasākumu plāna apstiprināšanas brīdī komercsabiedrībai pasludinātu maksātnespējas procesu un uzsāktu bankrota procedūru. Plānā norādīto pamatojumu tiesai neesot pamata apšaubīt, jo arī administratore savā atzinumā to apgalvojusi (abās lietās ir viena un tā pati administratore). Pretēji tam no tiesas apstiprinātā plāna bija skaidri noprotams, ka kreditora </w:t>
            </w:r>
            <w:r w:rsidR="00AC4D98">
              <w:rPr>
                <w:sz w:val="24"/>
                <w:szCs w:val="24"/>
              </w:rPr>
              <w:t>„</w:t>
            </w:r>
            <w:proofErr w:type="spellStart"/>
            <w:r w:rsidRPr="00327DAE">
              <w:rPr>
                <w:sz w:val="24"/>
                <w:szCs w:val="24"/>
              </w:rPr>
              <w:t>Swedbank</w:t>
            </w:r>
            <w:proofErr w:type="spellEnd"/>
            <w:r w:rsidR="00403B72">
              <w:rPr>
                <w:sz w:val="24"/>
                <w:szCs w:val="24"/>
              </w:rPr>
              <w:t>”</w:t>
            </w:r>
            <w:r w:rsidRPr="00327DAE">
              <w:rPr>
                <w:sz w:val="24"/>
                <w:szCs w:val="24"/>
              </w:rPr>
              <w:t xml:space="preserve"> ieguvums būs par vairākiem miljoniem </w:t>
            </w:r>
            <w:proofErr w:type="spellStart"/>
            <w:r w:rsidRPr="00327DAE">
              <w:rPr>
                <w:i/>
                <w:sz w:val="24"/>
                <w:szCs w:val="24"/>
              </w:rPr>
              <w:t>euro</w:t>
            </w:r>
            <w:proofErr w:type="spellEnd"/>
            <w:r w:rsidRPr="00327DAE">
              <w:rPr>
                <w:sz w:val="24"/>
                <w:szCs w:val="24"/>
              </w:rPr>
              <w:t xml:space="preserve"> mazāks. Spriedumi bija sastādīti </w:t>
            </w:r>
            <w:r w:rsidR="00271279" w:rsidRPr="00327DAE">
              <w:rPr>
                <w:sz w:val="24"/>
                <w:szCs w:val="24"/>
              </w:rPr>
              <w:t>bez faktu izklāsta</w:t>
            </w:r>
            <w:r w:rsidRPr="00327DAE">
              <w:rPr>
                <w:sz w:val="24"/>
                <w:szCs w:val="24"/>
              </w:rPr>
              <w:t xml:space="preserve">, bet ar tiem </w:t>
            </w:r>
            <w:r w:rsidRPr="00E27399">
              <w:rPr>
                <w:sz w:val="24"/>
                <w:szCs w:val="24"/>
                <w:shd w:val="clear" w:color="auto" w:fill="FFFFFF" w:themeFill="background1"/>
              </w:rPr>
              <w:t>apstiprinātie divi ĀTAP plāni nepavisam neatbilda Maksātnespējas likuma 33. 37. un 46.</w:t>
            </w:r>
            <w:r w:rsidRPr="00E27399">
              <w:rPr>
                <w:sz w:val="24"/>
                <w:szCs w:val="24"/>
                <w:shd w:val="clear" w:color="auto" w:fill="FFFFFF" w:themeFill="background1"/>
                <w:vertAlign w:val="superscript"/>
              </w:rPr>
              <w:t>1</w:t>
            </w:r>
            <w:r w:rsidRPr="00E27399">
              <w:rPr>
                <w:sz w:val="24"/>
                <w:szCs w:val="24"/>
                <w:shd w:val="clear" w:color="auto" w:fill="FFFFFF" w:themeFill="background1"/>
              </w:rPr>
              <w:t> panta noteikumiem, kā arī Civilprocesa likuma 348.</w:t>
            </w:r>
            <w:r w:rsidRPr="00E27399">
              <w:rPr>
                <w:sz w:val="24"/>
                <w:szCs w:val="24"/>
                <w:shd w:val="clear" w:color="auto" w:fill="FFFFFF" w:themeFill="background1"/>
                <w:vertAlign w:val="superscript"/>
              </w:rPr>
              <w:t>1</w:t>
            </w:r>
            <w:r w:rsidRPr="00E27399">
              <w:rPr>
                <w:sz w:val="24"/>
                <w:szCs w:val="24"/>
                <w:shd w:val="clear" w:color="auto" w:fill="FFFFFF" w:themeFill="background1"/>
              </w:rPr>
              <w:t xml:space="preserve"> panta trešās daļas prasībām. </w:t>
            </w:r>
            <w:r w:rsidRPr="00932183">
              <w:rPr>
                <w:sz w:val="24"/>
                <w:szCs w:val="24"/>
                <w:shd w:val="clear" w:color="auto" w:fill="FFFFFF" w:themeFill="background1"/>
              </w:rPr>
              <w:t>Plān</w:t>
            </w:r>
            <w:r w:rsidR="00932183" w:rsidRPr="00932183">
              <w:rPr>
                <w:sz w:val="24"/>
                <w:szCs w:val="24"/>
                <w:shd w:val="clear" w:color="auto" w:fill="FFFFFF" w:themeFill="background1"/>
              </w:rPr>
              <w:t xml:space="preserve">s tika apstiprināts, </w:t>
            </w:r>
            <w:r w:rsidRPr="00932183">
              <w:rPr>
                <w:sz w:val="24"/>
                <w:szCs w:val="24"/>
                <w:shd w:val="clear" w:color="auto" w:fill="FFFFFF" w:themeFill="background1"/>
              </w:rPr>
              <w:t>vien</w:t>
            </w:r>
            <w:r w:rsidR="00932183" w:rsidRPr="00932183">
              <w:rPr>
                <w:sz w:val="24"/>
                <w:szCs w:val="24"/>
                <w:shd w:val="clear" w:color="auto" w:fill="FFFFFF" w:themeFill="background1"/>
              </w:rPr>
              <w:t>am</w:t>
            </w:r>
            <w:r w:rsidRPr="00932183">
              <w:rPr>
                <w:sz w:val="24"/>
                <w:szCs w:val="24"/>
                <w:shd w:val="clear" w:color="auto" w:fill="FFFFFF" w:themeFill="background1"/>
              </w:rPr>
              <w:t xml:space="preserve"> kreditor</w:t>
            </w:r>
            <w:r w:rsidR="00932183" w:rsidRPr="00932183">
              <w:rPr>
                <w:sz w:val="24"/>
                <w:szCs w:val="24"/>
                <w:shd w:val="clear" w:color="auto" w:fill="FFFFFF" w:themeFill="background1"/>
              </w:rPr>
              <w:t>am zaudējot</w:t>
            </w:r>
            <w:r w:rsidRPr="00932183">
              <w:rPr>
                <w:sz w:val="24"/>
                <w:szCs w:val="24"/>
                <w:shd w:val="clear" w:color="auto" w:fill="FFFFFF" w:themeFill="background1"/>
              </w:rPr>
              <w:t xml:space="preserve"> vairākus miljonus LVL/EUR</w:t>
            </w:r>
            <w:r w:rsidR="00932183">
              <w:rPr>
                <w:sz w:val="24"/>
                <w:szCs w:val="24"/>
                <w:shd w:val="clear" w:color="auto" w:fill="FFFFFF" w:themeFill="background1"/>
              </w:rPr>
              <w:t>.</w:t>
            </w:r>
            <w:r w:rsidR="005E6D26" w:rsidRPr="00932183">
              <w:rPr>
                <w:sz w:val="24"/>
                <w:szCs w:val="24"/>
                <w:shd w:val="clear" w:color="auto" w:fill="FFFFFF" w:themeFill="background1"/>
              </w:rPr>
              <w:t xml:space="preserve"> </w:t>
            </w:r>
            <w:r w:rsidR="00932183">
              <w:rPr>
                <w:sz w:val="24"/>
                <w:szCs w:val="24"/>
                <w:shd w:val="clear" w:color="auto" w:fill="FFFFFF" w:themeFill="background1"/>
              </w:rPr>
              <w:t>L</w:t>
            </w:r>
            <w:r w:rsidR="00403B72" w:rsidRPr="00932183">
              <w:rPr>
                <w:sz w:val="24"/>
                <w:szCs w:val="24"/>
                <w:shd w:val="clear" w:color="auto" w:fill="FFFFFF" w:themeFill="background1"/>
              </w:rPr>
              <w:t xml:space="preserve">ikuma </w:t>
            </w:r>
            <w:r w:rsidR="005E6D26" w:rsidRPr="00932183">
              <w:rPr>
                <w:sz w:val="24"/>
                <w:szCs w:val="24"/>
                <w:shd w:val="clear" w:color="auto" w:fill="FFFFFF" w:themeFill="background1"/>
              </w:rPr>
              <w:t>burts atļāva nenodrošināto kreditoru prasījumu samazināšanu pret viņu gribu (</w:t>
            </w:r>
            <w:r w:rsidR="00E27399" w:rsidRPr="00932183">
              <w:rPr>
                <w:i/>
                <w:sz w:val="24"/>
                <w:szCs w:val="24"/>
                <w:shd w:val="clear" w:color="auto" w:fill="FFFFFF" w:themeFill="background1"/>
              </w:rPr>
              <w:t>Maksātnespējas likuma 40. panta pirmā daļa</w:t>
            </w:r>
            <w:r w:rsidR="005E6D26" w:rsidRPr="00932183">
              <w:rPr>
                <w:sz w:val="24"/>
                <w:szCs w:val="24"/>
                <w:shd w:val="clear" w:color="auto" w:fill="FFFFFF" w:themeFill="background1"/>
              </w:rPr>
              <w:t xml:space="preserve">). To trīs gadus vēlāk mainīja AT spriedums </w:t>
            </w:r>
            <w:r w:rsidR="001B1DFE" w:rsidRPr="00932183">
              <w:rPr>
                <w:sz w:val="24"/>
                <w:szCs w:val="24"/>
                <w:shd w:val="clear" w:color="auto" w:fill="FFFFFF" w:themeFill="background1"/>
              </w:rPr>
              <w:t>Nr. </w:t>
            </w:r>
            <w:r w:rsidR="005E6D26" w:rsidRPr="00932183">
              <w:rPr>
                <w:sz w:val="24"/>
                <w:szCs w:val="24"/>
                <w:shd w:val="clear" w:color="auto" w:fill="FFFFFF" w:themeFill="background1"/>
              </w:rPr>
              <w:t>SPC-27/2014.</w:t>
            </w:r>
            <w:r w:rsidRPr="00932183">
              <w:rPr>
                <w:sz w:val="24"/>
                <w:szCs w:val="24"/>
                <w:shd w:val="clear" w:color="auto" w:fill="FFFFFF" w:themeFill="background1"/>
              </w:rPr>
              <w:t xml:space="preserve"> nevar attaisnot ar dažās citās lietās parādījušos koncepciju, saskaņā ar kuru kreditors nav</w:t>
            </w:r>
            <w:r w:rsidRPr="00E27399">
              <w:rPr>
                <w:sz w:val="24"/>
                <w:szCs w:val="24"/>
                <w:shd w:val="clear" w:color="auto" w:fill="FFFFFF" w:themeFill="background1"/>
              </w:rPr>
              <w:t xml:space="preserve"> nodrošinātais kreditors, ja nodrošinājumu (hipotēku) devusi trešā persona, ko nevarēja uzskatīt par Augstākā</w:t>
            </w:r>
            <w:r w:rsidR="001B1DFE">
              <w:rPr>
                <w:sz w:val="24"/>
                <w:szCs w:val="24"/>
                <w:shd w:val="clear" w:color="auto" w:fill="FFFFFF" w:themeFill="background1"/>
              </w:rPr>
              <w:t>s</w:t>
            </w:r>
            <w:r w:rsidRPr="00E27399">
              <w:rPr>
                <w:sz w:val="24"/>
                <w:szCs w:val="24"/>
                <w:shd w:val="clear" w:color="auto" w:fill="FFFFFF" w:themeFill="background1"/>
              </w:rPr>
              <w:t xml:space="preserve"> tiesa</w:t>
            </w:r>
            <w:r w:rsidR="001B1DFE">
              <w:rPr>
                <w:sz w:val="24"/>
                <w:szCs w:val="24"/>
                <w:shd w:val="clear" w:color="auto" w:fill="FFFFFF" w:themeFill="background1"/>
              </w:rPr>
              <w:t>s</w:t>
            </w:r>
            <w:r w:rsidRPr="00E27399">
              <w:rPr>
                <w:sz w:val="24"/>
                <w:szCs w:val="24"/>
                <w:shd w:val="clear" w:color="auto" w:fill="FFFFFF" w:themeFill="background1"/>
              </w:rPr>
              <w:t xml:space="preserve"> akceptētu judikatūru un kas noteikti bija pretrunā ar Maksātnespējas likumā doto nodrošinātā kreditora </w:t>
            </w:r>
            <w:proofErr w:type="spellStart"/>
            <w:r w:rsidR="00F97495" w:rsidRPr="00E27399">
              <w:rPr>
                <w:sz w:val="24"/>
                <w:szCs w:val="24"/>
                <w:shd w:val="clear" w:color="auto" w:fill="FFFFFF" w:themeFill="background1"/>
              </w:rPr>
              <w:t>bezatrunu</w:t>
            </w:r>
            <w:proofErr w:type="spellEnd"/>
            <w:r w:rsidR="00F97495" w:rsidRPr="00E27399">
              <w:rPr>
                <w:sz w:val="24"/>
                <w:szCs w:val="24"/>
                <w:shd w:val="clear" w:color="auto" w:fill="FFFFFF" w:themeFill="background1"/>
              </w:rPr>
              <w:t xml:space="preserve"> </w:t>
            </w:r>
            <w:r w:rsidRPr="00E27399">
              <w:rPr>
                <w:sz w:val="24"/>
                <w:szCs w:val="24"/>
                <w:shd w:val="clear" w:color="auto" w:fill="FFFFFF" w:themeFill="background1"/>
              </w:rPr>
              <w:t>definīciju</w:t>
            </w:r>
            <w:r w:rsidR="001B1DFE">
              <w:rPr>
                <w:sz w:val="24"/>
                <w:szCs w:val="24"/>
                <w:shd w:val="clear" w:color="auto" w:fill="FFFFFF" w:themeFill="background1"/>
              </w:rPr>
              <w:t xml:space="preserve">. </w:t>
            </w:r>
            <w:r w:rsidR="00ED6C52" w:rsidRPr="00E27399">
              <w:rPr>
                <w:sz w:val="24"/>
                <w:szCs w:val="24"/>
                <w:shd w:val="clear" w:color="auto" w:fill="FFFFFF" w:themeFill="background1"/>
              </w:rPr>
              <w:t xml:space="preserve">Grozījumi neļauj ignorēt nenodrošināto kreditoru grupas intereses, vienkārši pasakot, ka viņiem nekas netiktu bankrota gadījumā, </w:t>
            </w:r>
            <w:r w:rsidR="00271279" w:rsidRPr="00E27399">
              <w:rPr>
                <w:sz w:val="24"/>
                <w:szCs w:val="24"/>
                <w:shd w:val="clear" w:color="auto" w:fill="FFFFFF" w:themeFill="background1"/>
              </w:rPr>
              <w:t xml:space="preserve">jo runa ir </w:t>
            </w:r>
            <w:r w:rsidR="00ED6C52" w:rsidRPr="00E27399">
              <w:rPr>
                <w:sz w:val="24"/>
                <w:szCs w:val="24"/>
                <w:shd w:val="clear" w:color="auto" w:fill="FFFFFF" w:themeFill="background1"/>
              </w:rPr>
              <w:t>par TAP!</w:t>
            </w:r>
            <w:r w:rsidR="00B3452A" w:rsidRPr="00E27399">
              <w:rPr>
                <w:sz w:val="24"/>
                <w:szCs w:val="24"/>
                <w:shd w:val="clear" w:color="auto" w:fill="FFFFFF" w:themeFill="background1"/>
              </w:rPr>
              <w:t xml:space="preserve"> </w:t>
            </w:r>
            <w:r w:rsidRPr="00E27399">
              <w:rPr>
                <w:sz w:val="24"/>
                <w:szCs w:val="24"/>
                <w:shd w:val="clear" w:color="auto" w:fill="FFFFFF" w:themeFill="background1"/>
              </w:rPr>
              <w:t xml:space="preserve">Tādējādi tiesnesis divos gadījumos ir pieļāvis būtiskus </w:t>
            </w:r>
            <w:r w:rsidR="00F97495" w:rsidRPr="00E27399">
              <w:rPr>
                <w:sz w:val="24"/>
                <w:szCs w:val="24"/>
                <w:shd w:val="clear" w:color="auto" w:fill="FFFFFF" w:themeFill="background1"/>
              </w:rPr>
              <w:t>(rupjus)</w:t>
            </w:r>
            <w:r w:rsidR="00F97495" w:rsidRPr="00327DAE">
              <w:rPr>
                <w:sz w:val="24"/>
                <w:szCs w:val="24"/>
                <w:shd w:val="clear" w:color="auto" w:fill="FFFFFF" w:themeFill="background1"/>
              </w:rPr>
              <w:t xml:space="preserve"> </w:t>
            </w:r>
            <w:r w:rsidRPr="00327DAE">
              <w:rPr>
                <w:sz w:val="24"/>
                <w:szCs w:val="24"/>
                <w:shd w:val="clear" w:color="auto" w:fill="FFFFFF" w:themeFill="background1"/>
              </w:rPr>
              <w:t xml:space="preserve">tiesiskuma </w:t>
            </w:r>
            <w:r w:rsidRPr="00327DAE">
              <w:rPr>
                <w:sz w:val="24"/>
                <w:szCs w:val="24"/>
                <w:shd w:val="clear" w:color="auto" w:fill="FFFFFF" w:themeFill="background1"/>
              </w:rPr>
              <w:lastRenderedPageBreak/>
              <w:t>pārkāpumus, kas veda uz ārvalsts investora ieguldījumu aizsardzības pārkāpumu un ilgstošu ti</w:t>
            </w:r>
            <w:r w:rsidR="0020329A" w:rsidRPr="00327DAE">
              <w:rPr>
                <w:sz w:val="24"/>
                <w:szCs w:val="24"/>
                <w:shd w:val="clear" w:color="auto" w:fill="FFFFFF" w:themeFill="background1"/>
              </w:rPr>
              <w:t>esvedību šādu kļūdu novēršanai.</w:t>
            </w:r>
          </w:p>
        </w:tc>
      </w:tr>
      <w:tr w:rsidR="002763E6" w:rsidRPr="00327DAE" w14:paraId="3438C77F" w14:textId="77777777" w:rsidTr="002763E6">
        <w:trPr>
          <w:trHeight w:val="416"/>
        </w:trPr>
        <w:tc>
          <w:tcPr>
            <w:tcW w:w="562" w:type="dxa"/>
            <w:vMerge w:val="restart"/>
          </w:tcPr>
          <w:p w14:paraId="4608FC2C" w14:textId="1F7279A9" w:rsidR="002763E6" w:rsidRPr="00327DAE" w:rsidRDefault="002763E6" w:rsidP="0025317F">
            <w:pPr>
              <w:spacing w:after="120"/>
              <w:rPr>
                <w:b/>
                <w:sz w:val="24"/>
                <w:szCs w:val="24"/>
              </w:rPr>
            </w:pPr>
            <w:r w:rsidRPr="00327DAE">
              <w:rPr>
                <w:b/>
                <w:sz w:val="24"/>
                <w:szCs w:val="24"/>
              </w:rPr>
              <w:lastRenderedPageBreak/>
              <w:t>12</w:t>
            </w:r>
          </w:p>
        </w:tc>
        <w:tc>
          <w:tcPr>
            <w:tcW w:w="1701" w:type="dxa"/>
            <w:shd w:val="clear" w:color="auto" w:fill="auto"/>
            <w:noWrap/>
            <w:vAlign w:val="bottom"/>
          </w:tcPr>
          <w:p w14:paraId="61BF0517" w14:textId="77777777" w:rsidR="002763E6" w:rsidRPr="00327DAE" w:rsidRDefault="002763E6" w:rsidP="0025317F">
            <w:pPr>
              <w:spacing w:after="120"/>
              <w:rPr>
                <w:b/>
                <w:sz w:val="24"/>
                <w:szCs w:val="24"/>
              </w:rPr>
            </w:pPr>
            <w:r w:rsidRPr="00327DAE">
              <w:rPr>
                <w:b/>
                <w:sz w:val="24"/>
                <w:szCs w:val="24"/>
              </w:rPr>
              <w:t>C27210414</w:t>
            </w:r>
          </w:p>
          <w:p w14:paraId="78332CC7" w14:textId="77777777" w:rsidR="002763E6" w:rsidRPr="00327DAE" w:rsidRDefault="002763E6" w:rsidP="0025317F">
            <w:pPr>
              <w:spacing w:after="120"/>
              <w:rPr>
                <w:b/>
                <w:sz w:val="24"/>
                <w:szCs w:val="24"/>
              </w:rPr>
            </w:pPr>
            <w:r w:rsidRPr="00327DAE">
              <w:rPr>
                <w:b/>
                <w:sz w:val="24"/>
                <w:szCs w:val="24"/>
              </w:rPr>
              <w:t>SPC</w:t>
            </w:r>
            <w:r w:rsidRPr="00327DAE">
              <w:rPr>
                <w:b/>
                <w:sz w:val="24"/>
                <w:szCs w:val="24"/>
              </w:rPr>
              <w:noBreakHyphen/>
              <w:t>21/2013</w:t>
            </w:r>
          </w:p>
        </w:tc>
        <w:tc>
          <w:tcPr>
            <w:tcW w:w="2410" w:type="dxa"/>
            <w:shd w:val="clear" w:color="auto" w:fill="auto"/>
            <w:vAlign w:val="bottom"/>
          </w:tcPr>
          <w:p w14:paraId="5E49BDEF" w14:textId="35243B4D" w:rsidR="002763E6" w:rsidRPr="00327DAE" w:rsidRDefault="002763E6" w:rsidP="0025317F">
            <w:pPr>
              <w:spacing w:after="120"/>
              <w:rPr>
                <w:b/>
                <w:sz w:val="24"/>
                <w:szCs w:val="24"/>
              </w:rPr>
            </w:pPr>
            <w:r w:rsidRPr="00327DAE">
              <w:rPr>
                <w:b/>
                <w:sz w:val="24"/>
                <w:szCs w:val="24"/>
              </w:rPr>
              <w:t>16.03.2012</w:t>
            </w:r>
            <w:r w:rsidR="001B1DFE">
              <w:rPr>
                <w:b/>
                <w:sz w:val="24"/>
                <w:szCs w:val="24"/>
              </w:rPr>
              <w:t>.</w:t>
            </w:r>
            <w:r w:rsidRPr="00327DAE">
              <w:rPr>
                <w:b/>
                <w:sz w:val="24"/>
                <w:szCs w:val="24"/>
              </w:rPr>
              <w:t>, 19.12.2012</w:t>
            </w:r>
            <w:r w:rsidR="001B1DFE">
              <w:rPr>
                <w:b/>
                <w:sz w:val="24"/>
                <w:szCs w:val="24"/>
              </w:rPr>
              <w:t>.</w:t>
            </w:r>
            <w:r w:rsidRPr="00327DAE">
              <w:rPr>
                <w:b/>
                <w:sz w:val="24"/>
                <w:szCs w:val="24"/>
              </w:rPr>
              <w:t xml:space="preserve"> tiesneses Velgas Gailītes lēmumi</w:t>
            </w:r>
          </w:p>
        </w:tc>
        <w:tc>
          <w:tcPr>
            <w:tcW w:w="3686" w:type="dxa"/>
            <w:shd w:val="clear" w:color="auto" w:fill="auto"/>
            <w:vAlign w:val="bottom"/>
          </w:tcPr>
          <w:p w14:paraId="4E086C8A" w14:textId="77777777" w:rsidR="002763E6" w:rsidRPr="00327DAE" w:rsidRDefault="002763E6" w:rsidP="0025317F">
            <w:pPr>
              <w:pStyle w:val="Heading3"/>
            </w:pPr>
            <w:bookmarkStart w:id="25" w:name="_Toc522527500"/>
            <w:r w:rsidRPr="00327DAE">
              <w:t>SIA „Gvano”: ĀTAP pieteikums</w:t>
            </w:r>
            <w:bookmarkEnd w:id="25"/>
          </w:p>
        </w:tc>
      </w:tr>
      <w:tr w:rsidR="00E81010" w:rsidRPr="00327DAE" w14:paraId="4B260DF9" w14:textId="77777777" w:rsidTr="00327DAE">
        <w:trPr>
          <w:trHeight w:val="416"/>
        </w:trPr>
        <w:tc>
          <w:tcPr>
            <w:tcW w:w="562" w:type="dxa"/>
            <w:vMerge/>
          </w:tcPr>
          <w:p w14:paraId="1CC31573" w14:textId="77777777" w:rsidR="00E81010" w:rsidRPr="00327DAE" w:rsidRDefault="00E81010" w:rsidP="0025317F">
            <w:pPr>
              <w:spacing w:after="120"/>
              <w:rPr>
                <w:b/>
                <w:sz w:val="24"/>
                <w:szCs w:val="24"/>
              </w:rPr>
            </w:pPr>
          </w:p>
        </w:tc>
        <w:tc>
          <w:tcPr>
            <w:tcW w:w="1701" w:type="dxa"/>
            <w:shd w:val="clear" w:color="auto" w:fill="E7E6E6" w:themeFill="background2"/>
            <w:noWrap/>
            <w:vAlign w:val="center"/>
          </w:tcPr>
          <w:p w14:paraId="031AA8AF" w14:textId="2778B563" w:rsidR="00E81010" w:rsidRPr="009D11F9" w:rsidRDefault="00E81010" w:rsidP="0025317F">
            <w:pPr>
              <w:spacing w:after="120"/>
              <w:rPr>
                <w:b/>
                <w:i/>
              </w:rPr>
            </w:pPr>
            <w:r w:rsidRPr="009D11F9">
              <w:rPr>
                <w:b/>
                <w:i/>
              </w:rPr>
              <w:t>Sadales datums</w:t>
            </w:r>
          </w:p>
        </w:tc>
        <w:tc>
          <w:tcPr>
            <w:tcW w:w="2410" w:type="dxa"/>
            <w:shd w:val="clear" w:color="auto" w:fill="E7E6E6" w:themeFill="background2"/>
            <w:vAlign w:val="center"/>
          </w:tcPr>
          <w:p w14:paraId="30C5F520" w14:textId="5CD35F6B" w:rsidR="00E81010" w:rsidRPr="009D11F9" w:rsidRDefault="00E81010" w:rsidP="0025317F">
            <w:pPr>
              <w:spacing w:after="120"/>
              <w:rPr>
                <w:b/>
                <w:i/>
              </w:rPr>
            </w:pPr>
            <w:r w:rsidRPr="009D11F9">
              <w:rPr>
                <w:b/>
                <w:i/>
              </w:rPr>
              <w:t>Tiesnesis pēc sadales</w:t>
            </w:r>
          </w:p>
        </w:tc>
        <w:tc>
          <w:tcPr>
            <w:tcW w:w="3686" w:type="dxa"/>
            <w:shd w:val="clear" w:color="auto" w:fill="E7E6E6" w:themeFill="background2"/>
            <w:vAlign w:val="bottom"/>
          </w:tcPr>
          <w:p w14:paraId="3559A545" w14:textId="34007E83" w:rsidR="00E81010" w:rsidRPr="009D11F9" w:rsidRDefault="00E81010" w:rsidP="0025317F">
            <w:pPr>
              <w:spacing w:after="120"/>
              <w:rPr>
                <w:b/>
                <w:i/>
              </w:rPr>
            </w:pPr>
            <w:r w:rsidRPr="009D11F9">
              <w:rPr>
                <w:b/>
                <w:i/>
              </w:rPr>
              <w:t>Lietu sadales veids/iemesls</w:t>
            </w:r>
          </w:p>
        </w:tc>
      </w:tr>
      <w:tr w:rsidR="00E81FE0" w:rsidRPr="00327DAE" w14:paraId="00409CC2" w14:textId="77777777" w:rsidTr="004F5934">
        <w:trPr>
          <w:trHeight w:val="416"/>
        </w:trPr>
        <w:tc>
          <w:tcPr>
            <w:tcW w:w="562" w:type="dxa"/>
            <w:vMerge/>
          </w:tcPr>
          <w:p w14:paraId="4C503C0F" w14:textId="77777777" w:rsidR="00E81FE0" w:rsidRPr="00327DAE" w:rsidRDefault="00E81FE0" w:rsidP="00E81FE0">
            <w:pPr>
              <w:spacing w:after="120"/>
              <w:rPr>
                <w:b/>
                <w:sz w:val="24"/>
                <w:szCs w:val="24"/>
              </w:rPr>
            </w:pPr>
          </w:p>
        </w:tc>
        <w:tc>
          <w:tcPr>
            <w:tcW w:w="1701" w:type="dxa"/>
            <w:shd w:val="clear" w:color="auto" w:fill="E7E6E6" w:themeFill="background2"/>
            <w:noWrap/>
            <w:vAlign w:val="bottom"/>
          </w:tcPr>
          <w:p w14:paraId="3D1CEDAE" w14:textId="0EEDDF1A" w:rsidR="00E81FE0" w:rsidRPr="009D11F9" w:rsidRDefault="00E81FE0" w:rsidP="00E81FE0">
            <w:pPr>
              <w:spacing w:after="120"/>
              <w:rPr>
                <w:b/>
                <w:i/>
              </w:rPr>
            </w:pPr>
            <w:r w:rsidRPr="00D371C2">
              <w:rPr>
                <w:i/>
              </w:rPr>
              <w:t xml:space="preserve">13.03.2012 </w:t>
            </w:r>
          </w:p>
        </w:tc>
        <w:tc>
          <w:tcPr>
            <w:tcW w:w="2410" w:type="dxa"/>
            <w:shd w:val="clear" w:color="auto" w:fill="E7E6E6" w:themeFill="background2"/>
            <w:vAlign w:val="bottom"/>
          </w:tcPr>
          <w:p w14:paraId="19D70B13" w14:textId="5694AE81" w:rsidR="00E81FE0" w:rsidRPr="009D11F9" w:rsidRDefault="00E81FE0" w:rsidP="00E81FE0">
            <w:pPr>
              <w:spacing w:after="120"/>
              <w:rPr>
                <w:b/>
                <w:i/>
              </w:rPr>
            </w:pPr>
            <w:r w:rsidRPr="00D371C2">
              <w:rPr>
                <w:i/>
              </w:rPr>
              <w:t>Velga Gailīte</w:t>
            </w:r>
          </w:p>
        </w:tc>
        <w:tc>
          <w:tcPr>
            <w:tcW w:w="3686" w:type="dxa"/>
            <w:shd w:val="clear" w:color="auto" w:fill="E7E6E6" w:themeFill="background2"/>
            <w:vAlign w:val="bottom"/>
          </w:tcPr>
          <w:p w14:paraId="69D089BA" w14:textId="20F75E56" w:rsidR="00E81FE0" w:rsidRPr="009D11F9" w:rsidRDefault="00E81FE0" w:rsidP="00E81FE0">
            <w:pPr>
              <w:spacing w:after="120"/>
              <w:rPr>
                <w:b/>
                <w:i/>
              </w:rPr>
            </w:pPr>
            <w:r w:rsidRPr="00D371C2">
              <w:rPr>
                <w:i/>
              </w:rPr>
              <w:t>Manuāla lietu sadale – pārdale ar slodzes izlīdzināšanu</w:t>
            </w:r>
            <w:r>
              <w:rPr>
                <w:i/>
              </w:rPr>
              <w:t>, mainīts lietas numurs</w:t>
            </w:r>
          </w:p>
        </w:tc>
      </w:tr>
      <w:tr w:rsidR="00E81010" w:rsidRPr="00327DAE" w14:paraId="7D1AB041" w14:textId="77777777" w:rsidTr="00327DAE">
        <w:trPr>
          <w:trHeight w:val="416"/>
        </w:trPr>
        <w:tc>
          <w:tcPr>
            <w:tcW w:w="562" w:type="dxa"/>
            <w:vMerge/>
          </w:tcPr>
          <w:p w14:paraId="58D2EE1B"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2F057726" w14:textId="4FA03004" w:rsidR="00E81010" w:rsidRPr="009D11F9" w:rsidRDefault="00E81010" w:rsidP="0025317F">
            <w:pPr>
              <w:spacing w:after="120"/>
              <w:rPr>
                <w:i/>
              </w:rPr>
            </w:pPr>
            <w:r w:rsidRPr="009D11F9">
              <w:rPr>
                <w:i/>
              </w:rPr>
              <w:t xml:space="preserve">13.03.2012 </w:t>
            </w:r>
          </w:p>
        </w:tc>
        <w:tc>
          <w:tcPr>
            <w:tcW w:w="2410" w:type="dxa"/>
            <w:shd w:val="clear" w:color="auto" w:fill="E7E6E6" w:themeFill="background2"/>
            <w:vAlign w:val="bottom"/>
          </w:tcPr>
          <w:p w14:paraId="7FB8B183" w14:textId="0693024D" w:rsidR="00E81010" w:rsidRPr="009D11F9" w:rsidRDefault="00E81010" w:rsidP="0025317F">
            <w:pPr>
              <w:spacing w:after="120"/>
              <w:rPr>
                <w:i/>
              </w:rPr>
            </w:pPr>
            <w:r w:rsidRPr="009D11F9">
              <w:rPr>
                <w:i/>
              </w:rPr>
              <w:t>Velga Gailīte</w:t>
            </w:r>
          </w:p>
        </w:tc>
        <w:tc>
          <w:tcPr>
            <w:tcW w:w="3686" w:type="dxa"/>
            <w:shd w:val="clear" w:color="auto" w:fill="E7E6E6" w:themeFill="background2"/>
            <w:vAlign w:val="bottom"/>
          </w:tcPr>
          <w:p w14:paraId="6B7EDE15" w14:textId="3BC409BE" w:rsidR="00E81010" w:rsidRPr="009D11F9" w:rsidRDefault="00E81010" w:rsidP="0025317F">
            <w:pPr>
              <w:spacing w:after="120"/>
              <w:rPr>
                <w:i/>
              </w:rPr>
            </w:pPr>
            <w:r w:rsidRPr="009D11F9">
              <w:rPr>
                <w:i/>
              </w:rPr>
              <w:t>Datorizēta lietu sadale</w:t>
            </w:r>
          </w:p>
        </w:tc>
      </w:tr>
      <w:tr w:rsidR="00E81010" w:rsidRPr="00327DAE" w14:paraId="2E9D971C" w14:textId="77777777" w:rsidTr="00327DAE">
        <w:trPr>
          <w:trHeight w:val="416"/>
        </w:trPr>
        <w:tc>
          <w:tcPr>
            <w:tcW w:w="562" w:type="dxa"/>
            <w:vMerge/>
          </w:tcPr>
          <w:p w14:paraId="7BD9A2CA"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67472CC5" w14:textId="7A48C6D1" w:rsidR="00E81010" w:rsidRPr="009D11F9" w:rsidRDefault="00E81010" w:rsidP="0025317F">
            <w:pPr>
              <w:spacing w:after="120"/>
              <w:rPr>
                <w:i/>
              </w:rPr>
            </w:pPr>
            <w:r w:rsidRPr="009D11F9">
              <w:rPr>
                <w:i/>
              </w:rPr>
              <w:t>06.12.2013</w:t>
            </w:r>
          </w:p>
        </w:tc>
        <w:tc>
          <w:tcPr>
            <w:tcW w:w="2410" w:type="dxa"/>
            <w:shd w:val="clear" w:color="auto" w:fill="E7E6E6" w:themeFill="background2"/>
            <w:vAlign w:val="bottom"/>
          </w:tcPr>
          <w:p w14:paraId="308D787B" w14:textId="0313E17C" w:rsidR="00E81010" w:rsidRPr="009D11F9" w:rsidRDefault="00E81010" w:rsidP="0025317F">
            <w:pPr>
              <w:spacing w:after="120"/>
              <w:rPr>
                <w:i/>
              </w:rPr>
            </w:pPr>
            <w:r w:rsidRPr="009D11F9">
              <w:rPr>
                <w:i/>
              </w:rPr>
              <w:t>Imants Dzenis</w:t>
            </w:r>
          </w:p>
        </w:tc>
        <w:tc>
          <w:tcPr>
            <w:tcW w:w="3686" w:type="dxa"/>
            <w:shd w:val="clear" w:color="auto" w:fill="E7E6E6" w:themeFill="background2"/>
            <w:vAlign w:val="bottom"/>
          </w:tcPr>
          <w:p w14:paraId="3E53C446" w14:textId="10319F81" w:rsidR="00E81010" w:rsidRPr="009D11F9" w:rsidRDefault="00E81010" w:rsidP="0025317F">
            <w:pPr>
              <w:spacing w:after="120"/>
              <w:rPr>
                <w:i/>
              </w:rPr>
            </w:pPr>
            <w:r w:rsidRPr="009D11F9">
              <w:rPr>
                <w:i/>
              </w:rPr>
              <w:t>Datorizēta lietu sadale</w:t>
            </w:r>
          </w:p>
        </w:tc>
      </w:tr>
      <w:tr w:rsidR="00E81010" w:rsidRPr="00327DAE" w14:paraId="1EC012D7" w14:textId="77777777" w:rsidTr="00327DAE">
        <w:trPr>
          <w:trHeight w:val="416"/>
        </w:trPr>
        <w:tc>
          <w:tcPr>
            <w:tcW w:w="562" w:type="dxa"/>
            <w:vMerge/>
          </w:tcPr>
          <w:p w14:paraId="73C468AE"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50F0E2E8" w14:textId="3350C2BE" w:rsidR="00E81010" w:rsidRPr="009D11F9" w:rsidRDefault="00E81010" w:rsidP="0025317F">
            <w:pPr>
              <w:spacing w:after="120"/>
              <w:rPr>
                <w:i/>
              </w:rPr>
            </w:pPr>
            <w:r w:rsidRPr="009D11F9">
              <w:rPr>
                <w:i/>
              </w:rPr>
              <w:t>26.11.2014</w:t>
            </w:r>
          </w:p>
        </w:tc>
        <w:tc>
          <w:tcPr>
            <w:tcW w:w="2410" w:type="dxa"/>
            <w:shd w:val="clear" w:color="auto" w:fill="E7E6E6" w:themeFill="background2"/>
            <w:vAlign w:val="bottom"/>
          </w:tcPr>
          <w:p w14:paraId="443DB652" w14:textId="3C4BB749" w:rsidR="00E81010" w:rsidRPr="009D11F9" w:rsidRDefault="00E81010" w:rsidP="0025317F">
            <w:pPr>
              <w:spacing w:after="120"/>
              <w:rPr>
                <w:i/>
              </w:rPr>
            </w:pPr>
          </w:p>
        </w:tc>
        <w:tc>
          <w:tcPr>
            <w:tcW w:w="3686" w:type="dxa"/>
            <w:shd w:val="clear" w:color="auto" w:fill="E7E6E6" w:themeFill="background2"/>
            <w:vAlign w:val="bottom"/>
          </w:tcPr>
          <w:p w14:paraId="0E88520A" w14:textId="58DBCA2C" w:rsidR="00E81010" w:rsidRPr="009D11F9" w:rsidRDefault="00E81010" w:rsidP="0025317F">
            <w:pPr>
              <w:spacing w:after="120"/>
              <w:rPr>
                <w:i/>
              </w:rPr>
            </w:pPr>
            <w:r w:rsidRPr="009D11F9">
              <w:rPr>
                <w:i/>
              </w:rPr>
              <w:t>Lieta nodota datorizētai lietu sadalei</w:t>
            </w:r>
          </w:p>
        </w:tc>
      </w:tr>
      <w:tr w:rsidR="00E81010" w:rsidRPr="00327DAE" w14:paraId="692CF725" w14:textId="77777777" w:rsidTr="00327DAE">
        <w:trPr>
          <w:trHeight w:val="416"/>
        </w:trPr>
        <w:tc>
          <w:tcPr>
            <w:tcW w:w="562" w:type="dxa"/>
            <w:vMerge/>
          </w:tcPr>
          <w:p w14:paraId="68CA9101"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3E29B0B9" w14:textId="26D12FDB" w:rsidR="00E81010" w:rsidRPr="009D11F9" w:rsidRDefault="00E81010" w:rsidP="0025317F">
            <w:pPr>
              <w:spacing w:after="120"/>
              <w:rPr>
                <w:i/>
              </w:rPr>
            </w:pPr>
            <w:r w:rsidRPr="009D11F9">
              <w:rPr>
                <w:i/>
              </w:rPr>
              <w:t>28.11.2014</w:t>
            </w:r>
          </w:p>
        </w:tc>
        <w:tc>
          <w:tcPr>
            <w:tcW w:w="2410" w:type="dxa"/>
            <w:shd w:val="clear" w:color="auto" w:fill="E7E6E6" w:themeFill="background2"/>
            <w:vAlign w:val="bottom"/>
          </w:tcPr>
          <w:p w14:paraId="606D8F7C" w14:textId="39266D58" w:rsidR="00E81010" w:rsidRPr="009D11F9" w:rsidRDefault="00E81010" w:rsidP="0025317F">
            <w:pPr>
              <w:spacing w:after="120"/>
              <w:rPr>
                <w:i/>
              </w:rPr>
            </w:pPr>
            <w:r w:rsidRPr="009D11F9">
              <w:rPr>
                <w:i/>
              </w:rPr>
              <w:t xml:space="preserve">Rinalds </w:t>
            </w:r>
            <w:proofErr w:type="spellStart"/>
            <w:r w:rsidRPr="009D11F9">
              <w:rPr>
                <w:i/>
              </w:rPr>
              <w:t>Silakalns</w:t>
            </w:r>
            <w:proofErr w:type="spellEnd"/>
          </w:p>
        </w:tc>
        <w:tc>
          <w:tcPr>
            <w:tcW w:w="3686" w:type="dxa"/>
            <w:shd w:val="clear" w:color="auto" w:fill="E7E6E6" w:themeFill="background2"/>
            <w:vAlign w:val="bottom"/>
          </w:tcPr>
          <w:p w14:paraId="66265F90" w14:textId="61E38DA3" w:rsidR="00E81010" w:rsidRPr="009D11F9" w:rsidRDefault="00E81010" w:rsidP="0025317F">
            <w:pPr>
              <w:spacing w:after="120"/>
              <w:rPr>
                <w:i/>
              </w:rPr>
            </w:pPr>
            <w:r w:rsidRPr="009D11F9">
              <w:rPr>
                <w:i/>
              </w:rPr>
              <w:t>Datorizēta lietu sadale</w:t>
            </w:r>
          </w:p>
        </w:tc>
      </w:tr>
      <w:tr w:rsidR="00E81010" w:rsidRPr="00327DAE" w14:paraId="5006E03C" w14:textId="77777777" w:rsidTr="00327DAE">
        <w:trPr>
          <w:trHeight w:val="416"/>
        </w:trPr>
        <w:tc>
          <w:tcPr>
            <w:tcW w:w="562" w:type="dxa"/>
            <w:vMerge/>
          </w:tcPr>
          <w:p w14:paraId="467C1050"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208AA4BB" w14:textId="0FA3F6B7" w:rsidR="00E81010" w:rsidRPr="009D11F9" w:rsidRDefault="00E81010" w:rsidP="0025317F">
            <w:pPr>
              <w:spacing w:after="120"/>
              <w:rPr>
                <w:i/>
              </w:rPr>
            </w:pPr>
            <w:r w:rsidRPr="009D11F9">
              <w:rPr>
                <w:i/>
              </w:rPr>
              <w:t>28.11.2014</w:t>
            </w:r>
          </w:p>
        </w:tc>
        <w:tc>
          <w:tcPr>
            <w:tcW w:w="2410" w:type="dxa"/>
            <w:shd w:val="clear" w:color="auto" w:fill="E7E6E6" w:themeFill="background2"/>
            <w:vAlign w:val="bottom"/>
          </w:tcPr>
          <w:p w14:paraId="01DE6158" w14:textId="203C8AFF" w:rsidR="00E81010" w:rsidRPr="009D11F9" w:rsidRDefault="00E81010" w:rsidP="0025317F">
            <w:pPr>
              <w:spacing w:after="120"/>
              <w:rPr>
                <w:i/>
              </w:rPr>
            </w:pPr>
          </w:p>
        </w:tc>
        <w:tc>
          <w:tcPr>
            <w:tcW w:w="3686" w:type="dxa"/>
            <w:shd w:val="clear" w:color="auto" w:fill="E7E6E6" w:themeFill="background2"/>
            <w:vAlign w:val="bottom"/>
          </w:tcPr>
          <w:p w14:paraId="4B49246A" w14:textId="02E7E570" w:rsidR="00E81010" w:rsidRPr="009D11F9" w:rsidRDefault="00E81010" w:rsidP="0025317F">
            <w:pPr>
              <w:spacing w:after="120"/>
              <w:rPr>
                <w:i/>
              </w:rPr>
            </w:pPr>
            <w:r w:rsidRPr="009D11F9">
              <w:rPr>
                <w:i/>
              </w:rPr>
              <w:t>Lieta nodota datorizētai lietu sadalei</w:t>
            </w:r>
          </w:p>
        </w:tc>
      </w:tr>
      <w:tr w:rsidR="00E81010" w:rsidRPr="00327DAE" w14:paraId="631218F0" w14:textId="77777777" w:rsidTr="00327DAE">
        <w:trPr>
          <w:trHeight w:val="416"/>
        </w:trPr>
        <w:tc>
          <w:tcPr>
            <w:tcW w:w="562" w:type="dxa"/>
            <w:vMerge/>
          </w:tcPr>
          <w:p w14:paraId="71B66B9C"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7E4B2FB0" w14:textId="44909CAB" w:rsidR="00E81010" w:rsidRPr="009D11F9" w:rsidRDefault="00E81010" w:rsidP="0025317F">
            <w:pPr>
              <w:spacing w:after="120"/>
              <w:rPr>
                <w:i/>
              </w:rPr>
            </w:pPr>
            <w:r w:rsidRPr="009D11F9">
              <w:rPr>
                <w:i/>
              </w:rPr>
              <w:t>05.12.2013</w:t>
            </w:r>
          </w:p>
        </w:tc>
        <w:tc>
          <w:tcPr>
            <w:tcW w:w="2410" w:type="dxa"/>
            <w:shd w:val="clear" w:color="auto" w:fill="E7E6E6" w:themeFill="background2"/>
            <w:vAlign w:val="bottom"/>
          </w:tcPr>
          <w:p w14:paraId="2571620F" w14:textId="7AD718EB" w:rsidR="00E81010" w:rsidRPr="009D11F9" w:rsidRDefault="00E81010" w:rsidP="0025317F">
            <w:pPr>
              <w:spacing w:after="120"/>
              <w:rPr>
                <w:i/>
              </w:rPr>
            </w:pPr>
            <w:r w:rsidRPr="009D11F9">
              <w:rPr>
                <w:i/>
              </w:rPr>
              <w:t>Imants Dzenis</w:t>
            </w:r>
          </w:p>
        </w:tc>
        <w:tc>
          <w:tcPr>
            <w:tcW w:w="3686" w:type="dxa"/>
            <w:shd w:val="clear" w:color="auto" w:fill="E7E6E6" w:themeFill="background2"/>
            <w:vAlign w:val="bottom"/>
          </w:tcPr>
          <w:p w14:paraId="09CB9B51" w14:textId="28E3F68B" w:rsidR="00E81010" w:rsidRPr="009D11F9" w:rsidRDefault="00E81010" w:rsidP="0025317F">
            <w:pPr>
              <w:spacing w:after="120"/>
              <w:rPr>
                <w:i/>
              </w:rPr>
            </w:pPr>
            <w:r w:rsidRPr="009D11F9">
              <w:rPr>
                <w:i/>
              </w:rPr>
              <w:t>Datorizēta lietu sadale</w:t>
            </w:r>
          </w:p>
        </w:tc>
      </w:tr>
      <w:tr w:rsidR="00E81010" w:rsidRPr="00327DAE" w14:paraId="50623336" w14:textId="77777777" w:rsidTr="00327DAE">
        <w:trPr>
          <w:trHeight w:val="416"/>
        </w:trPr>
        <w:tc>
          <w:tcPr>
            <w:tcW w:w="562" w:type="dxa"/>
            <w:vMerge/>
          </w:tcPr>
          <w:p w14:paraId="5E1E38DD"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48787045" w14:textId="4C76000C" w:rsidR="00E81010" w:rsidRPr="009D11F9" w:rsidRDefault="00E81010" w:rsidP="0025317F">
            <w:pPr>
              <w:spacing w:after="120"/>
              <w:rPr>
                <w:i/>
              </w:rPr>
            </w:pPr>
            <w:r w:rsidRPr="009D11F9">
              <w:rPr>
                <w:i/>
              </w:rPr>
              <w:t>01.12.2014</w:t>
            </w:r>
          </w:p>
        </w:tc>
        <w:tc>
          <w:tcPr>
            <w:tcW w:w="2410" w:type="dxa"/>
            <w:shd w:val="clear" w:color="auto" w:fill="E7E6E6" w:themeFill="background2"/>
            <w:vAlign w:val="bottom"/>
          </w:tcPr>
          <w:p w14:paraId="4F77D5D1" w14:textId="65ECA61F" w:rsidR="00E81010" w:rsidRPr="009D11F9" w:rsidRDefault="00E81010" w:rsidP="0025317F">
            <w:pPr>
              <w:spacing w:after="120"/>
              <w:rPr>
                <w:i/>
              </w:rPr>
            </w:pPr>
            <w:r w:rsidRPr="009D11F9">
              <w:rPr>
                <w:i/>
              </w:rPr>
              <w:t>Andis Celms</w:t>
            </w:r>
          </w:p>
        </w:tc>
        <w:tc>
          <w:tcPr>
            <w:tcW w:w="3686" w:type="dxa"/>
            <w:shd w:val="clear" w:color="auto" w:fill="E7E6E6" w:themeFill="background2"/>
            <w:vAlign w:val="bottom"/>
          </w:tcPr>
          <w:p w14:paraId="43528918" w14:textId="381B3498" w:rsidR="00E81010" w:rsidRPr="009D11F9" w:rsidRDefault="00E81010" w:rsidP="0025317F">
            <w:pPr>
              <w:spacing w:after="120"/>
              <w:rPr>
                <w:i/>
              </w:rPr>
            </w:pPr>
            <w:r w:rsidRPr="009D11F9">
              <w:rPr>
                <w:i/>
              </w:rPr>
              <w:t>Manuāla lietu sadale – automātiska sadale</w:t>
            </w:r>
          </w:p>
        </w:tc>
      </w:tr>
      <w:tr w:rsidR="00E81010" w:rsidRPr="00327DAE" w14:paraId="161FD03A" w14:textId="77777777" w:rsidTr="00327DAE">
        <w:trPr>
          <w:trHeight w:val="416"/>
        </w:trPr>
        <w:tc>
          <w:tcPr>
            <w:tcW w:w="562" w:type="dxa"/>
            <w:vMerge/>
          </w:tcPr>
          <w:p w14:paraId="65E5790B" w14:textId="77777777" w:rsidR="00E81010" w:rsidRPr="00327DAE" w:rsidRDefault="00E81010" w:rsidP="0025317F">
            <w:pPr>
              <w:spacing w:after="120"/>
              <w:rPr>
                <w:b/>
                <w:sz w:val="24"/>
                <w:szCs w:val="24"/>
              </w:rPr>
            </w:pPr>
          </w:p>
        </w:tc>
        <w:tc>
          <w:tcPr>
            <w:tcW w:w="1701" w:type="dxa"/>
            <w:shd w:val="clear" w:color="auto" w:fill="E7E6E6" w:themeFill="background2"/>
            <w:noWrap/>
            <w:vAlign w:val="bottom"/>
          </w:tcPr>
          <w:p w14:paraId="2F619116" w14:textId="241D4807" w:rsidR="00E81010" w:rsidRPr="009D11F9" w:rsidRDefault="00E81010" w:rsidP="0025317F">
            <w:pPr>
              <w:spacing w:after="120"/>
              <w:rPr>
                <w:i/>
              </w:rPr>
            </w:pPr>
            <w:r w:rsidRPr="009D11F9">
              <w:rPr>
                <w:i/>
              </w:rPr>
              <w:t>01.12.2014</w:t>
            </w:r>
          </w:p>
        </w:tc>
        <w:tc>
          <w:tcPr>
            <w:tcW w:w="2410" w:type="dxa"/>
            <w:shd w:val="clear" w:color="auto" w:fill="E7E6E6" w:themeFill="background2"/>
            <w:vAlign w:val="bottom"/>
          </w:tcPr>
          <w:p w14:paraId="4D07B6A8" w14:textId="12610266" w:rsidR="00E81010" w:rsidRPr="009D11F9" w:rsidRDefault="00E81010" w:rsidP="0025317F">
            <w:pPr>
              <w:spacing w:after="120"/>
              <w:rPr>
                <w:i/>
              </w:rPr>
            </w:pPr>
            <w:r w:rsidRPr="009D11F9">
              <w:rPr>
                <w:i/>
              </w:rPr>
              <w:t>Andis Celms</w:t>
            </w:r>
          </w:p>
        </w:tc>
        <w:tc>
          <w:tcPr>
            <w:tcW w:w="3686" w:type="dxa"/>
            <w:shd w:val="clear" w:color="auto" w:fill="E7E6E6" w:themeFill="background2"/>
            <w:vAlign w:val="bottom"/>
          </w:tcPr>
          <w:p w14:paraId="3BF737AE" w14:textId="2EA5ABF8" w:rsidR="00E81010" w:rsidRPr="009D11F9" w:rsidRDefault="00E81010" w:rsidP="0025317F">
            <w:pPr>
              <w:spacing w:after="120"/>
              <w:rPr>
                <w:i/>
              </w:rPr>
            </w:pPr>
            <w:r w:rsidRPr="009D11F9">
              <w:rPr>
                <w:i/>
              </w:rPr>
              <w:t>Datorizēta lietu sadale</w:t>
            </w:r>
          </w:p>
        </w:tc>
      </w:tr>
      <w:tr w:rsidR="002763E6" w:rsidRPr="00327DAE" w14:paraId="01A15100" w14:textId="77777777" w:rsidTr="002763E6">
        <w:trPr>
          <w:trHeight w:val="416"/>
        </w:trPr>
        <w:tc>
          <w:tcPr>
            <w:tcW w:w="562" w:type="dxa"/>
            <w:vMerge/>
          </w:tcPr>
          <w:p w14:paraId="014A130E" w14:textId="77777777" w:rsidR="002763E6" w:rsidRPr="00327DAE" w:rsidRDefault="002763E6" w:rsidP="0025317F">
            <w:pPr>
              <w:spacing w:after="120"/>
              <w:rPr>
                <w:sz w:val="24"/>
                <w:szCs w:val="24"/>
              </w:rPr>
            </w:pPr>
          </w:p>
        </w:tc>
        <w:tc>
          <w:tcPr>
            <w:tcW w:w="7797" w:type="dxa"/>
            <w:gridSpan w:val="3"/>
            <w:shd w:val="clear" w:color="auto" w:fill="auto"/>
            <w:noWrap/>
            <w:vAlign w:val="bottom"/>
          </w:tcPr>
          <w:p w14:paraId="11C9B13E" w14:textId="77777777" w:rsidR="002763E6" w:rsidRPr="00327DAE" w:rsidRDefault="002763E6" w:rsidP="0025317F">
            <w:pPr>
              <w:spacing w:after="120"/>
              <w:rPr>
                <w:sz w:val="24"/>
                <w:szCs w:val="24"/>
              </w:rPr>
            </w:pPr>
            <w:r w:rsidRPr="00327DAE">
              <w:rPr>
                <w:sz w:val="24"/>
                <w:szCs w:val="24"/>
              </w:rPr>
              <w:t xml:space="preserve">Šīs lietas kontekstā skatāmi arī tiesneša I. Dzeņa spriedums SIA „Gvano” ĀTAP pieteikuma lietā un tiesneša R. Bula nolēmumi SIA „Tērbatas biznesa centrs” un SIA „Arts </w:t>
            </w:r>
            <w:proofErr w:type="spellStart"/>
            <w:r w:rsidRPr="00327DAE">
              <w:rPr>
                <w:sz w:val="24"/>
                <w:szCs w:val="24"/>
              </w:rPr>
              <w:t>Plaza</w:t>
            </w:r>
            <w:proofErr w:type="spellEnd"/>
            <w:r w:rsidRPr="00327DAE">
              <w:rPr>
                <w:sz w:val="24"/>
                <w:szCs w:val="24"/>
              </w:rPr>
              <w:t>” ĀTAP lietās.</w:t>
            </w:r>
          </w:p>
        </w:tc>
      </w:tr>
      <w:tr w:rsidR="002763E6" w:rsidRPr="00327DAE" w14:paraId="0560EDE2" w14:textId="77777777" w:rsidTr="002763E6">
        <w:trPr>
          <w:trHeight w:val="416"/>
        </w:trPr>
        <w:tc>
          <w:tcPr>
            <w:tcW w:w="562" w:type="dxa"/>
            <w:vMerge/>
          </w:tcPr>
          <w:p w14:paraId="24AD11D4" w14:textId="77777777" w:rsidR="002763E6" w:rsidRPr="00327DAE" w:rsidRDefault="002763E6" w:rsidP="0025317F">
            <w:pPr>
              <w:spacing w:after="120"/>
              <w:rPr>
                <w:sz w:val="24"/>
                <w:szCs w:val="24"/>
              </w:rPr>
            </w:pPr>
          </w:p>
        </w:tc>
        <w:tc>
          <w:tcPr>
            <w:tcW w:w="7797" w:type="dxa"/>
            <w:gridSpan w:val="3"/>
            <w:shd w:val="clear" w:color="auto" w:fill="auto"/>
            <w:noWrap/>
            <w:vAlign w:val="bottom"/>
          </w:tcPr>
          <w:p w14:paraId="1E91C347" w14:textId="77777777" w:rsidR="002763E6" w:rsidRPr="00327DAE" w:rsidRDefault="002763E6" w:rsidP="0025317F">
            <w:pPr>
              <w:spacing w:after="120"/>
              <w:rPr>
                <w:i/>
                <w:sz w:val="24"/>
                <w:szCs w:val="24"/>
              </w:rPr>
            </w:pPr>
            <w:r w:rsidRPr="00327DAE">
              <w:rPr>
                <w:i/>
                <w:sz w:val="24"/>
                <w:szCs w:val="24"/>
              </w:rPr>
              <w:t>Augstākās tiesas norādītais pamats lēmumu atcelšanai</w:t>
            </w:r>
          </w:p>
          <w:p w14:paraId="58FD4C8A" w14:textId="77777777" w:rsidR="002763E6" w:rsidRPr="00327DAE" w:rsidRDefault="002763E6" w:rsidP="0025317F">
            <w:pPr>
              <w:spacing w:after="120"/>
              <w:rPr>
                <w:sz w:val="24"/>
                <w:szCs w:val="24"/>
              </w:rPr>
            </w:pPr>
            <w:r w:rsidRPr="00327DAE">
              <w:rPr>
                <w:sz w:val="24"/>
                <w:szCs w:val="24"/>
              </w:rPr>
              <w:t xml:space="preserve">Vienīgais nodrošinātais kreditors, kas apstiprinājis ĀTAP plānu, ir Lielbritānijā reģistrēta kompānija, kuras dalībniekiem pieder vienīgais parādnieka dalībnieks – cita Lielbritānijā reģistrēta kompānija, taču ĀTAP pasākumu plāna saskaņošanu nav tiesīgas īstenot personas, kuras ietilpst vienā koncernā ar parādnieku. </w:t>
            </w:r>
          </w:p>
          <w:p w14:paraId="086E2A7F" w14:textId="77777777" w:rsidR="002763E6" w:rsidRPr="00327DAE" w:rsidRDefault="002763E6" w:rsidP="0025317F">
            <w:pPr>
              <w:spacing w:after="120"/>
              <w:rPr>
                <w:sz w:val="24"/>
                <w:szCs w:val="24"/>
              </w:rPr>
            </w:pPr>
            <w:r w:rsidRPr="00327DAE">
              <w:rPr>
                <w:sz w:val="24"/>
                <w:szCs w:val="24"/>
              </w:rPr>
              <w:t>Uzliekot nodrošinātajai kreditorei (AS „</w:t>
            </w:r>
            <w:proofErr w:type="spellStart"/>
            <w:r w:rsidRPr="00327DAE">
              <w:rPr>
                <w:sz w:val="24"/>
                <w:szCs w:val="24"/>
              </w:rPr>
              <w:t>Swedbank</w:t>
            </w:r>
            <w:proofErr w:type="spellEnd"/>
            <w:r w:rsidRPr="00327DAE">
              <w:rPr>
                <w:sz w:val="24"/>
                <w:szCs w:val="24"/>
              </w:rPr>
              <w:t>”) par pienākumu dzēst zemesgrāmatā ierakstītās ķīlas tiesības un aizlieguma atzīmes, tiesa sevišķās tiesāšanas kārtībā izlēmusi jautājumu par tiesībām, kas, pastāvot strīdam, izlemjams prasības kārtībā.</w:t>
            </w:r>
          </w:p>
        </w:tc>
      </w:tr>
      <w:tr w:rsidR="002763E6" w:rsidRPr="00327DAE" w14:paraId="54BFBB54" w14:textId="77777777" w:rsidTr="002763E6">
        <w:trPr>
          <w:trHeight w:val="416"/>
        </w:trPr>
        <w:tc>
          <w:tcPr>
            <w:tcW w:w="562" w:type="dxa"/>
            <w:vMerge/>
          </w:tcPr>
          <w:p w14:paraId="72929CDD" w14:textId="77777777" w:rsidR="002763E6" w:rsidRPr="00327DAE" w:rsidRDefault="002763E6" w:rsidP="0025317F">
            <w:pPr>
              <w:spacing w:after="120"/>
              <w:rPr>
                <w:sz w:val="24"/>
                <w:szCs w:val="24"/>
              </w:rPr>
            </w:pPr>
          </w:p>
        </w:tc>
        <w:tc>
          <w:tcPr>
            <w:tcW w:w="7797" w:type="dxa"/>
            <w:gridSpan w:val="3"/>
            <w:shd w:val="clear" w:color="auto" w:fill="auto"/>
            <w:noWrap/>
            <w:vAlign w:val="bottom"/>
          </w:tcPr>
          <w:p w14:paraId="7D98B91A" w14:textId="77777777" w:rsidR="002763E6" w:rsidRPr="00327DAE" w:rsidRDefault="002763E6" w:rsidP="0025317F">
            <w:pPr>
              <w:spacing w:after="120"/>
              <w:rPr>
                <w:i/>
                <w:sz w:val="24"/>
                <w:szCs w:val="24"/>
              </w:rPr>
            </w:pPr>
            <w:r w:rsidRPr="00327DAE">
              <w:rPr>
                <w:i/>
                <w:sz w:val="24"/>
                <w:szCs w:val="24"/>
              </w:rPr>
              <w:t>Ekspertu secinājumi</w:t>
            </w:r>
          </w:p>
          <w:p w14:paraId="67020D29" w14:textId="40C36FA7" w:rsidR="00BD15C6" w:rsidRPr="00327DAE" w:rsidRDefault="002763E6" w:rsidP="0025317F">
            <w:pPr>
              <w:spacing w:after="120"/>
              <w:rPr>
                <w:sz w:val="24"/>
                <w:szCs w:val="24"/>
              </w:rPr>
            </w:pPr>
            <w:r w:rsidRPr="00327DAE">
              <w:rPr>
                <w:sz w:val="24"/>
                <w:szCs w:val="24"/>
              </w:rPr>
              <w:t>Pēc TAP pasludināšanas tiesā bija saņemts AS „</w:t>
            </w:r>
            <w:proofErr w:type="spellStart"/>
            <w:r w:rsidRPr="00327DAE">
              <w:rPr>
                <w:sz w:val="24"/>
                <w:szCs w:val="24"/>
              </w:rPr>
              <w:t>Swedbank</w:t>
            </w:r>
            <w:proofErr w:type="spellEnd"/>
            <w:r w:rsidRPr="00327DAE">
              <w:rPr>
                <w:sz w:val="24"/>
                <w:szCs w:val="24"/>
              </w:rPr>
              <w:t>” iesniegums, kurā norādīts, ka vienīgais nodrošinātais kr</w:t>
            </w:r>
            <w:r w:rsidR="00BD15C6">
              <w:rPr>
                <w:sz w:val="24"/>
                <w:szCs w:val="24"/>
              </w:rPr>
              <w:t>editors, kas apstiprinājis SIA „</w:t>
            </w:r>
            <w:r w:rsidRPr="00327DAE">
              <w:rPr>
                <w:sz w:val="24"/>
                <w:szCs w:val="24"/>
              </w:rPr>
              <w:t xml:space="preserve">Gvano” TAP plānu, ir Lielbritānijā reģistrēta kompānija, kuras vienīgie dalībnieki ir divi Panamā reģistrēti uzņēmumi, </w:t>
            </w:r>
            <w:r w:rsidR="00BD15C6">
              <w:rPr>
                <w:sz w:val="24"/>
                <w:szCs w:val="24"/>
              </w:rPr>
              <w:t>kas ir vienīgie dalībnieki SIA „</w:t>
            </w:r>
            <w:r w:rsidRPr="00327DAE">
              <w:rPr>
                <w:sz w:val="24"/>
                <w:szCs w:val="24"/>
              </w:rPr>
              <w:t>Gvano” vienīgajam dalībniekam – citai Lielbri</w:t>
            </w:r>
            <w:r w:rsidR="00BD15C6">
              <w:rPr>
                <w:sz w:val="24"/>
                <w:szCs w:val="24"/>
              </w:rPr>
              <w:t xml:space="preserve">tānijā reģistrētai kompānijai. </w:t>
            </w:r>
            <w:r w:rsidRPr="00327DAE">
              <w:rPr>
                <w:sz w:val="24"/>
                <w:szCs w:val="24"/>
              </w:rPr>
              <w:t>AS „</w:t>
            </w:r>
            <w:proofErr w:type="spellStart"/>
            <w:r w:rsidRPr="00327DAE">
              <w:rPr>
                <w:sz w:val="24"/>
                <w:szCs w:val="24"/>
              </w:rPr>
              <w:t>Swedbank</w:t>
            </w:r>
            <w:proofErr w:type="spellEnd"/>
            <w:r w:rsidRPr="00327DAE">
              <w:rPr>
                <w:sz w:val="24"/>
                <w:szCs w:val="24"/>
              </w:rPr>
              <w:t>” lūdza tiesu pēc savas iniciatīvas izbeigt TAP procesu, tomēr tiesnese, atbildot uz AS „</w:t>
            </w:r>
            <w:proofErr w:type="spellStart"/>
            <w:r w:rsidRPr="00327DAE">
              <w:rPr>
                <w:sz w:val="24"/>
                <w:szCs w:val="24"/>
              </w:rPr>
              <w:t>Swedbank</w:t>
            </w:r>
            <w:proofErr w:type="spellEnd"/>
            <w:r w:rsidRPr="00327DAE">
              <w:rPr>
                <w:sz w:val="24"/>
                <w:szCs w:val="24"/>
              </w:rPr>
              <w:t xml:space="preserve">” iesniegumu ar vēstuli, norādīja, ka nesaskata, ka šie uzņēmumi atrastos vienā koncernā, nepaskaidrojot, kāpēc nonākusi pie šāda secinājuma. </w:t>
            </w:r>
            <w:r w:rsidR="00BD15C6">
              <w:rPr>
                <w:sz w:val="24"/>
                <w:szCs w:val="24"/>
              </w:rPr>
              <w:t>Būtībā bez argumentiem un pretēji lietas materiāliem a</w:t>
            </w:r>
            <w:r w:rsidR="00BD15C6" w:rsidRPr="00327DAE">
              <w:rPr>
                <w:rFonts w:eastAsia="Calibri"/>
                <w:sz w:val="24"/>
                <w:szCs w:val="24"/>
                <w:lang w:eastAsia="en-US"/>
              </w:rPr>
              <w:t>r vēstuli noraid</w:t>
            </w:r>
            <w:r w:rsidR="00BD15C6">
              <w:rPr>
                <w:rFonts w:eastAsia="Calibri"/>
                <w:sz w:val="24"/>
                <w:szCs w:val="24"/>
                <w:lang w:eastAsia="en-US"/>
              </w:rPr>
              <w:t>īts iesniegums</w:t>
            </w:r>
            <w:r w:rsidR="00BD15C6" w:rsidRPr="00327DAE">
              <w:rPr>
                <w:rFonts w:eastAsia="Calibri"/>
                <w:sz w:val="24"/>
                <w:szCs w:val="24"/>
                <w:lang w:eastAsia="en-US"/>
              </w:rPr>
              <w:t xml:space="preserve"> par kreditora atrašanos koncernā ar parādnieku</w:t>
            </w:r>
            <w:r w:rsidR="00BD15C6">
              <w:rPr>
                <w:rFonts w:eastAsia="Calibri"/>
                <w:sz w:val="24"/>
                <w:szCs w:val="24"/>
                <w:lang w:eastAsia="en-US"/>
              </w:rPr>
              <w:t xml:space="preserve">. </w:t>
            </w:r>
            <w:r w:rsidRPr="00327DAE">
              <w:rPr>
                <w:sz w:val="24"/>
                <w:szCs w:val="24"/>
              </w:rPr>
              <w:t xml:space="preserve">Jāņem vērā, ka tajā laikā kreditoram, kura pieteiktā pretenzija </w:t>
            </w:r>
            <w:r w:rsidRPr="00327DAE">
              <w:rPr>
                <w:sz w:val="24"/>
                <w:szCs w:val="24"/>
              </w:rPr>
              <w:lastRenderedPageBreak/>
              <w:t>noraidīta, nebija procesuāla statusa. Sniedzot šādu atbildi, tiesnese faktiski atzīst, ka pie šāda secinājuma ir nonākusi pēc materiālu izvērtēšanas, tomēr lietas materiāli skaidri apliecina AS „</w:t>
            </w:r>
            <w:proofErr w:type="spellStart"/>
            <w:r w:rsidRPr="00327DAE">
              <w:rPr>
                <w:sz w:val="24"/>
                <w:szCs w:val="24"/>
              </w:rPr>
              <w:t>Swedbank</w:t>
            </w:r>
            <w:proofErr w:type="spellEnd"/>
            <w:r w:rsidRPr="00327DAE">
              <w:rPr>
                <w:sz w:val="24"/>
                <w:szCs w:val="24"/>
              </w:rPr>
              <w:t>” iesniegumā norādītos faktus. Tiesneses secinājums vēstulē (lēmums) tāpēc ir uzskatāms par rupju kļūdu, ko lēmumā konstatēja arī Augstākā tiesa.</w:t>
            </w:r>
          </w:p>
        </w:tc>
      </w:tr>
      <w:tr w:rsidR="002763E6" w:rsidRPr="00327DAE" w14:paraId="6FEDCB3D" w14:textId="77777777" w:rsidTr="002763E6">
        <w:trPr>
          <w:trHeight w:val="416"/>
        </w:trPr>
        <w:tc>
          <w:tcPr>
            <w:tcW w:w="562" w:type="dxa"/>
            <w:vMerge/>
          </w:tcPr>
          <w:p w14:paraId="5A8272C3" w14:textId="77777777" w:rsidR="002763E6" w:rsidRPr="00327DAE" w:rsidRDefault="002763E6" w:rsidP="0025317F">
            <w:pPr>
              <w:spacing w:after="120"/>
              <w:rPr>
                <w:sz w:val="24"/>
                <w:szCs w:val="24"/>
              </w:rPr>
            </w:pPr>
          </w:p>
        </w:tc>
        <w:tc>
          <w:tcPr>
            <w:tcW w:w="7797" w:type="dxa"/>
            <w:gridSpan w:val="3"/>
            <w:shd w:val="clear" w:color="auto" w:fill="auto"/>
            <w:noWrap/>
            <w:vAlign w:val="bottom"/>
          </w:tcPr>
          <w:p w14:paraId="5979763C" w14:textId="77777777" w:rsidR="002763E6" w:rsidRPr="00327DAE" w:rsidRDefault="002763E6" w:rsidP="0025317F">
            <w:pPr>
              <w:spacing w:after="120"/>
              <w:rPr>
                <w:i/>
                <w:sz w:val="24"/>
                <w:szCs w:val="24"/>
              </w:rPr>
            </w:pPr>
            <w:r w:rsidRPr="00327DAE">
              <w:rPr>
                <w:i/>
                <w:sz w:val="24"/>
                <w:szCs w:val="24"/>
              </w:rPr>
              <w:t>H. Jaujas atsevišķie secinājumi</w:t>
            </w:r>
          </w:p>
          <w:p w14:paraId="23B9BC02" w14:textId="111A2B87" w:rsidR="002763E6" w:rsidRPr="00327DAE" w:rsidRDefault="002763E6" w:rsidP="0025317F">
            <w:pPr>
              <w:spacing w:after="120"/>
              <w:rPr>
                <w:sz w:val="24"/>
                <w:szCs w:val="24"/>
              </w:rPr>
            </w:pPr>
            <w:r w:rsidRPr="00327DAE">
              <w:rPr>
                <w:sz w:val="24"/>
                <w:szCs w:val="24"/>
              </w:rPr>
              <w:t>Izskatāmajā lietā tiesnese V.</w:t>
            </w:r>
            <w:r w:rsidR="001B1DFE">
              <w:rPr>
                <w:sz w:val="24"/>
                <w:szCs w:val="24"/>
              </w:rPr>
              <w:t> </w:t>
            </w:r>
            <w:r w:rsidRPr="00327DAE">
              <w:rPr>
                <w:sz w:val="24"/>
                <w:szCs w:val="24"/>
              </w:rPr>
              <w:t>Gailīte bija lēmusi nepamatoti par labu parādniekam.</w:t>
            </w:r>
          </w:p>
          <w:p w14:paraId="276E54E5" w14:textId="3CBA7615" w:rsidR="002763E6" w:rsidRPr="00327DAE" w:rsidRDefault="002763E6" w:rsidP="0025317F">
            <w:pPr>
              <w:spacing w:after="120"/>
              <w:rPr>
                <w:sz w:val="24"/>
                <w:szCs w:val="24"/>
              </w:rPr>
            </w:pPr>
            <w:r w:rsidRPr="00327DAE">
              <w:rPr>
                <w:sz w:val="24"/>
                <w:szCs w:val="24"/>
              </w:rPr>
              <w:t>Informēju, ka 2013.</w:t>
            </w:r>
            <w:r w:rsidR="001B1DFE">
              <w:rPr>
                <w:sz w:val="24"/>
                <w:szCs w:val="24"/>
              </w:rPr>
              <w:t>–</w:t>
            </w:r>
            <w:r w:rsidRPr="00327DAE">
              <w:rPr>
                <w:sz w:val="24"/>
                <w:szCs w:val="24"/>
              </w:rPr>
              <w:t>2014.</w:t>
            </w:r>
            <w:r w:rsidR="001B1DFE">
              <w:rPr>
                <w:sz w:val="24"/>
                <w:szCs w:val="24"/>
              </w:rPr>
              <w:t> </w:t>
            </w:r>
            <w:r w:rsidRPr="00327DAE">
              <w:rPr>
                <w:sz w:val="24"/>
                <w:szCs w:val="24"/>
              </w:rPr>
              <w:t>gadā esmu bijis iesais</w:t>
            </w:r>
            <w:r w:rsidR="00AC4D98">
              <w:rPr>
                <w:sz w:val="24"/>
                <w:szCs w:val="24"/>
              </w:rPr>
              <w:t>tīts konsultāciju sniegšanā AS „</w:t>
            </w:r>
            <w:proofErr w:type="spellStart"/>
            <w:r w:rsidRPr="00327DAE">
              <w:rPr>
                <w:sz w:val="24"/>
                <w:szCs w:val="24"/>
              </w:rPr>
              <w:t>Norvik</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t.s. </w:t>
            </w:r>
            <w:r w:rsidR="00AC4D98">
              <w:rPr>
                <w:sz w:val="24"/>
                <w:szCs w:val="24"/>
              </w:rPr>
              <w:t>„</w:t>
            </w:r>
            <w:proofErr w:type="spellStart"/>
            <w:r w:rsidRPr="00327DAE">
              <w:rPr>
                <w:sz w:val="24"/>
                <w:szCs w:val="24"/>
              </w:rPr>
              <w:t>Winergy</w:t>
            </w:r>
            <w:proofErr w:type="spellEnd"/>
            <w:r w:rsidR="001B1DFE">
              <w:rPr>
                <w:sz w:val="24"/>
                <w:szCs w:val="24"/>
              </w:rPr>
              <w:t>”</w:t>
            </w:r>
            <w:r w:rsidRPr="00327DAE">
              <w:rPr>
                <w:sz w:val="24"/>
                <w:szCs w:val="24"/>
              </w:rPr>
              <w:t xml:space="preserve"> strīdā, būdams SIA </w:t>
            </w:r>
            <w:r w:rsidR="00AC4D98">
              <w:rPr>
                <w:sz w:val="24"/>
                <w:szCs w:val="24"/>
              </w:rPr>
              <w:t>„</w:t>
            </w:r>
            <w:proofErr w:type="spellStart"/>
            <w:r w:rsidRPr="00327DAE">
              <w:rPr>
                <w:sz w:val="24"/>
                <w:szCs w:val="24"/>
              </w:rPr>
              <w:t>Deloitte</w:t>
            </w:r>
            <w:proofErr w:type="spellEnd"/>
            <w:r w:rsidRPr="00327DAE">
              <w:rPr>
                <w:sz w:val="24"/>
                <w:szCs w:val="24"/>
              </w:rPr>
              <w:t xml:space="preserve"> </w:t>
            </w:r>
            <w:proofErr w:type="spellStart"/>
            <w:r w:rsidRPr="00327DAE">
              <w:rPr>
                <w:sz w:val="24"/>
                <w:szCs w:val="24"/>
              </w:rPr>
              <w:t>Latvia</w:t>
            </w:r>
            <w:proofErr w:type="spellEnd"/>
            <w:r w:rsidRPr="00327DAE">
              <w:rPr>
                <w:sz w:val="24"/>
                <w:szCs w:val="24"/>
              </w:rPr>
              <w:t>” vadošais jurists. Darba uz</w:t>
            </w:r>
            <w:r w:rsidR="00AC4D98">
              <w:rPr>
                <w:sz w:val="24"/>
                <w:szCs w:val="24"/>
              </w:rPr>
              <w:t>devumi lielākoties ietvēra SIA „</w:t>
            </w:r>
            <w:proofErr w:type="spellStart"/>
            <w:r w:rsidRPr="00327DAE">
              <w:rPr>
                <w:sz w:val="24"/>
                <w:szCs w:val="24"/>
              </w:rPr>
              <w:t>Winergy</w:t>
            </w:r>
            <w:proofErr w:type="spellEnd"/>
            <w:r w:rsidRPr="00327DAE">
              <w:rPr>
                <w:sz w:val="24"/>
                <w:szCs w:val="24"/>
              </w:rPr>
              <w:t>” un ar to saistīto</w:t>
            </w:r>
            <w:r w:rsidR="00AC4D98">
              <w:rPr>
                <w:sz w:val="24"/>
                <w:szCs w:val="24"/>
              </w:rPr>
              <w:t xml:space="preserve"> sabiedrību SIA „</w:t>
            </w:r>
            <w:proofErr w:type="spellStart"/>
            <w:r w:rsidR="00AC4D98">
              <w:rPr>
                <w:sz w:val="24"/>
                <w:szCs w:val="24"/>
              </w:rPr>
              <w:t>Arsenal</w:t>
            </w:r>
            <w:proofErr w:type="spellEnd"/>
            <w:r w:rsidR="00AC4D98">
              <w:rPr>
                <w:sz w:val="24"/>
                <w:szCs w:val="24"/>
              </w:rPr>
              <w:t>”, SIA „</w:t>
            </w:r>
            <w:proofErr w:type="spellStart"/>
            <w:r w:rsidRPr="00327DAE">
              <w:rPr>
                <w:sz w:val="24"/>
                <w:szCs w:val="24"/>
              </w:rPr>
              <w:t>Ošmaļi</w:t>
            </w:r>
            <w:proofErr w:type="spellEnd"/>
            <w:r w:rsidRPr="00327DAE">
              <w:rPr>
                <w:sz w:val="24"/>
                <w:szCs w:val="24"/>
              </w:rPr>
              <w:t xml:space="preserve">” u.c. grāmatvedības dokumentu un finanšu datu izpēti, lai noskaidrotu šo sabiedrību veikto darījumu un transakciju ekonomisko pamatotību un atbilstību iepriekš deklarētajām ziņām. SIA </w:t>
            </w:r>
            <w:r w:rsidR="00AC4D98">
              <w:rPr>
                <w:sz w:val="24"/>
                <w:szCs w:val="24"/>
              </w:rPr>
              <w:t>„</w:t>
            </w:r>
            <w:proofErr w:type="spellStart"/>
            <w:r w:rsidRPr="00327DAE">
              <w:rPr>
                <w:sz w:val="24"/>
                <w:szCs w:val="24"/>
              </w:rPr>
              <w:t>Deloitte</w:t>
            </w:r>
            <w:proofErr w:type="spellEnd"/>
            <w:r w:rsidRPr="00327DAE">
              <w:rPr>
                <w:sz w:val="24"/>
                <w:szCs w:val="24"/>
              </w:rPr>
              <w:t xml:space="preserve"> </w:t>
            </w:r>
            <w:proofErr w:type="spellStart"/>
            <w:r w:rsidRPr="00327DAE">
              <w:rPr>
                <w:sz w:val="24"/>
                <w:szCs w:val="24"/>
              </w:rPr>
              <w:t>Latvia</w:t>
            </w:r>
            <w:proofErr w:type="spellEnd"/>
            <w:r w:rsidRPr="00327DAE">
              <w:rPr>
                <w:sz w:val="24"/>
                <w:szCs w:val="24"/>
              </w:rPr>
              <w:t xml:space="preserve">” sagatavotie atzinumi tika izmantoti kā pierādījumi gan tiesvedībās, gan kriminālprocesā, kas tika ierosināts par iespējamiem kriminālnodarījumiem ar </w:t>
            </w:r>
            <w:r w:rsidR="00AC4D98">
              <w:rPr>
                <w:sz w:val="24"/>
                <w:szCs w:val="24"/>
              </w:rPr>
              <w:t>„</w:t>
            </w:r>
            <w:proofErr w:type="spellStart"/>
            <w:r w:rsidRPr="00327DAE">
              <w:rPr>
                <w:sz w:val="24"/>
                <w:szCs w:val="24"/>
              </w:rPr>
              <w:t>Winergy</w:t>
            </w:r>
            <w:proofErr w:type="spellEnd"/>
            <w:r w:rsidR="001B1DFE">
              <w:rPr>
                <w:sz w:val="24"/>
                <w:szCs w:val="24"/>
              </w:rPr>
              <w:t>”</w:t>
            </w:r>
            <w:r w:rsidRPr="00327DAE">
              <w:rPr>
                <w:sz w:val="24"/>
                <w:szCs w:val="24"/>
              </w:rPr>
              <w:t xml:space="preserve"> saistīto personu darbībās. Ņemot vērā informāciju, ko esmu ieguvis savas profesionālās darbības ietvaros, vēlos vērst uzmanību uz vēl vienu tiesneses V.</w:t>
            </w:r>
            <w:r w:rsidR="001B1DFE">
              <w:rPr>
                <w:sz w:val="24"/>
                <w:szCs w:val="24"/>
              </w:rPr>
              <w:t> </w:t>
            </w:r>
            <w:r w:rsidRPr="00327DAE">
              <w:rPr>
                <w:sz w:val="24"/>
                <w:szCs w:val="24"/>
              </w:rPr>
              <w:t>Gailītes nolēmumu.</w:t>
            </w:r>
          </w:p>
          <w:p w14:paraId="4EBBA98F" w14:textId="395B7B7E" w:rsidR="002763E6" w:rsidRPr="00327DAE" w:rsidRDefault="00AC4D98" w:rsidP="0025317F">
            <w:pPr>
              <w:spacing w:after="120"/>
              <w:rPr>
                <w:sz w:val="24"/>
                <w:szCs w:val="24"/>
              </w:rPr>
            </w:pPr>
            <w:r>
              <w:rPr>
                <w:sz w:val="24"/>
                <w:szCs w:val="24"/>
              </w:rPr>
              <w:t>SIA „</w:t>
            </w:r>
            <w:proofErr w:type="spellStart"/>
            <w:r w:rsidR="002763E6" w:rsidRPr="00327DAE">
              <w:rPr>
                <w:sz w:val="24"/>
                <w:szCs w:val="24"/>
              </w:rPr>
              <w:t>Ošmaļi</w:t>
            </w:r>
            <w:proofErr w:type="spellEnd"/>
            <w:r w:rsidR="002763E6" w:rsidRPr="00327DAE">
              <w:rPr>
                <w:sz w:val="24"/>
                <w:szCs w:val="24"/>
              </w:rPr>
              <w:t xml:space="preserve">” maksātnespējas procesa lietā (SIA </w:t>
            </w:r>
            <w:r>
              <w:rPr>
                <w:sz w:val="24"/>
                <w:szCs w:val="24"/>
              </w:rPr>
              <w:t>„</w:t>
            </w:r>
            <w:proofErr w:type="spellStart"/>
            <w:r w:rsidR="002763E6" w:rsidRPr="00327DAE">
              <w:rPr>
                <w:sz w:val="24"/>
                <w:szCs w:val="24"/>
              </w:rPr>
              <w:t>Ošmaļi</w:t>
            </w:r>
            <w:proofErr w:type="spellEnd"/>
            <w:r w:rsidR="002763E6" w:rsidRPr="00327DAE">
              <w:rPr>
                <w:sz w:val="24"/>
                <w:szCs w:val="24"/>
              </w:rPr>
              <w:t xml:space="preserve">” bija viena no </w:t>
            </w:r>
            <w:r>
              <w:rPr>
                <w:sz w:val="24"/>
                <w:szCs w:val="24"/>
              </w:rPr>
              <w:t>„</w:t>
            </w:r>
            <w:proofErr w:type="spellStart"/>
            <w:r w:rsidR="002763E6" w:rsidRPr="00327DAE">
              <w:rPr>
                <w:sz w:val="24"/>
                <w:szCs w:val="24"/>
              </w:rPr>
              <w:t>Winergy</w:t>
            </w:r>
            <w:proofErr w:type="spellEnd"/>
            <w:r w:rsidR="001B1DFE">
              <w:rPr>
                <w:sz w:val="24"/>
                <w:szCs w:val="24"/>
              </w:rPr>
              <w:t>”</w:t>
            </w:r>
            <w:r w:rsidR="002763E6" w:rsidRPr="00327DAE">
              <w:rPr>
                <w:sz w:val="24"/>
                <w:szCs w:val="24"/>
              </w:rPr>
              <w:t xml:space="preserve"> strīdā iesaistītajām sabiedrībām) Maksātnespējas administrācija ar 2014.</w:t>
            </w:r>
            <w:r w:rsidR="001B1DFE">
              <w:rPr>
                <w:sz w:val="24"/>
                <w:szCs w:val="24"/>
              </w:rPr>
              <w:t> </w:t>
            </w:r>
            <w:r w:rsidR="002763E6" w:rsidRPr="00327DAE">
              <w:rPr>
                <w:sz w:val="24"/>
                <w:szCs w:val="24"/>
              </w:rPr>
              <w:t>gada 7.</w:t>
            </w:r>
            <w:r w:rsidR="001B1DFE">
              <w:rPr>
                <w:sz w:val="24"/>
                <w:szCs w:val="24"/>
              </w:rPr>
              <w:t> </w:t>
            </w:r>
            <w:r w:rsidR="002763E6" w:rsidRPr="00327DAE">
              <w:rPr>
                <w:sz w:val="24"/>
                <w:szCs w:val="24"/>
              </w:rPr>
              <w:t>maija lēmumu Nr.</w:t>
            </w:r>
            <w:r w:rsidR="001B1DFE">
              <w:rPr>
                <w:sz w:val="24"/>
                <w:szCs w:val="24"/>
              </w:rPr>
              <w:t> </w:t>
            </w:r>
            <w:r w:rsidR="002763E6" w:rsidRPr="00327DAE">
              <w:rPr>
                <w:sz w:val="24"/>
                <w:szCs w:val="24"/>
              </w:rPr>
              <w:t>1-10/85 kons</w:t>
            </w:r>
            <w:r>
              <w:rPr>
                <w:sz w:val="24"/>
                <w:szCs w:val="24"/>
              </w:rPr>
              <w:t>tatēja būtiskus pārkāpumus SIA „</w:t>
            </w:r>
            <w:proofErr w:type="spellStart"/>
            <w:r w:rsidR="002763E6" w:rsidRPr="00327DAE">
              <w:rPr>
                <w:sz w:val="24"/>
                <w:szCs w:val="24"/>
              </w:rPr>
              <w:t>Ošmaļi</w:t>
            </w:r>
            <w:proofErr w:type="spellEnd"/>
            <w:r w:rsidR="002763E6" w:rsidRPr="00327DAE">
              <w:rPr>
                <w:sz w:val="24"/>
                <w:szCs w:val="24"/>
              </w:rPr>
              <w:t xml:space="preserve">” maksātnespējas procesa administratores Janas </w:t>
            </w:r>
            <w:proofErr w:type="spellStart"/>
            <w:r w:rsidR="002763E6" w:rsidRPr="00327DAE">
              <w:rPr>
                <w:sz w:val="24"/>
                <w:szCs w:val="24"/>
              </w:rPr>
              <w:t>Kesenfeldes</w:t>
            </w:r>
            <w:proofErr w:type="spellEnd"/>
            <w:r w:rsidR="002763E6" w:rsidRPr="00327DAE">
              <w:rPr>
                <w:sz w:val="24"/>
                <w:szCs w:val="24"/>
              </w:rPr>
              <w:t xml:space="preserve"> darbībā. Administratore šo lēmumu pārsūdzēja Centra rajona tiesā, kur tas nonāca tiesneses </w:t>
            </w:r>
            <w:r w:rsidR="00FD0FC9">
              <w:rPr>
                <w:sz w:val="24"/>
                <w:szCs w:val="24"/>
              </w:rPr>
              <w:t>V. </w:t>
            </w:r>
            <w:r w:rsidR="002763E6" w:rsidRPr="00327DAE">
              <w:rPr>
                <w:sz w:val="24"/>
                <w:szCs w:val="24"/>
              </w:rPr>
              <w:t>Gailītes izskatīšanā. Pamatojoties uz minēto lēmumu, Maksātnespējas administrācija 2014.</w:t>
            </w:r>
            <w:r w:rsidR="001B1DFE">
              <w:rPr>
                <w:sz w:val="24"/>
                <w:szCs w:val="24"/>
              </w:rPr>
              <w:t> </w:t>
            </w:r>
            <w:r w:rsidR="002763E6" w:rsidRPr="00327DAE">
              <w:rPr>
                <w:sz w:val="24"/>
                <w:szCs w:val="24"/>
              </w:rPr>
              <w:t>gada 16.</w:t>
            </w:r>
            <w:r w:rsidR="001B1DFE">
              <w:rPr>
                <w:sz w:val="24"/>
                <w:szCs w:val="24"/>
              </w:rPr>
              <w:t> </w:t>
            </w:r>
            <w:r w:rsidR="002763E6" w:rsidRPr="00327DAE">
              <w:rPr>
                <w:sz w:val="24"/>
                <w:szCs w:val="24"/>
              </w:rPr>
              <w:t xml:space="preserve">maijā bija vērsusies Rīgas pilsētas Centra rajona tiesā ar pieteikumu par Janas </w:t>
            </w:r>
            <w:proofErr w:type="spellStart"/>
            <w:r w:rsidR="002763E6" w:rsidRPr="00327DAE">
              <w:rPr>
                <w:sz w:val="24"/>
                <w:szCs w:val="24"/>
              </w:rPr>
              <w:t>Kesenfeldes</w:t>
            </w:r>
            <w:proofErr w:type="spellEnd"/>
            <w:r w:rsidR="002763E6" w:rsidRPr="00327DAE">
              <w:rPr>
                <w:sz w:val="24"/>
                <w:szCs w:val="24"/>
              </w:rPr>
              <w:t xml:space="preserve"> atcelšanu no maksātnespējas procesa </w:t>
            </w:r>
            <w:r w:rsidR="001B1DFE" w:rsidRPr="00327DAE">
              <w:rPr>
                <w:sz w:val="24"/>
                <w:szCs w:val="24"/>
              </w:rPr>
              <w:t>administrator</w:t>
            </w:r>
            <w:r w:rsidR="001B1DFE">
              <w:rPr>
                <w:sz w:val="24"/>
                <w:szCs w:val="24"/>
              </w:rPr>
              <w:t>es</w:t>
            </w:r>
            <w:r w:rsidR="001B1DFE" w:rsidRPr="00327DAE">
              <w:rPr>
                <w:sz w:val="24"/>
                <w:szCs w:val="24"/>
              </w:rPr>
              <w:t xml:space="preserve"> </w:t>
            </w:r>
            <w:r w:rsidR="002763E6" w:rsidRPr="00327DAE">
              <w:rPr>
                <w:sz w:val="24"/>
                <w:szCs w:val="24"/>
              </w:rPr>
              <w:t xml:space="preserve">amata SIA </w:t>
            </w:r>
            <w:r>
              <w:rPr>
                <w:sz w:val="24"/>
                <w:szCs w:val="24"/>
              </w:rPr>
              <w:t>„</w:t>
            </w:r>
            <w:proofErr w:type="spellStart"/>
            <w:r w:rsidR="002763E6" w:rsidRPr="00327DAE">
              <w:rPr>
                <w:sz w:val="24"/>
                <w:szCs w:val="24"/>
              </w:rPr>
              <w:t>Ošmaļi</w:t>
            </w:r>
            <w:proofErr w:type="spellEnd"/>
            <w:r w:rsidR="002763E6" w:rsidRPr="00327DAE">
              <w:rPr>
                <w:sz w:val="24"/>
                <w:szCs w:val="24"/>
              </w:rPr>
              <w:t xml:space="preserve">” maksātnespējas procesā. Tiesnese </w:t>
            </w:r>
            <w:r w:rsidR="00FD0FC9">
              <w:rPr>
                <w:sz w:val="24"/>
                <w:szCs w:val="24"/>
              </w:rPr>
              <w:t>V. </w:t>
            </w:r>
            <w:r w:rsidR="002763E6" w:rsidRPr="00327DAE">
              <w:rPr>
                <w:sz w:val="24"/>
                <w:szCs w:val="24"/>
              </w:rPr>
              <w:t>Gailīte atlika jautājuma izskatīšanu par administratores atcelšanu pēc tam, kad būs izskatīta sūdzība par Maksātnespējas administrācijas lēmumu.</w:t>
            </w:r>
          </w:p>
          <w:p w14:paraId="1064C106" w14:textId="3C1BA1FA" w:rsidR="002763E6" w:rsidRPr="00327DAE" w:rsidRDefault="002763E6" w:rsidP="0025317F">
            <w:pPr>
              <w:spacing w:after="120"/>
              <w:rPr>
                <w:sz w:val="24"/>
                <w:szCs w:val="24"/>
              </w:rPr>
            </w:pPr>
            <w:r w:rsidRPr="00327DAE">
              <w:rPr>
                <w:sz w:val="24"/>
                <w:szCs w:val="24"/>
              </w:rPr>
              <w:t>2014.</w:t>
            </w:r>
            <w:r w:rsidR="001B1DFE">
              <w:rPr>
                <w:sz w:val="24"/>
                <w:szCs w:val="24"/>
              </w:rPr>
              <w:t> </w:t>
            </w:r>
            <w:r w:rsidRPr="00327DAE">
              <w:rPr>
                <w:sz w:val="24"/>
                <w:szCs w:val="24"/>
              </w:rPr>
              <w:t>gada 5.</w:t>
            </w:r>
            <w:r w:rsidR="001B1DFE">
              <w:rPr>
                <w:sz w:val="24"/>
                <w:szCs w:val="24"/>
              </w:rPr>
              <w:t> </w:t>
            </w:r>
            <w:r w:rsidR="00AC4D98">
              <w:rPr>
                <w:sz w:val="24"/>
                <w:szCs w:val="24"/>
              </w:rPr>
              <w:t>jūnija SIA „</w:t>
            </w:r>
            <w:proofErr w:type="spellStart"/>
            <w:r w:rsidRPr="00327DAE">
              <w:rPr>
                <w:sz w:val="24"/>
                <w:szCs w:val="24"/>
              </w:rPr>
              <w:t>Ošmaļi</w:t>
            </w:r>
            <w:proofErr w:type="spellEnd"/>
            <w:r w:rsidRPr="00327DAE">
              <w:rPr>
                <w:sz w:val="24"/>
                <w:szCs w:val="24"/>
              </w:rPr>
              <w:t xml:space="preserve">” kreditoru sapulcē notika balsojums par administratores atcelšanu un nomaiņu pret citu administratori. Lēmumu lielākā kreditora vārdā pieņēma administrators Ēriks </w:t>
            </w:r>
            <w:proofErr w:type="spellStart"/>
            <w:r w:rsidRPr="00327DAE">
              <w:rPr>
                <w:sz w:val="24"/>
                <w:szCs w:val="24"/>
              </w:rPr>
              <w:t>Spurelis</w:t>
            </w:r>
            <w:proofErr w:type="spellEnd"/>
            <w:r w:rsidRPr="00327DAE">
              <w:rPr>
                <w:sz w:val="24"/>
                <w:szCs w:val="24"/>
              </w:rPr>
              <w:t>, kurš praktizēja Rīg</w:t>
            </w:r>
            <w:r w:rsidR="001B1DFE">
              <w:rPr>
                <w:sz w:val="24"/>
                <w:szCs w:val="24"/>
              </w:rPr>
              <w:t>ā</w:t>
            </w:r>
            <w:r w:rsidRPr="00327DAE">
              <w:rPr>
                <w:sz w:val="24"/>
                <w:szCs w:val="24"/>
              </w:rPr>
              <w:t xml:space="preserve">, Antonijas ielā 7. Sekoja SIA </w:t>
            </w:r>
            <w:r w:rsidR="00AC4D98">
              <w:rPr>
                <w:sz w:val="24"/>
                <w:szCs w:val="24"/>
              </w:rPr>
              <w:t>„</w:t>
            </w:r>
            <w:proofErr w:type="spellStart"/>
            <w:r w:rsidRPr="00327DAE">
              <w:rPr>
                <w:sz w:val="24"/>
                <w:szCs w:val="24"/>
              </w:rPr>
              <w:t>Ošmaļi</w:t>
            </w:r>
            <w:proofErr w:type="spellEnd"/>
            <w:r w:rsidRPr="00327DAE">
              <w:rPr>
                <w:sz w:val="24"/>
                <w:szCs w:val="24"/>
              </w:rPr>
              <w:t>” kreditoru pieteikums nomainīt Janu Kesenfeldi pret jauno administratori.</w:t>
            </w:r>
          </w:p>
          <w:p w14:paraId="044DB024" w14:textId="281A91B6" w:rsidR="002763E6" w:rsidRPr="00327DAE" w:rsidRDefault="002763E6" w:rsidP="0025317F">
            <w:pPr>
              <w:spacing w:after="120"/>
              <w:rPr>
                <w:sz w:val="24"/>
                <w:szCs w:val="24"/>
              </w:rPr>
            </w:pPr>
            <w:r w:rsidRPr="00327DAE">
              <w:rPr>
                <w:sz w:val="24"/>
                <w:szCs w:val="24"/>
              </w:rPr>
              <w:t>Neskatoties uz to, ka Maksātnespējas administrācija 2014.</w:t>
            </w:r>
            <w:r w:rsidR="001B1DFE">
              <w:rPr>
                <w:sz w:val="24"/>
                <w:szCs w:val="24"/>
              </w:rPr>
              <w:t> </w:t>
            </w:r>
            <w:r w:rsidRPr="00327DAE">
              <w:rPr>
                <w:sz w:val="24"/>
                <w:szCs w:val="24"/>
              </w:rPr>
              <w:t>gada 11.</w:t>
            </w:r>
            <w:r w:rsidR="001B1DFE">
              <w:rPr>
                <w:sz w:val="24"/>
                <w:szCs w:val="24"/>
              </w:rPr>
              <w:t> </w:t>
            </w:r>
            <w:r w:rsidRPr="00327DAE">
              <w:rPr>
                <w:sz w:val="24"/>
                <w:szCs w:val="24"/>
              </w:rPr>
              <w:t>jūnijā īpašā iesniegumā vērsa</w:t>
            </w:r>
            <w:r w:rsidR="00AC4D98">
              <w:rPr>
                <w:sz w:val="24"/>
                <w:szCs w:val="24"/>
              </w:rPr>
              <w:t xml:space="preserve"> tiesas uzmanību uz to, ka SIA „</w:t>
            </w:r>
            <w:proofErr w:type="spellStart"/>
            <w:r w:rsidRPr="00327DAE">
              <w:rPr>
                <w:sz w:val="24"/>
                <w:szCs w:val="24"/>
              </w:rPr>
              <w:t>Ošmaļi</w:t>
            </w:r>
            <w:proofErr w:type="spellEnd"/>
            <w:r w:rsidRPr="00327DAE">
              <w:rPr>
                <w:sz w:val="24"/>
                <w:szCs w:val="24"/>
              </w:rPr>
              <w:t xml:space="preserve">” kreditoru sapulces lēmums ir vērsts uz to, lai pasargātu Janu Kesenfeldi no negatīvām juridiskām sekām par tās izdarītajiem pārkāpumiem, tiesnese </w:t>
            </w:r>
            <w:r w:rsidR="00FD0FC9">
              <w:rPr>
                <w:sz w:val="24"/>
                <w:szCs w:val="24"/>
              </w:rPr>
              <w:t>V. </w:t>
            </w:r>
            <w:r w:rsidR="00E81FE0">
              <w:rPr>
                <w:sz w:val="24"/>
                <w:szCs w:val="24"/>
              </w:rPr>
              <w:t>Gailīte vispirms izskatīja SIA „</w:t>
            </w:r>
            <w:proofErr w:type="spellStart"/>
            <w:r w:rsidRPr="00327DAE">
              <w:rPr>
                <w:sz w:val="24"/>
                <w:szCs w:val="24"/>
              </w:rPr>
              <w:t>Ošmaļi</w:t>
            </w:r>
            <w:proofErr w:type="spellEnd"/>
            <w:r w:rsidRPr="00327DAE">
              <w:rPr>
                <w:sz w:val="24"/>
                <w:szCs w:val="24"/>
              </w:rPr>
              <w:t>” kreditoru 2014.</w:t>
            </w:r>
            <w:r w:rsidR="00EA4A6A">
              <w:rPr>
                <w:sz w:val="24"/>
                <w:szCs w:val="24"/>
              </w:rPr>
              <w:t> </w:t>
            </w:r>
            <w:r w:rsidRPr="00327DAE">
              <w:rPr>
                <w:sz w:val="24"/>
                <w:szCs w:val="24"/>
              </w:rPr>
              <w:t>gada 9.</w:t>
            </w:r>
            <w:r w:rsidR="00EA4A6A">
              <w:rPr>
                <w:sz w:val="24"/>
                <w:szCs w:val="24"/>
              </w:rPr>
              <w:t> </w:t>
            </w:r>
            <w:r w:rsidRPr="00327DAE">
              <w:rPr>
                <w:sz w:val="24"/>
                <w:szCs w:val="24"/>
              </w:rPr>
              <w:t>jūnija pieteikumu par administratora nomaiņu un ar 2014.</w:t>
            </w:r>
            <w:r w:rsidR="00EA4A6A">
              <w:rPr>
                <w:sz w:val="24"/>
                <w:szCs w:val="24"/>
              </w:rPr>
              <w:t> </w:t>
            </w:r>
            <w:r w:rsidRPr="00327DAE">
              <w:rPr>
                <w:sz w:val="24"/>
                <w:szCs w:val="24"/>
              </w:rPr>
              <w:t>gada 12.</w:t>
            </w:r>
            <w:r w:rsidR="00EA4A6A">
              <w:rPr>
                <w:sz w:val="24"/>
                <w:szCs w:val="24"/>
              </w:rPr>
              <w:t> </w:t>
            </w:r>
            <w:r w:rsidRPr="00327DAE">
              <w:rPr>
                <w:sz w:val="24"/>
                <w:szCs w:val="24"/>
              </w:rPr>
              <w:t>jūnija lēmumu lietā Nr.</w:t>
            </w:r>
            <w:r w:rsidR="00EA4A6A">
              <w:rPr>
                <w:sz w:val="24"/>
                <w:szCs w:val="24"/>
              </w:rPr>
              <w:t> </w:t>
            </w:r>
            <w:r w:rsidRPr="00327DAE">
              <w:rPr>
                <w:sz w:val="24"/>
                <w:szCs w:val="24"/>
              </w:rPr>
              <w:t>C27148914 to apmierināja. Savukārt tiesvedību par administrator</w:t>
            </w:r>
            <w:r w:rsidR="00EA4A6A">
              <w:rPr>
                <w:sz w:val="24"/>
                <w:szCs w:val="24"/>
              </w:rPr>
              <w:t>a</w:t>
            </w:r>
            <w:r w:rsidRPr="00327DAE">
              <w:rPr>
                <w:sz w:val="24"/>
                <w:szCs w:val="24"/>
              </w:rPr>
              <w:t xml:space="preserve"> atcelšanu uz M</w:t>
            </w:r>
            <w:r w:rsidR="00E81FE0">
              <w:rPr>
                <w:sz w:val="24"/>
                <w:szCs w:val="24"/>
              </w:rPr>
              <w:t xml:space="preserve">aksātnespējas administrācijas </w:t>
            </w:r>
            <w:r w:rsidRPr="00327DAE">
              <w:rPr>
                <w:sz w:val="24"/>
                <w:szCs w:val="24"/>
              </w:rPr>
              <w:t>pieteikuma pamata 2014.</w:t>
            </w:r>
            <w:r w:rsidR="00EA4A6A">
              <w:rPr>
                <w:sz w:val="24"/>
                <w:szCs w:val="24"/>
              </w:rPr>
              <w:t> </w:t>
            </w:r>
            <w:r w:rsidRPr="00327DAE">
              <w:rPr>
                <w:sz w:val="24"/>
                <w:szCs w:val="24"/>
              </w:rPr>
              <w:t>gada 13.</w:t>
            </w:r>
            <w:r w:rsidR="00EA4A6A">
              <w:rPr>
                <w:sz w:val="24"/>
                <w:szCs w:val="24"/>
              </w:rPr>
              <w:t> </w:t>
            </w:r>
            <w:r w:rsidRPr="00327DAE">
              <w:rPr>
                <w:sz w:val="24"/>
                <w:szCs w:val="24"/>
              </w:rPr>
              <w:t xml:space="preserve">jūnijā izbeidza. </w:t>
            </w:r>
          </w:p>
          <w:p w14:paraId="336B07F5" w14:textId="128E5D00" w:rsidR="002763E6" w:rsidRPr="00327DAE" w:rsidRDefault="002763E6" w:rsidP="0025317F">
            <w:pPr>
              <w:spacing w:after="120"/>
              <w:rPr>
                <w:sz w:val="24"/>
                <w:szCs w:val="24"/>
              </w:rPr>
            </w:pPr>
            <w:r w:rsidRPr="00327DAE">
              <w:rPr>
                <w:sz w:val="24"/>
                <w:szCs w:val="24"/>
              </w:rPr>
              <w:t xml:space="preserve">Ja tiesnese </w:t>
            </w:r>
            <w:r w:rsidR="00FD0FC9">
              <w:rPr>
                <w:sz w:val="24"/>
                <w:szCs w:val="24"/>
              </w:rPr>
              <w:t>V. </w:t>
            </w:r>
            <w:r w:rsidRPr="00327DAE">
              <w:rPr>
                <w:sz w:val="24"/>
                <w:szCs w:val="24"/>
              </w:rPr>
              <w:t xml:space="preserve">Gailīte būtu izskatījusi pirmo Maksātnespējas administrācijas pieteikumu par Janas </w:t>
            </w:r>
            <w:proofErr w:type="spellStart"/>
            <w:r w:rsidRPr="00327DAE">
              <w:rPr>
                <w:sz w:val="24"/>
                <w:szCs w:val="24"/>
              </w:rPr>
              <w:t>Kesenfeldes</w:t>
            </w:r>
            <w:proofErr w:type="spellEnd"/>
            <w:r w:rsidRPr="00327DAE">
              <w:rPr>
                <w:sz w:val="24"/>
                <w:szCs w:val="24"/>
              </w:rPr>
              <w:t xml:space="preserve"> atcelšanu sakarā ar pārkāpumiem procesā un </w:t>
            </w:r>
            <w:r w:rsidRPr="00327DAE">
              <w:rPr>
                <w:sz w:val="24"/>
                <w:szCs w:val="24"/>
              </w:rPr>
              <w:lastRenderedPageBreak/>
              <w:t>atcēlusi J.</w:t>
            </w:r>
            <w:r w:rsidR="00EA4A6A">
              <w:rPr>
                <w:sz w:val="24"/>
                <w:szCs w:val="24"/>
              </w:rPr>
              <w:t> </w:t>
            </w:r>
            <w:r w:rsidRPr="00327DAE">
              <w:rPr>
                <w:sz w:val="24"/>
                <w:szCs w:val="24"/>
              </w:rPr>
              <w:t xml:space="preserve">Kesenfeldi par pārkāpumiem, tas būtu būtiski ietekmējis Janas </w:t>
            </w:r>
            <w:proofErr w:type="spellStart"/>
            <w:r w:rsidRPr="00327DAE">
              <w:rPr>
                <w:sz w:val="24"/>
                <w:szCs w:val="24"/>
              </w:rPr>
              <w:t>Kesenfeldes</w:t>
            </w:r>
            <w:proofErr w:type="spellEnd"/>
            <w:r w:rsidRPr="00327DAE">
              <w:rPr>
                <w:sz w:val="24"/>
                <w:szCs w:val="24"/>
              </w:rPr>
              <w:t xml:space="preserve"> kā maksātnespējas </w:t>
            </w:r>
            <w:r w:rsidR="00EA4A6A" w:rsidRPr="00327DAE">
              <w:rPr>
                <w:sz w:val="24"/>
                <w:szCs w:val="24"/>
              </w:rPr>
              <w:t>administrator</w:t>
            </w:r>
            <w:r w:rsidR="00EA4A6A">
              <w:rPr>
                <w:sz w:val="24"/>
                <w:szCs w:val="24"/>
              </w:rPr>
              <w:t>es</w:t>
            </w:r>
            <w:r w:rsidR="00EA4A6A" w:rsidRPr="00327DAE">
              <w:rPr>
                <w:sz w:val="24"/>
                <w:szCs w:val="24"/>
              </w:rPr>
              <w:t xml:space="preserve"> </w:t>
            </w:r>
            <w:r w:rsidRPr="00327DAE">
              <w:rPr>
                <w:sz w:val="24"/>
                <w:szCs w:val="24"/>
              </w:rPr>
              <w:t>statusu. Saskaņā ar tobrīd spēkā esošo Maksātnespējas likuma 17.</w:t>
            </w:r>
            <w:r w:rsidR="00EA4A6A">
              <w:rPr>
                <w:sz w:val="24"/>
                <w:szCs w:val="24"/>
              </w:rPr>
              <w:t> </w:t>
            </w:r>
            <w:r w:rsidRPr="00327DAE">
              <w:rPr>
                <w:sz w:val="24"/>
                <w:szCs w:val="24"/>
              </w:rPr>
              <w:t>panta otrās daļas redakciju administratoram varēja izbeigt sertifikāta darbību, ja pēdējo divu administratora sertifikāta darbības gadu laikā tiesa par normatīvo aktu pārkāpumiem ir divas reizes atcēlusi administratoru no viņa pienākumu pildīšanas.</w:t>
            </w:r>
          </w:p>
          <w:p w14:paraId="2C1D024B" w14:textId="61D4F972" w:rsidR="002763E6" w:rsidRPr="00327DAE" w:rsidRDefault="002763E6" w:rsidP="0025317F">
            <w:pPr>
              <w:spacing w:after="120"/>
              <w:rPr>
                <w:i/>
                <w:sz w:val="24"/>
                <w:szCs w:val="24"/>
              </w:rPr>
            </w:pPr>
            <w:r w:rsidRPr="00327DAE">
              <w:rPr>
                <w:sz w:val="24"/>
                <w:szCs w:val="24"/>
              </w:rPr>
              <w:t xml:space="preserve">Šī tiesneses </w:t>
            </w:r>
            <w:r w:rsidR="00FD0FC9">
              <w:rPr>
                <w:sz w:val="24"/>
                <w:szCs w:val="24"/>
              </w:rPr>
              <w:t>V. </w:t>
            </w:r>
            <w:r w:rsidRPr="00327DAE">
              <w:rPr>
                <w:sz w:val="24"/>
                <w:szCs w:val="24"/>
              </w:rPr>
              <w:t>Gailītes rīcība vērot</w:t>
            </w:r>
            <w:r w:rsidR="00EA4A6A">
              <w:rPr>
                <w:sz w:val="24"/>
                <w:szCs w:val="24"/>
              </w:rPr>
              <w:t>ā</w:t>
            </w:r>
            <w:r w:rsidRPr="00327DAE">
              <w:rPr>
                <w:sz w:val="24"/>
                <w:szCs w:val="24"/>
              </w:rPr>
              <w:t>jam no malas rada iespaidu, ka tiesnese ir</w:t>
            </w:r>
            <w:proofErr w:type="gramStart"/>
            <w:r w:rsidRPr="00327DAE">
              <w:rPr>
                <w:sz w:val="24"/>
                <w:szCs w:val="24"/>
              </w:rPr>
              <w:t xml:space="preserve"> mērķtiecīgi centusies</w:t>
            </w:r>
            <w:proofErr w:type="gramEnd"/>
            <w:r w:rsidRPr="00327DAE">
              <w:rPr>
                <w:sz w:val="24"/>
                <w:szCs w:val="24"/>
              </w:rPr>
              <w:t xml:space="preserve"> pasargāt administratori Janu Kesenfeldi no negatīvām sekām par t</w:t>
            </w:r>
            <w:r w:rsidR="00EA4A6A">
              <w:rPr>
                <w:sz w:val="24"/>
                <w:szCs w:val="24"/>
              </w:rPr>
              <w:t>ā</w:t>
            </w:r>
            <w:r w:rsidRPr="00327DAE">
              <w:rPr>
                <w:sz w:val="24"/>
                <w:szCs w:val="24"/>
              </w:rPr>
              <w:t>s izdarītajiem pārkāpumiem, respektīvi</w:t>
            </w:r>
            <w:r w:rsidR="00EA4A6A">
              <w:rPr>
                <w:sz w:val="24"/>
                <w:szCs w:val="24"/>
              </w:rPr>
              <w:t>,</w:t>
            </w:r>
            <w:r w:rsidRPr="00327DAE">
              <w:rPr>
                <w:sz w:val="24"/>
                <w:szCs w:val="24"/>
              </w:rPr>
              <w:t xml:space="preserve"> tiesnese ir iecietīga pret maksātnespējas administratoru izdarītiem likumpārkāpumiem.</w:t>
            </w:r>
          </w:p>
        </w:tc>
      </w:tr>
      <w:tr w:rsidR="00413AC6" w:rsidRPr="00327DAE" w14:paraId="42BFE2AD" w14:textId="77777777" w:rsidTr="00B40DAA">
        <w:trPr>
          <w:trHeight w:val="416"/>
        </w:trPr>
        <w:tc>
          <w:tcPr>
            <w:tcW w:w="562" w:type="dxa"/>
            <w:vMerge w:val="restart"/>
          </w:tcPr>
          <w:p w14:paraId="5D7B694D" w14:textId="2BADC4AA" w:rsidR="00413AC6" w:rsidRPr="00327DAE" w:rsidRDefault="002763E6" w:rsidP="0025317F">
            <w:pPr>
              <w:spacing w:after="120"/>
              <w:rPr>
                <w:b/>
                <w:color w:val="000000"/>
                <w:sz w:val="24"/>
                <w:szCs w:val="24"/>
              </w:rPr>
            </w:pPr>
            <w:r w:rsidRPr="00327DAE">
              <w:rPr>
                <w:b/>
                <w:color w:val="000000"/>
                <w:sz w:val="24"/>
                <w:szCs w:val="24"/>
              </w:rPr>
              <w:lastRenderedPageBreak/>
              <w:t>13</w:t>
            </w:r>
            <w:r w:rsidR="00413AC6" w:rsidRPr="00327DAE">
              <w:rPr>
                <w:b/>
                <w:color w:val="000000"/>
                <w:sz w:val="24"/>
                <w:szCs w:val="24"/>
              </w:rPr>
              <w:t>.</w:t>
            </w:r>
          </w:p>
        </w:tc>
        <w:tc>
          <w:tcPr>
            <w:tcW w:w="1701" w:type="dxa"/>
            <w:shd w:val="clear" w:color="auto" w:fill="auto"/>
            <w:noWrap/>
            <w:vAlign w:val="bottom"/>
            <w:hideMark/>
          </w:tcPr>
          <w:p w14:paraId="6283A236" w14:textId="77777777" w:rsidR="00413AC6" w:rsidRPr="00327DAE" w:rsidRDefault="00413AC6" w:rsidP="0025317F">
            <w:pPr>
              <w:spacing w:after="120"/>
              <w:rPr>
                <w:b/>
                <w:sz w:val="24"/>
                <w:szCs w:val="24"/>
              </w:rPr>
            </w:pPr>
            <w:r w:rsidRPr="00327DAE">
              <w:rPr>
                <w:b/>
                <w:sz w:val="24"/>
                <w:szCs w:val="24"/>
              </w:rPr>
              <w:t>C27142210</w:t>
            </w:r>
          </w:p>
          <w:p w14:paraId="6EF2D964" w14:textId="0D772538" w:rsidR="00413AC6" w:rsidRPr="00327DAE" w:rsidRDefault="00413AC6" w:rsidP="0025317F">
            <w:pPr>
              <w:spacing w:after="120"/>
              <w:rPr>
                <w:b/>
                <w:sz w:val="24"/>
                <w:szCs w:val="24"/>
              </w:rPr>
            </w:pPr>
            <w:r w:rsidRPr="00327DAE">
              <w:rPr>
                <w:b/>
                <w:sz w:val="24"/>
                <w:szCs w:val="24"/>
              </w:rPr>
              <w:t>SPC-216/2010</w:t>
            </w:r>
          </w:p>
        </w:tc>
        <w:tc>
          <w:tcPr>
            <w:tcW w:w="2410" w:type="dxa"/>
            <w:shd w:val="clear" w:color="auto" w:fill="auto"/>
            <w:vAlign w:val="bottom"/>
            <w:hideMark/>
          </w:tcPr>
          <w:p w14:paraId="758AC11E" w14:textId="4BF0765B" w:rsidR="00413AC6" w:rsidRPr="00327DAE" w:rsidRDefault="00413AC6" w:rsidP="0025317F">
            <w:pPr>
              <w:spacing w:after="120"/>
              <w:rPr>
                <w:b/>
                <w:sz w:val="24"/>
                <w:szCs w:val="24"/>
              </w:rPr>
            </w:pPr>
            <w:r w:rsidRPr="00327DAE">
              <w:rPr>
                <w:b/>
                <w:sz w:val="24"/>
                <w:szCs w:val="24"/>
              </w:rPr>
              <w:t>14.05.2010</w:t>
            </w:r>
            <w:r w:rsidR="00EA4A6A">
              <w:rPr>
                <w:b/>
                <w:sz w:val="24"/>
                <w:szCs w:val="24"/>
              </w:rPr>
              <w:t>.</w:t>
            </w:r>
            <w:r w:rsidRPr="00327DAE">
              <w:rPr>
                <w:b/>
                <w:sz w:val="24"/>
                <w:szCs w:val="24"/>
              </w:rPr>
              <w:t xml:space="preserve"> spriedums</w:t>
            </w:r>
          </w:p>
        </w:tc>
        <w:tc>
          <w:tcPr>
            <w:tcW w:w="3686" w:type="dxa"/>
            <w:shd w:val="clear" w:color="auto" w:fill="auto"/>
            <w:vAlign w:val="bottom"/>
            <w:hideMark/>
          </w:tcPr>
          <w:p w14:paraId="671F9C66" w14:textId="77777777" w:rsidR="00413AC6" w:rsidRPr="00327DAE" w:rsidRDefault="00413AC6" w:rsidP="0025317F">
            <w:pPr>
              <w:pStyle w:val="Heading3"/>
            </w:pPr>
            <w:bookmarkStart w:id="26" w:name="_Toc522527501"/>
            <w:r w:rsidRPr="00327DAE">
              <w:t>SIA „Balta-X” maksātnespējas procesa pieteikums</w:t>
            </w:r>
            <w:bookmarkEnd w:id="26"/>
          </w:p>
        </w:tc>
      </w:tr>
      <w:tr w:rsidR="00413AC6" w:rsidRPr="00327DAE" w14:paraId="2B8949EE" w14:textId="77777777" w:rsidTr="00327DAE">
        <w:trPr>
          <w:trHeight w:val="416"/>
        </w:trPr>
        <w:tc>
          <w:tcPr>
            <w:tcW w:w="562" w:type="dxa"/>
            <w:vMerge/>
          </w:tcPr>
          <w:p w14:paraId="2E536804" w14:textId="77777777" w:rsidR="00413AC6" w:rsidRPr="00327DAE" w:rsidRDefault="00413AC6"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A14F51F" w14:textId="3E9D85CD" w:rsidR="00413AC6" w:rsidRPr="00327DAE" w:rsidRDefault="00413AC6"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6D01E0C7" w14:textId="2A47A534" w:rsidR="00413AC6" w:rsidRPr="00327DAE" w:rsidRDefault="00413AC6" w:rsidP="0025317F">
            <w:pPr>
              <w:spacing w:after="120"/>
              <w:rPr>
                <w:b/>
                <w:i/>
                <w:color w:val="000000"/>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110C9A54" w14:textId="213DC853" w:rsidR="00413AC6" w:rsidRPr="00327DAE" w:rsidRDefault="00413AC6" w:rsidP="0025317F">
            <w:pPr>
              <w:spacing w:after="120"/>
              <w:rPr>
                <w:b/>
                <w:i/>
                <w:color w:val="000000"/>
              </w:rPr>
            </w:pPr>
            <w:r w:rsidRPr="00327DAE">
              <w:rPr>
                <w:b/>
                <w:bCs/>
                <w:i/>
                <w:color w:val="000000"/>
              </w:rPr>
              <w:t>Lietu sadales veids/iemesls</w:t>
            </w:r>
          </w:p>
        </w:tc>
      </w:tr>
      <w:tr w:rsidR="00413AC6" w:rsidRPr="00327DAE" w14:paraId="04D1EB69" w14:textId="77777777" w:rsidTr="00327DAE">
        <w:trPr>
          <w:trHeight w:val="416"/>
        </w:trPr>
        <w:tc>
          <w:tcPr>
            <w:tcW w:w="562" w:type="dxa"/>
            <w:vMerge/>
          </w:tcPr>
          <w:p w14:paraId="4DAA8FBD" w14:textId="77777777" w:rsidR="00413AC6" w:rsidRPr="00327DAE" w:rsidRDefault="00413AC6"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2C036FB8" w14:textId="2265DBC7" w:rsidR="00413AC6" w:rsidRPr="00327DAE" w:rsidRDefault="00413AC6" w:rsidP="0025317F">
            <w:pPr>
              <w:spacing w:after="120"/>
              <w:rPr>
                <w:i/>
              </w:rPr>
            </w:pPr>
            <w:r w:rsidRPr="00327DAE">
              <w:rPr>
                <w:i/>
                <w:color w:val="000000"/>
              </w:rPr>
              <w:t>29.03.2010</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1AE1A8FB" w14:textId="38AD1FB6" w:rsidR="00413AC6" w:rsidRPr="00327DAE" w:rsidRDefault="00413AC6" w:rsidP="0025317F">
            <w:pPr>
              <w:spacing w:after="120"/>
              <w:rPr>
                <w:i/>
                <w:color w:val="000000"/>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5E1C756E" w14:textId="64A6485B" w:rsidR="00413AC6" w:rsidRPr="00327DAE" w:rsidRDefault="00413AC6" w:rsidP="0025317F">
            <w:pPr>
              <w:spacing w:after="120"/>
              <w:rPr>
                <w:i/>
                <w:color w:val="000000"/>
              </w:rPr>
            </w:pPr>
            <w:r w:rsidRPr="00327DAE">
              <w:rPr>
                <w:i/>
                <w:color w:val="000000"/>
              </w:rPr>
              <w:t xml:space="preserve">Datorizēta lietu sadale. </w:t>
            </w:r>
          </w:p>
        </w:tc>
      </w:tr>
      <w:tr w:rsidR="00413AC6" w:rsidRPr="00327DAE" w14:paraId="72F9AA4E" w14:textId="77777777" w:rsidTr="00B40DAA">
        <w:trPr>
          <w:trHeight w:val="416"/>
        </w:trPr>
        <w:tc>
          <w:tcPr>
            <w:tcW w:w="562" w:type="dxa"/>
            <w:vMerge/>
          </w:tcPr>
          <w:p w14:paraId="5667D6B8" w14:textId="77777777" w:rsidR="00413AC6" w:rsidRPr="00327DAE" w:rsidRDefault="00413AC6" w:rsidP="0025317F">
            <w:pPr>
              <w:spacing w:after="120"/>
              <w:rPr>
                <w:sz w:val="24"/>
                <w:szCs w:val="24"/>
              </w:rPr>
            </w:pPr>
          </w:p>
        </w:tc>
        <w:tc>
          <w:tcPr>
            <w:tcW w:w="7797" w:type="dxa"/>
            <w:gridSpan w:val="3"/>
            <w:shd w:val="clear" w:color="auto" w:fill="auto"/>
            <w:noWrap/>
            <w:vAlign w:val="bottom"/>
          </w:tcPr>
          <w:p w14:paraId="1862523F" w14:textId="77777777" w:rsidR="00413AC6" w:rsidRPr="00327DAE" w:rsidRDefault="00413AC6" w:rsidP="0025317F">
            <w:pPr>
              <w:spacing w:after="120"/>
              <w:rPr>
                <w:i/>
                <w:sz w:val="24"/>
                <w:szCs w:val="24"/>
              </w:rPr>
            </w:pPr>
            <w:r w:rsidRPr="00327DAE">
              <w:rPr>
                <w:i/>
                <w:sz w:val="24"/>
                <w:szCs w:val="24"/>
              </w:rPr>
              <w:t>Augstākās tiesas norādītais pamats sprieduma atcelšanai</w:t>
            </w:r>
          </w:p>
          <w:p w14:paraId="68287411" w14:textId="077C8CA9" w:rsidR="00413AC6" w:rsidRPr="00327DAE" w:rsidRDefault="00413AC6" w:rsidP="0025317F">
            <w:pPr>
              <w:spacing w:after="120"/>
              <w:rPr>
                <w:sz w:val="24"/>
                <w:szCs w:val="24"/>
              </w:rPr>
            </w:pPr>
            <w:r w:rsidRPr="00327DAE">
              <w:rPr>
                <w:sz w:val="24"/>
                <w:szCs w:val="24"/>
              </w:rPr>
              <w:t>Tiesa administratora iesniegto pārskatu kā pierādījumu finanšu stāvoklim noraidījusi, atsaucoties uz to, ka tas nav sastādīts pēc pieteicējas grāmatvedības datiem, taču nav norādījusi pamatojumu konstatējumam, ka pārskatā fiksētās ziņas ir pretrunā ar pieteikuma iesn</w:t>
            </w:r>
            <w:r w:rsidR="0020329A" w:rsidRPr="00327DAE">
              <w:rPr>
                <w:sz w:val="24"/>
                <w:szCs w:val="24"/>
              </w:rPr>
              <w:t xml:space="preserve">iedzējas grāmatvedības datiem. </w:t>
            </w:r>
          </w:p>
        </w:tc>
      </w:tr>
      <w:tr w:rsidR="00413AC6" w:rsidRPr="00E27399" w14:paraId="3831097A" w14:textId="77777777" w:rsidTr="00E27399">
        <w:trPr>
          <w:trHeight w:val="416"/>
        </w:trPr>
        <w:tc>
          <w:tcPr>
            <w:tcW w:w="562" w:type="dxa"/>
            <w:vMerge/>
          </w:tcPr>
          <w:p w14:paraId="6F077562"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FFFFFF" w:themeFill="background1"/>
            <w:noWrap/>
            <w:vAlign w:val="bottom"/>
          </w:tcPr>
          <w:p w14:paraId="0C2F24F8" w14:textId="77777777" w:rsidR="00413AC6" w:rsidRPr="00E27399" w:rsidRDefault="00413AC6" w:rsidP="0025317F">
            <w:pPr>
              <w:spacing w:after="120"/>
              <w:rPr>
                <w:i/>
                <w:sz w:val="24"/>
                <w:szCs w:val="24"/>
              </w:rPr>
            </w:pPr>
            <w:r w:rsidRPr="00E27399">
              <w:rPr>
                <w:i/>
                <w:sz w:val="24"/>
                <w:szCs w:val="24"/>
              </w:rPr>
              <w:t>Ekspertu secinājumi</w:t>
            </w:r>
          </w:p>
          <w:p w14:paraId="07A9F505" w14:textId="687A575E" w:rsidR="00413AC6" w:rsidRPr="00E27399" w:rsidRDefault="00413AC6" w:rsidP="0025317F">
            <w:pPr>
              <w:spacing w:after="120"/>
              <w:rPr>
                <w:sz w:val="24"/>
                <w:szCs w:val="24"/>
              </w:rPr>
            </w:pPr>
            <w:r w:rsidRPr="00E27399">
              <w:rPr>
                <w:sz w:val="24"/>
                <w:szCs w:val="24"/>
              </w:rPr>
              <w:t>Tiesnesis bija noraidījis maksātnespējas pieteikumu, jo nebija pievienots kreditoru saraksts, bet vienīgi iesniegti norēķini ar piegādātājiem uz 7 lapām. Lai gan likumā nav noteiktas prasības kreditoru sarakstam un varētu uzskatīt, ka norēķini ar piegādātājiem ir dokuments līdzvērtīgs kreditoru sarakstam, jāņem vērā, ka var būt arī citi kreditori, piemēram, darbinieki, V</w:t>
            </w:r>
            <w:r w:rsidR="00AC4D98">
              <w:rPr>
                <w:sz w:val="24"/>
                <w:szCs w:val="24"/>
              </w:rPr>
              <w:t>alsts ieņēmumu dienests,</w:t>
            </w:r>
            <w:r w:rsidRPr="00E27399">
              <w:rPr>
                <w:sz w:val="24"/>
                <w:szCs w:val="24"/>
              </w:rPr>
              <w:t xml:space="preserve"> u.c., tāpēc tiesneša lēmumam var arī piekrist. Tiesnesis lēmumā norāda argumentus, kāpēc šajā lietā nepiekrīt administratora atzinumam.</w:t>
            </w:r>
          </w:p>
          <w:p w14:paraId="1E2979C4" w14:textId="160699DD" w:rsidR="00413AC6" w:rsidRPr="00E27399" w:rsidRDefault="00413AC6" w:rsidP="0025317F">
            <w:pPr>
              <w:spacing w:after="120"/>
            </w:pPr>
            <w:r w:rsidRPr="00E27399">
              <w:rPr>
                <w:sz w:val="24"/>
                <w:szCs w:val="24"/>
              </w:rPr>
              <w:t xml:space="preserve">Ekspertu viedokļi par sprieduma atcelšanas pamatotību dalījās, jo piegādātāji nav vienīgie iespējamie kreditori, bet kreditoru sarakstā jānorāda visi kreditori, ne tikai piegādātāji. Līdz ar to tiesneša </w:t>
            </w:r>
            <w:r w:rsidR="00A77BA8">
              <w:rPr>
                <w:sz w:val="24"/>
                <w:szCs w:val="24"/>
              </w:rPr>
              <w:t>R</w:t>
            </w:r>
            <w:r w:rsidR="00EA4A6A">
              <w:rPr>
                <w:sz w:val="24"/>
                <w:szCs w:val="24"/>
              </w:rPr>
              <w:t>.</w:t>
            </w:r>
            <w:r w:rsidR="00A77BA8">
              <w:rPr>
                <w:sz w:val="24"/>
                <w:szCs w:val="24"/>
              </w:rPr>
              <w:t> </w:t>
            </w:r>
            <w:r w:rsidRPr="00E27399">
              <w:rPr>
                <w:sz w:val="24"/>
                <w:szCs w:val="24"/>
              </w:rPr>
              <w:t>Bula vērtējums varēja būt arī pamatots.</w:t>
            </w:r>
          </w:p>
        </w:tc>
      </w:tr>
      <w:tr w:rsidR="00413AC6" w:rsidRPr="00327DAE" w14:paraId="08DFBBE7" w14:textId="77777777" w:rsidTr="00B40DAA">
        <w:trPr>
          <w:trHeight w:val="416"/>
        </w:trPr>
        <w:tc>
          <w:tcPr>
            <w:tcW w:w="562" w:type="dxa"/>
            <w:vMerge/>
            <w:tcBorders>
              <w:bottom w:val="single" w:sz="4" w:space="0" w:color="auto"/>
            </w:tcBorders>
          </w:tcPr>
          <w:p w14:paraId="68CC0F02"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29A6FC82" w14:textId="01EFFC96" w:rsidR="00413AC6" w:rsidRPr="00327DAE" w:rsidRDefault="00413AC6" w:rsidP="0025317F">
            <w:pPr>
              <w:spacing w:after="120"/>
              <w:rPr>
                <w:i/>
                <w:sz w:val="24"/>
                <w:szCs w:val="24"/>
              </w:rPr>
            </w:pPr>
            <w:r w:rsidRPr="00327DAE">
              <w:rPr>
                <w:i/>
                <w:sz w:val="24"/>
                <w:szCs w:val="24"/>
              </w:rPr>
              <w:t>H.</w:t>
            </w:r>
            <w:r w:rsidR="007567F6" w:rsidRPr="00327DAE">
              <w:rPr>
                <w:i/>
                <w:sz w:val="24"/>
                <w:szCs w:val="24"/>
              </w:rPr>
              <w:t> </w:t>
            </w:r>
            <w:r w:rsidRPr="00327DAE">
              <w:rPr>
                <w:i/>
                <w:sz w:val="24"/>
                <w:szCs w:val="24"/>
              </w:rPr>
              <w:t>Jaujas atsevišķie secinājumi</w:t>
            </w:r>
          </w:p>
          <w:p w14:paraId="0631D980" w14:textId="3CC43D86" w:rsidR="00413AC6" w:rsidRPr="00327DAE" w:rsidRDefault="00413AC6" w:rsidP="0025317F">
            <w:pPr>
              <w:spacing w:after="120"/>
              <w:rPr>
                <w:sz w:val="24"/>
                <w:szCs w:val="24"/>
              </w:rPr>
            </w:pPr>
            <w:r w:rsidRPr="00327DAE">
              <w:rPr>
                <w:sz w:val="24"/>
                <w:szCs w:val="24"/>
              </w:rPr>
              <w:t xml:space="preserve">Šajā lietā tiesnesis </w:t>
            </w:r>
            <w:r w:rsidR="00A77BA8">
              <w:rPr>
                <w:sz w:val="24"/>
                <w:szCs w:val="24"/>
              </w:rPr>
              <w:t>R. </w:t>
            </w:r>
            <w:r w:rsidRPr="00327DAE">
              <w:rPr>
                <w:sz w:val="24"/>
                <w:szCs w:val="24"/>
              </w:rPr>
              <w:t>Buls nodemonstrēja formālu pieeju izskatāmajai lietai. Var piekrist, ka formāli dokuments, kas apliecina norēķinus ar piegādāt</w:t>
            </w:r>
            <w:r w:rsidR="00EA4A6A">
              <w:rPr>
                <w:sz w:val="24"/>
                <w:szCs w:val="24"/>
              </w:rPr>
              <w:t>ā</w:t>
            </w:r>
            <w:r w:rsidRPr="00327DAE">
              <w:rPr>
                <w:sz w:val="24"/>
                <w:szCs w:val="24"/>
              </w:rPr>
              <w:t>jiem</w:t>
            </w:r>
            <w:r w:rsidR="00EA4A6A">
              <w:rPr>
                <w:sz w:val="24"/>
                <w:szCs w:val="24"/>
              </w:rPr>
              <w:t>,</w:t>
            </w:r>
            <w:r w:rsidRPr="00327DAE">
              <w:rPr>
                <w:sz w:val="24"/>
                <w:szCs w:val="24"/>
              </w:rPr>
              <w:t xml:space="preserve"> var netikt atzīts par kreditoru sarakstu. Taču šajā lietā ir būtiski ņemt vērā to, ka</w:t>
            </w:r>
            <w:r w:rsidR="00EA4A6A">
              <w:rPr>
                <w:sz w:val="24"/>
                <w:szCs w:val="24"/>
              </w:rPr>
              <w:t>,</w:t>
            </w:r>
            <w:r w:rsidRPr="00327DAE">
              <w:rPr>
                <w:sz w:val="24"/>
                <w:szCs w:val="24"/>
              </w:rPr>
              <w:t xml:space="preserve"> izskatot juridiskas personas maksātnespējas procesa pieteikumu, tiesai primāri ir jākonstatē, vai pastāv parādnieka maksātnespējas pazīmes, t.i.</w:t>
            </w:r>
            <w:r w:rsidR="00EA4A6A">
              <w:rPr>
                <w:sz w:val="24"/>
                <w:szCs w:val="24"/>
              </w:rPr>
              <w:t>,</w:t>
            </w:r>
            <w:r w:rsidRPr="00327DAE">
              <w:rPr>
                <w:sz w:val="24"/>
                <w:szCs w:val="24"/>
              </w:rPr>
              <w:t xml:space="preserve"> vai parādnieks ir maksātnespējīgs.</w:t>
            </w:r>
          </w:p>
          <w:p w14:paraId="4171C7E9" w14:textId="2F66BCEE" w:rsidR="00413AC6" w:rsidRPr="00327DAE" w:rsidRDefault="00413AC6" w:rsidP="0025317F">
            <w:pPr>
              <w:spacing w:after="120"/>
              <w:rPr>
                <w:sz w:val="24"/>
                <w:szCs w:val="24"/>
              </w:rPr>
            </w:pPr>
            <w:r w:rsidRPr="00327DAE">
              <w:rPr>
                <w:sz w:val="24"/>
                <w:szCs w:val="24"/>
              </w:rPr>
              <w:t>Izskatāmajā gadījumā pieteikumu bija iesniedzis pats parādnieks. No informācijas, kas bija norādīta spriedumā</w:t>
            </w:r>
            <w:r w:rsidR="00EA4A6A">
              <w:rPr>
                <w:sz w:val="24"/>
                <w:szCs w:val="24"/>
              </w:rPr>
              <w:t>,</w:t>
            </w:r>
            <w:r w:rsidRPr="00327DAE">
              <w:rPr>
                <w:sz w:val="24"/>
                <w:szCs w:val="24"/>
              </w:rPr>
              <w:t xml:space="preserve"> var spriest, ka parādnieka saistības būtiski (vairāk </w:t>
            </w:r>
            <w:r w:rsidR="00EA4A6A">
              <w:rPr>
                <w:sz w:val="24"/>
                <w:szCs w:val="24"/>
              </w:rPr>
              <w:t>ne</w:t>
            </w:r>
            <w:r w:rsidRPr="00327DAE">
              <w:rPr>
                <w:sz w:val="24"/>
                <w:szCs w:val="24"/>
              </w:rPr>
              <w:t xml:space="preserve">kā 10 reizes) pārsniedza parādnieka aktīvus (citāts no sprieduma: </w:t>
            </w:r>
            <w:r w:rsidRPr="00327DAE">
              <w:rPr>
                <w:i/>
                <w:sz w:val="24"/>
                <w:szCs w:val="24"/>
              </w:rPr>
              <w:t>SIA „Balta-X” kopējās saistības 2009.</w:t>
            </w:r>
            <w:r w:rsidR="00EA4A6A">
              <w:rPr>
                <w:i/>
                <w:sz w:val="24"/>
                <w:szCs w:val="24"/>
              </w:rPr>
              <w:t> </w:t>
            </w:r>
            <w:r w:rsidRPr="00327DAE">
              <w:rPr>
                <w:i/>
                <w:sz w:val="24"/>
                <w:szCs w:val="24"/>
              </w:rPr>
              <w:t>gada 31.</w:t>
            </w:r>
            <w:r w:rsidR="00EA4A6A">
              <w:rPr>
                <w:i/>
                <w:sz w:val="24"/>
                <w:szCs w:val="24"/>
              </w:rPr>
              <w:t> </w:t>
            </w:r>
            <w:r w:rsidRPr="00327DAE">
              <w:rPr>
                <w:i/>
                <w:sz w:val="24"/>
                <w:szCs w:val="24"/>
              </w:rPr>
              <w:t>decembrī pret kreditoriem ir LVL 158 233, bet aktīvu kopējā vērtība ir LVL 12 917</w:t>
            </w:r>
            <w:r w:rsidRPr="00327DAE">
              <w:rPr>
                <w:sz w:val="24"/>
                <w:szCs w:val="24"/>
              </w:rPr>
              <w:t xml:space="preserve">). Uz to bija norādījis arī administrators savā atzinumā, kuru tiesnesis tomēr neņēma vērā. </w:t>
            </w:r>
          </w:p>
          <w:p w14:paraId="450F0944" w14:textId="715A7413" w:rsidR="00413AC6" w:rsidRPr="00327DAE" w:rsidRDefault="00413AC6" w:rsidP="0025317F">
            <w:pPr>
              <w:spacing w:after="120"/>
              <w:rPr>
                <w:sz w:val="24"/>
                <w:szCs w:val="24"/>
              </w:rPr>
            </w:pPr>
            <w:r w:rsidRPr="00327DAE">
              <w:rPr>
                <w:sz w:val="24"/>
                <w:szCs w:val="24"/>
              </w:rPr>
              <w:lastRenderedPageBreak/>
              <w:t xml:space="preserve">Lietai pievienotajos dokumentos, kas atspoguļo norēķinus ar </w:t>
            </w:r>
            <w:r w:rsidR="007567F6" w:rsidRPr="00327DAE">
              <w:rPr>
                <w:sz w:val="24"/>
                <w:szCs w:val="24"/>
              </w:rPr>
              <w:t>piegādāt</w:t>
            </w:r>
            <w:r w:rsidR="00EA4A6A">
              <w:rPr>
                <w:sz w:val="24"/>
                <w:szCs w:val="24"/>
              </w:rPr>
              <w:t>ā</w:t>
            </w:r>
            <w:r w:rsidR="007567F6" w:rsidRPr="00327DAE">
              <w:rPr>
                <w:sz w:val="24"/>
                <w:szCs w:val="24"/>
              </w:rPr>
              <w:t>jiem</w:t>
            </w:r>
            <w:r w:rsidR="00EA4A6A">
              <w:rPr>
                <w:sz w:val="24"/>
                <w:szCs w:val="24"/>
              </w:rPr>
              <w:t>,</w:t>
            </w:r>
            <w:r w:rsidRPr="00327DAE">
              <w:rPr>
                <w:sz w:val="24"/>
                <w:szCs w:val="24"/>
              </w:rPr>
              <w:t xml:space="preserve"> varēja nebūt norādīti visi kreditori, taču šajā gadījumā, cik var spriest jau no iesniegtajiem finanšu pārskatiem un citiem dokumentiem</w:t>
            </w:r>
            <w:r w:rsidR="00EA4A6A">
              <w:rPr>
                <w:sz w:val="24"/>
                <w:szCs w:val="24"/>
              </w:rPr>
              <w:t>,</w:t>
            </w:r>
            <w:r w:rsidRPr="00327DAE">
              <w:rPr>
                <w:sz w:val="24"/>
                <w:szCs w:val="24"/>
              </w:rPr>
              <w:t xml:space="preserve"> varēja secināt, ka parādnieks ir acīmredzami </w:t>
            </w:r>
            <w:r w:rsidR="007567F6" w:rsidRPr="00327DAE">
              <w:rPr>
                <w:sz w:val="24"/>
                <w:szCs w:val="24"/>
              </w:rPr>
              <w:t>maksātnespējīgs</w:t>
            </w:r>
            <w:r w:rsidRPr="00327DAE">
              <w:rPr>
                <w:sz w:val="24"/>
                <w:szCs w:val="24"/>
              </w:rPr>
              <w:t>. Ja arī parādnieks nebija uzrādījis citus kredi</w:t>
            </w:r>
            <w:r w:rsidR="007567F6" w:rsidRPr="00327DAE">
              <w:rPr>
                <w:sz w:val="24"/>
                <w:szCs w:val="24"/>
              </w:rPr>
              <w:t>torus, tad tas nevarēja nekā</w:t>
            </w:r>
            <w:r w:rsidRPr="00327DAE">
              <w:rPr>
                <w:sz w:val="24"/>
                <w:szCs w:val="24"/>
              </w:rPr>
              <w:t xml:space="preserve"> ietekmēt jau esošo maksātnespējas faktu, tikai to papildus apliecināt.</w:t>
            </w:r>
          </w:p>
          <w:p w14:paraId="65C5EC4E" w14:textId="75AA6A27" w:rsidR="00413AC6" w:rsidRPr="00327DAE" w:rsidRDefault="00413AC6" w:rsidP="0025317F">
            <w:pPr>
              <w:spacing w:after="120"/>
              <w:rPr>
                <w:sz w:val="24"/>
                <w:szCs w:val="24"/>
              </w:rPr>
            </w:pPr>
            <w:r w:rsidRPr="00327DAE">
              <w:rPr>
                <w:sz w:val="24"/>
                <w:szCs w:val="24"/>
              </w:rPr>
              <w:t>Varētu vēl pieņemt, ka kreditoru saraksts vienlaikus ļauj pārliecināties, vai finanšu pārskatā norādītās saistības ir patiesas, t.i.</w:t>
            </w:r>
            <w:r w:rsidR="00EA4A6A">
              <w:rPr>
                <w:sz w:val="24"/>
                <w:szCs w:val="24"/>
              </w:rPr>
              <w:t>,</w:t>
            </w:r>
            <w:r w:rsidRPr="00327DAE">
              <w:rPr>
                <w:sz w:val="24"/>
                <w:szCs w:val="24"/>
              </w:rPr>
              <w:t xml:space="preserve"> vai parādnieks neizmanto maksātnespējas procesu ļaunprātīgi. Taču</w:t>
            </w:r>
            <w:r w:rsidR="00EA4A6A">
              <w:rPr>
                <w:sz w:val="24"/>
                <w:szCs w:val="24"/>
              </w:rPr>
              <w:t>,</w:t>
            </w:r>
            <w:r w:rsidRPr="00327DAE">
              <w:rPr>
                <w:sz w:val="24"/>
                <w:szCs w:val="24"/>
              </w:rPr>
              <w:t xml:space="preserve"> no šāda viedokļa raugoties</w:t>
            </w:r>
            <w:r w:rsidR="00EA4A6A">
              <w:rPr>
                <w:sz w:val="24"/>
                <w:szCs w:val="24"/>
              </w:rPr>
              <w:t>,</w:t>
            </w:r>
            <w:r w:rsidRPr="00327DAE">
              <w:rPr>
                <w:sz w:val="24"/>
                <w:szCs w:val="24"/>
              </w:rPr>
              <w:t xml:space="preserve"> tiesnesis </w:t>
            </w:r>
            <w:r w:rsidR="00A77BA8">
              <w:rPr>
                <w:sz w:val="24"/>
                <w:szCs w:val="24"/>
              </w:rPr>
              <w:t>R. </w:t>
            </w:r>
            <w:r w:rsidRPr="00327DAE">
              <w:rPr>
                <w:sz w:val="24"/>
                <w:szCs w:val="24"/>
              </w:rPr>
              <w:t xml:space="preserve">Buls </w:t>
            </w:r>
            <w:r w:rsidR="00AC4D98">
              <w:rPr>
                <w:sz w:val="24"/>
                <w:szCs w:val="24"/>
              </w:rPr>
              <w:t xml:space="preserve">šajā ziņojumā analizētajās lietās </w:t>
            </w:r>
            <w:r w:rsidRPr="00327DAE">
              <w:rPr>
                <w:sz w:val="24"/>
                <w:szCs w:val="24"/>
              </w:rPr>
              <w:t>ir pieņēmis vairākus nolēmumus, kur</w:t>
            </w:r>
            <w:proofErr w:type="gramStart"/>
            <w:r w:rsidRPr="00327DAE">
              <w:rPr>
                <w:sz w:val="24"/>
                <w:szCs w:val="24"/>
              </w:rPr>
              <w:t xml:space="preserve"> </w:t>
            </w:r>
            <w:r w:rsidR="00AC4D98">
              <w:rPr>
                <w:sz w:val="24"/>
                <w:szCs w:val="24"/>
              </w:rPr>
              <w:t xml:space="preserve">, </w:t>
            </w:r>
            <w:proofErr w:type="gramEnd"/>
            <w:r w:rsidR="00AC4D98">
              <w:rPr>
                <w:sz w:val="24"/>
                <w:szCs w:val="24"/>
              </w:rPr>
              <w:t xml:space="preserve">manā ieskatā, </w:t>
            </w:r>
            <w:r w:rsidRPr="00327DAE">
              <w:rPr>
                <w:sz w:val="24"/>
                <w:szCs w:val="24"/>
              </w:rPr>
              <w:t xml:space="preserve">bija acīmredzamas pazīmes par maksātnespējas/TAP ļaunprātīgu izmantošanu, nepievēršot tam vajadzīgo vērību. Tāpēc ir maz ticams, ka šajā lietā tiesnesis būtu noraidījis maksātnespējas pieteikumu tāpēc, ka bija aizdomas, ka </w:t>
            </w:r>
            <w:r w:rsidR="001F01BD" w:rsidRPr="00327DAE">
              <w:rPr>
                <w:sz w:val="24"/>
                <w:szCs w:val="24"/>
              </w:rPr>
              <w:t>parādnieks</w:t>
            </w:r>
            <w:r w:rsidRPr="00327DAE">
              <w:rPr>
                <w:sz w:val="24"/>
                <w:szCs w:val="24"/>
              </w:rPr>
              <w:t xml:space="preserve"> patiesībā nemaz nav maksātnespējīgs, bet ļaunprātīgi izmanto maksātnespējas procesu, jo lietas </w:t>
            </w:r>
            <w:r w:rsidR="001F01BD" w:rsidRPr="00327DAE">
              <w:rPr>
                <w:sz w:val="24"/>
                <w:szCs w:val="24"/>
              </w:rPr>
              <w:t>materiāli</w:t>
            </w:r>
            <w:r w:rsidRPr="00327DAE">
              <w:rPr>
                <w:sz w:val="24"/>
                <w:szCs w:val="24"/>
              </w:rPr>
              <w:t xml:space="preserve"> </w:t>
            </w:r>
            <w:proofErr w:type="spellStart"/>
            <w:r w:rsidRPr="00327DAE">
              <w:rPr>
                <w:sz w:val="24"/>
                <w:szCs w:val="24"/>
              </w:rPr>
              <w:t>pirmšķietami</w:t>
            </w:r>
            <w:proofErr w:type="spellEnd"/>
            <w:r w:rsidRPr="00327DAE">
              <w:rPr>
                <w:sz w:val="24"/>
                <w:szCs w:val="24"/>
              </w:rPr>
              <w:t xml:space="preserve"> par to arī neliecina. </w:t>
            </w:r>
          </w:p>
          <w:p w14:paraId="383AC30C" w14:textId="2EAE87D6" w:rsidR="00413AC6" w:rsidRPr="00327DAE" w:rsidRDefault="00413AC6" w:rsidP="0025317F">
            <w:pPr>
              <w:spacing w:after="120"/>
              <w:rPr>
                <w:sz w:val="24"/>
                <w:szCs w:val="24"/>
              </w:rPr>
            </w:pPr>
            <w:r w:rsidRPr="00327DAE">
              <w:rPr>
                <w:sz w:val="24"/>
                <w:szCs w:val="24"/>
              </w:rPr>
              <w:t xml:space="preserve">Šīs lietas kontekstā ievērību pelna cits tiesneša </w:t>
            </w:r>
            <w:r w:rsidR="00A77BA8">
              <w:rPr>
                <w:sz w:val="24"/>
                <w:szCs w:val="24"/>
              </w:rPr>
              <w:t>R. </w:t>
            </w:r>
            <w:r w:rsidRPr="00327DAE">
              <w:rPr>
                <w:sz w:val="24"/>
                <w:szCs w:val="24"/>
              </w:rPr>
              <w:t xml:space="preserve">Bula spriedums juridiskās personas maksātnespējas procesa lietā. Lietā </w:t>
            </w:r>
            <w:r w:rsidR="00EA4A6A">
              <w:rPr>
                <w:sz w:val="24"/>
                <w:szCs w:val="24"/>
              </w:rPr>
              <w:t>Nr.</w:t>
            </w:r>
            <w:r w:rsidR="00EA4A6A">
              <w:t> </w:t>
            </w:r>
            <w:r w:rsidRPr="00327DAE">
              <w:rPr>
                <w:sz w:val="24"/>
                <w:szCs w:val="24"/>
              </w:rPr>
              <w:t xml:space="preserve">C27131711 tiesnesis </w:t>
            </w:r>
            <w:r w:rsidR="00A77BA8">
              <w:rPr>
                <w:sz w:val="24"/>
                <w:szCs w:val="24"/>
              </w:rPr>
              <w:t>R. </w:t>
            </w:r>
            <w:r w:rsidRPr="00327DAE">
              <w:rPr>
                <w:sz w:val="24"/>
                <w:szCs w:val="24"/>
              </w:rPr>
              <w:t>Buls 2011.</w:t>
            </w:r>
            <w:r w:rsidR="00EA4A6A">
              <w:rPr>
                <w:sz w:val="24"/>
                <w:szCs w:val="24"/>
              </w:rPr>
              <w:t> </w:t>
            </w:r>
            <w:r w:rsidRPr="00327DAE">
              <w:rPr>
                <w:sz w:val="24"/>
                <w:szCs w:val="24"/>
              </w:rPr>
              <w:t>gada</w:t>
            </w:r>
            <w:r w:rsidR="001F01BD" w:rsidRPr="00327DAE">
              <w:rPr>
                <w:sz w:val="24"/>
                <w:szCs w:val="24"/>
              </w:rPr>
              <w:t xml:space="preserve"> 11.</w:t>
            </w:r>
            <w:r w:rsidR="00EA4A6A">
              <w:rPr>
                <w:sz w:val="24"/>
                <w:szCs w:val="24"/>
              </w:rPr>
              <w:t> </w:t>
            </w:r>
            <w:r w:rsidR="001F01BD" w:rsidRPr="00327DAE">
              <w:rPr>
                <w:sz w:val="24"/>
                <w:szCs w:val="24"/>
              </w:rPr>
              <w:t>februārī pasludināja par</w:t>
            </w:r>
            <w:r w:rsidR="00AC4D98">
              <w:rPr>
                <w:sz w:val="24"/>
                <w:szCs w:val="24"/>
              </w:rPr>
              <w:t xml:space="preserve"> maksātnespējīgu SIA „</w:t>
            </w:r>
            <w:proofErr w:type="spellStart"/>
            <w:r w:rsidRPr="00327DAE">
              <w:rPr>
                <w:sz w:val="24"/>
                <w:szCs w:val="24"/>
              </w:rPr>
              <w:t>Butique</w:t>
            </w:r>
            <w:proofErr w:type="spellEnd"/>
            <w:r w:rsidRPr="00327DAE">
              <w:rPr>
                <w:sz w:val="24"/>
                <w:szCs w:val="24"/>
              </w:rPr>
              <w:t xml:space="preserve"> </w:t>
            </w:r>
            <w:proofErr w:type="spellStart"/>
            <w:r w:rsidRPr="00327DAE">
              <w:rPr>
                <w:sz w:val="24"/>
                <w:szCs w:val="24"/>
              </w:rPr>
              <w:t>Hotel</w:t>
            </w:r>
            <w:proofErr w:type="spellEnd"/>
            <w:r w:rsidRPr="00327DAE">
              <w:rPr>
                <w:sz w:val="24"/>
                <w:szCs w:val="24"/>
              </w:rPr>
              <w:t xml:space="preserve"> Ainavas”. Maksātnespējas pieteikumu bija iesniedzis kreditors, savukārt parādnieks cēla iebildumus par kreditora prasījumu, kā arī bija veicis daļēju prasījuma apmaksu. Neskatoties uz parādnieka iebildumiem, tiesnesis </w:t>
            </w:r>
            <w:r w:rsidR="00A77BA8">
              <w:rPr>
                <w:sz w:val="24"/>
                <w:szCs w:val="24"/>
              </w:rPr>
              <w:t>R. </w:t>
            </w:r>
            <w:r w:rsidRPr="00327DAE">
              <w:rPr>
                <w:sz w:val="24"/>
                <w:szCs w:val="24"/>
              </w:rPr>
              <w:t xml:space="preserve">Buls ļoti vispusīgi analizēja lietas </w:t>
            </w:r>
            <w:r w:rsidR="001F01BD" w:rsidRPr="00327DAE">
              <w:rPr>
                <w:sz w:val="24"/>
                <w:szCs w:val="24"/>
              </w:rPr>
              <w:t>apstākļus</w:t>
            </w:r>
            <w:r w:rsidRPr="00327DAE">
              <w:rPr>
                <w:sz w:val="24"/>
                <w:szCs w:val="24"/>
              </w:rPr>
              <w:t xml:space="preserve"> un</w:t>
            </w:r>
            <w:r w:rsidR="00EA4A6A">
              <w:rPr>
                <w:sz w:val="24"/>
                <w:szCs w:val="24"/>
              </w:rPr>
              <w:t>,</w:t>
            </w:r>
            <w:r w:rsidRPr="00327DAE">
              <w:rPr>
                <w:sz w:val="24"/>
                <w:szCs w:val="24"/>
              </w:rPr>
              <w:t xml:space="preserve"> neskatoties uz to, ka parādnieka saistību pret kreditoru bija daļēji segusi trešā persona, secināja, ka visi apstākļi to kopsakarā liecina, ka parādnieks pēc būtības ir ma</w:t>
            </w:r>
            <w:r w:rsidR="00AC4D98">
              <w:rPr>
                <w:sz w:val="24"/>
                <w:szCs w:val="24"/>
              </w:rPr>
              <w:t>ksātnespējīgs. Senāts lietā SPC-</w:t>
            </w:r>
            <w:r w:rsidRPr="00327DAE">
              <w:rPr>
                <w:sz w:val="24"/>
                <w:szCs w:val="24"/>
              </w:rPr>
              <w:t>66/2011 atcēla šo spriedumu, konstatējot, ka ir pārkāpta likumā noteiktā procedūra, proti</w:t>
            </w:r>
            <w:r w:rsidR="00EA4A6A">
              <w:rPr>
                <w:sz w:val="24"/>
                <w:szCs w:val="24"/>
              </w:rPr>
              <w:t>,</w:t>
            </w:r>
            <w:r w:rsidRPr="00327DAE">
              <w:rPr>
                <w:sz w:val="24"/>
                <w:szCs w:val="24"/>
              </w:rPr>
              <w:t xml:space="preserve"> parādnieks bija brīdināts par maksātnespējas procesa pieteikuma iesniegšanu sakarā ne ar to saistību</w:t>
            </w:r>
            <w:r w:rsidR="00EA4A6A">
              <w:rPr>
                <w:sz w:val="24"/>
                <w:szCs w:val="24"/>
              </w:rPr>
              <w:t>,</w:t>
            </w:r>
            <w:r w:rsidRPr="00327DAE">
              <w:rPr>
                <w:sz w:val="24"/>
                <w:szCs w:val="24"/>
              </w:rPr>
              <w:t xml:space="preserve"> par kuru </w:t>
            </w:r>
            <w:r w:rsidR="001F01BD" w:rsidRPr="00327DAE">
              <w:rPr>
                <w:sz w:val="24"/>
                <w:szCs w:val="24"/>
              </w:rPr>
              <w:t>vēlāk</w:t>
            </w:r>
            <w:r w:rsidRPr="00327DAE">
              <w:rPr>
                <w:sz w:val="24"/>
                <w:szCs w:val="24"/>
              </w:rPr>
              <w:t xml:space="preserve"> tika iesniegts pieteikums un pasludināts maksātnespējas process. Zīmīgi, ka šajā lietā par maksātnespējas administratoru bija iecelta Ilze Gulbe, kura pēc publiski pieejamas informācijas ir cieši saistīta ar Māri Sprūdu. Respektīvi, vairākas pazīmes </w:t>
            </w:r>
            <w:r w:rsidR="00AC4D98">
              <w:rPr>
                <w:sz w:val="24"/>
                <w:szCs w:val="24"/>
              </w:rPr>
              <w:t>rada iespaidu</w:t>
            </w:r>
            <w:r w:rsidRPr="00327DAE">
              <w:rPr>
                <w:sz w:val="24"/>
                <w:szCs w:val="24"/>
              </w:rPr>
              <w:t>, ka kreditoram palīdzēja ar Māri Sprūdu saistīta administratoru grupa, kura bija ar</w:t>
            </w:r>
            <w:r w:rsidR="00EA4A6A">
              <w:rPr>
                <w:sz w:val="24"/>
                <w:szCs w:val="24"/>
              </w:rPr>
              <w:t>ī</w:t>
            </w:r>
            <w:r w:rsidRPr="00327DAE">
              <w:rPr>
                <w:sz w:val="24"/>
                <w:szCs w:val="24"/>
              </w:rPr>
              <w:t xml:space="preserve"> panākusi, ka maksātnespējas procesā tiek iecelts viens no šīs grupas administratoriem. </w:t>
            </w:r>
          </w:p>
          <w:p w14:paraId="21305EAF" w14:textId="08F13E36" w:rsidR="00413AC6" w:rsidRPr="00327DAE" w:rsidRDefault="00413AC6" w:rsidP="0025317F">
            <w:pPr>
              <w:spacing w:after="120"/>
              <w:rPr>
                <w:sz w:val="24"/>
                <w:szCs w:val="24"/>
              </w:rPr>
            </w:pPr>
            <w:r w:rsidRPr="00327DAE">
              <w:rPr>
                <w:sz w:val="24"/>
                <w:szCs w:val="24"/>
              </w:rPr>
              <w:t xml:space="preserve">Salīdzinot abas tiesneša </w:t>
            </w:r>
            <w:r w:rsidR="00A77BA8">
              <w:rPr>
                <w:sz w:val="24"/>
                <w:szCs w:val="24"/>
              </w:rPr>
              <w:t>R. </w:t>
            </w:r>
            <w:r w:rsidRPr="00327DAE">
              <w:rPr>
                <w:sz w:val="24"/>
                <w:szCs w:val="24"/>
              </w:rPr>
              <w:t>Bula izspriestās juridiskās personas maksātnespējas li</w:t>
            </w:r>
            <w:r w:rsidR="00AC4D98">
              <w:rPr>
                <w:sz w:val="24"/>
                <w:szCs w:val="24"/>
              </w:rPr>
              <w:t>etas, ir uzkrītoši tas, ka SIA „</w:t>
            </w:r>
            <w:r w:rsidRPr="00327DAE">
              <w:rPr>
                <w:sz w:val="24"/>
                <w:szCs w:val="24"/>
              </w:rPr>
              <w:t>Balta</w:t>
            </w:r>
            <w:r w:rsidR="009D376C">
              <w:rPr>
                <w:sz w:val="24"/>
                <w:szCs w:val="24"/>
              </w:rPr>
              <w:t>-</w:t>
            </w:r>
            <w:r w:rsidRPr="00327DAE">
              <w:rPr>
                <w:sz w:val="24"/>
                <w:szCs w:val="24"/>
              </w:rPr>
              <w:t>X” lietā tiesnesis atsaucas uz formāliem ieganstiem situācijā, kurā ir maz šaubu par to, ka parādnieks ir maksātnespējīgs, nemēģina iedziļināties lietas būtībā un noraida maksātnes</w:t>
            </w:r>
            <w:r w:rsidR="00AC4D98">
              <w:rPr>
                <w:sz w:val="24"/>
                <w:szCs w:val="24"/>
              </w:rPr>
              <w:t>pējas pieteikumu. Savukārt SIA „</w:t>
            </w:r>
            <w:proofErr w:type="spellStart"/>
            <w:r w:rsidRPr="00327DAE">
              <w:rPr>
                <w:sz w:val="24"/>
                <w:szCs w:val="24"/>
              </w:rPr>
              <w:t>Butique</w:t>
            </w:r>
            <w:proofErr w:type="spellEnd"/>
            <w:r w:rsidRPr="00327DAE">
              <w:rPr>
                <w:sz w:val="24"/>
                <w:szCs w:val="24"/>
              </w:rPr>
              <w:t xml:space="preserve"> </w:t>
            </w:r>
            <w:proofErr w:type="spellStart"/>
            <w:r w:rsidRPr="00327DAE">
              <w:rPr>
                <w:sz w:val="24"/>
                <w:szCs w:val="24"/>
              </w:rPr>
              <w:t>Hotel</w:t>
            </w:r>
            <w:proofErr w:type="spellEnd"/>
            <w:r w:rsidRPr="00327DAE">
              <w:rPr>
                <w:sz w:val="24"/>
                <w:szCs w:val="24"/>
              </w:rPr>
              <w:t xml:space="preserve"> Ainavas” lietā, kur parādnieks aktīvi mēģina pierādīt maksātnespējas pazīm</w:t>
            </w:r>
            <w:r w:rsidR="001F01BD" w:rsidRPr="00327DAE">
              <w:rPr>
                <w:sz w:val="24"/>
                <w:szCs w:val="24"/>
              </w:rPr>
              <w:t>ju neesību un situācija ir neviennozīmīga</w:t>
            </w:r>
            <w:r w:rsidRPr="00327DAE">
              <w:rPr>
                <w:sz w:val="24"/>
                <w:szCs w:val="24"/>
              </w:rPr>
              <w:t xml:space="preserve">, jo strīdus prasījums ir apmaksāts, tomēr veic ļoti pamatīgu parādnieka finansiālā stāvokļa analīzi, secinot, ka parādnieks ir maksātnespējīgs. </w:t>
            </w:r>
          </w:p>
          <w:p w14:paraId="7768C1CD" w14:textId="4ABA256F" w:rsidR="00413AC6" w:rsidRPr="00327DAE" w:rsidRDefault="00413AC6" w:rsidP="0025317F">
            <w:pPr>
              <w:spacing w:after="120"/>
              <w:rPr>
                <w:sz w:val="24"/>
                <w:szCs w:val="24"/>
              </w:rPr>
            </w:pPr>
            <w:r w:rsidRPr="00327DAE">
              <w:rPr>
                <w:sz w:val="24"/>
                <w:szCs w:val="24"/>
              </w:rPr>
              <w:t xml:space="preserve">Salīdzinot šīs abas lietas savā starpā un aplūkojot tās kopsakarā ar citām analizētajām tiesneša </w:t>
            </w:r>
            <w:r w:rsidR="00A77BA8">
              <w:rPr>
                <w:sz w:val="24"/>
                <w:szCs w:val="24"/>
              </w:rPr>
              <w:t>R. </w:t>
            </w:r>
            <w:r w:rsidRPr="00327DAE">
              <w:rPr>
                <w:sz w:val="24"/>
                <w:szCs w:val="24"/>
              </w:rPr>
              <w:t xml:space="preserve">Bula lietām, </w:t>
            </w:r>
            <w:r w:rsidR="001F01BD" w:rsidRPr="00327DAE">
              <w:rPr>
                <w:sz w:val="24"/>
                <w:szCs w:val="24"/>
              </w:rPr>
              <w:t>simptomātiski</w:t>
            </w:r>
            <w:r w:rsidR="00AC4D98">
              <w:rPr>
                <w:sz w:val="24"/>
                <w:szCs w:val="24"/>
              </w:rPr>
              <w:t xml:space="preserve"> ir tas, ka SIA „</w:t>
            </w:r>
            <w:r w:rsidRPr="00327DAE">
              <w:rPr>
                <w:sz w:val="24"/>
                <w:szCs w:val="24"/>
              </w:rPr>
              <w:t xml:space="preserve">Balta-X” lietā, kura </w:t>
            </w:r>
            <w:proofErr w:type="spellStart"/>
            <w:r w:rsidRPr="00327DAE">
              <w:rPr>
                <w:sz w:val="24"/>
                <w:szCs w:val="24"/>
              </w:rPr>
              <w:t>pirmšķietami</w:t>
            </w:r>
            <w:proofErr w:type="spellEnd"/>
            <w:r w:rsidRPr="00327DAE">
              <w:rPr>
                <w:sz w:val="24"/>
                <w:szCs w:val="24"/>
              </w:rPr>
              <w:t xml:space="preserve"> nesatur nekādas pazīmes par ļaunprātīgu </w:t>
            </w:r>
            <w:r w:rsidR="001F01BD" w:rsidRPr="00327DAE">
              <w:rPr>
                <w:sz w:val="24"/>
                <w:szCs w:val="24"/>
              </w:rPr>
              <w:t>maksātnespējas</w:t>
            </w:r>
            <w:r w:rsidRPr="00327DAE">
              <w:rPr>
                <w:sz w:val="24"/>
                <w:szCs w:val="24"/>
              </w:rPr>
              <w:t xml:space="preserve"> procesa izmantošanu, tiesnesis ir lēmis par sliktu pieteicējam/parādniekam, izmantojot formālu ieganstu. Savukārt lietās, kuras satur ļaunprātīgas </w:t>
            </w:r>
            <w:r w:rsidR="001F01BD" w:rsidRPr="00327DAE">
              <w:rPr>
                <w:sz w:val="24"/>
                <w:szCs w:val="24"/>
              </w:rPr>
              <w:t>maksātnespējas</w:t>
            </w:r>
            <w:r w:rsidRPr="00327DAE">
              <w:rPr>
                <w:sz w:val="24"/>
                <w:szCs w:val="24"/>
              </w:rPr>
              <w:t xml:space="preserve"> pazīmes (mainīta adrese, administratori ar </w:t>
            </w:r>
            <w:r w:rsidRPr="00327DAE">
              <w:rPr>
                <w:sz w:val="24"/>
                <w:szCs w:val="24"/>
              </w:rPr>
              <w:lastRenderedPageBreak/>
              <w:t xml:space="preserve">sliktu reputāciju, kreditoru tiesību aizskārumi, negodprātīga parādnieka rīcība), tiesnesis </w:t>
            </w:r>
            <w:r w:rsidR="00A77BA8">
              <w:rPr>
                <w:sz w:val="24"/>
                <w:szCs w:val="24"/>
              </w:rPr>
              <w:t>R. </w:t>
            </w:r>
            <w:r w:rsidRPr="00327DAE">
              <w:rPr>
                <w:sz w:val="24"/>
                <w:szCs w:val="24"/>
              </w:rPr>
              <w:t>Buls parasti ir lēmis par labu parādniekam/administratoram, respektīvi</w:t>
            </w:r>
            <w:r w:rsidR="009D376C">
              <w:rPr>
                <w:sz w:val="24"/>
                <w:szCs w:val="24"/>
              </w:rPr>
              <w:t>,</w:t>
            </w:r>
            <w:r w:rsidRPr="00327DAE">
              <w:rPr>
                <w:sz w:val="24"/>
                <w:szCs w:val="24"/>
              </w:rPr>
              <w:t xml:space="preserve"> tā, ka ir bijis izdevīgi personām, kuras ir ļaunprātīgi izmantojušas maksātnespējas procesu. Tas ir darīts, gan acīmredzami pārkāpjot likumu, gan arī it kā juridiski neskaidrā situācijā izvēloties tieši to interpretāciju, kura </w:t>
            </w:r>
            <w:r w:rsidR="001F01BD" w:rsidRPr="00327DAE">
              <w:rPr>
                <w:sz w:val="24"/>
                <w:szCs w:val="24"/>
              </w:rPr>
              <w:t>tajā</w:t>
            </w:r>
            <w:r w:rsidRPr="00327DAE">
              <w:rPr>
                <w:sz w:val="24"/>
                <w:szCs w:val="24"/>
              </w:rPr>
              <w:t xml:space="preserve"> brīdī ir bijusi labvēlīga personām, kuras ir ļaunprātīgi izman</w:t>
            </w:r>
            <w:r w:rsidR="0020329A" w:rsidRPr="00327DAE">
              <w:rPr>
                <w:sz w:val="24"/>
                <w:szCs w:val="24"/>
              </w:rPr>
              <w:t>tojušas maksātnespējas procesu.</w:t>
            </w:r>
          </w:p>
        </w:tc>
      </w:tr>
      <w:tr w:rsidR="00A23FB2" w:rsidRPr="00327DAE" w14:paraId="7646C69B" w14:textId="77777777" w:rsidTr="00413AC6">
        <w:trPr>
          <w:trHeight w:val="416"/>
        </w:trPr>
        <w:tc>
          <w:tcPr>
            <w:tcW w:w="8359" w:type="dxa"/>
            <w:gridSpan w:val="4"/>
          </w:tcPr>
          <w:p w14:paraId="4C456CC7" w14:textId="385F3FA8" w:rsidR="00A23FB2" w:rsidRPr="00327DAE" w:rsidRDefault="00A23FB2" w:rsidP="0025317F">
            <w:pPr>
              <w:spacing w:after="120"/>
              <w:rPr>
                <w:i/>
                <w:sz w:val="24"/>
                <w:szCs w:val="24"/>
              </w:rPr>
            </w:pPr>
            <w:r w:rsidRPr="00327DAE">
              <w:rPr>
                <w:i/>
                <w:sz w:val="24"/>
                <w:szCs w:val="24"/>
              </w:rPr>
              <w:lastRenderedPageBreak/>
              <w:t xml:space="preserve">Apkopojoši ekspertu secinājumi par tiesneša </w:t>
            </w:r>
            <w:r w:rsidR="00922310">
              <w:rPr>
                <w:i/>
                <w:sz w:val="24"/>
                <w:szCs w:val="24"/>
              </w:rPr>
              <w:t>R. </w:t>
            </w:r>
            <w:r w:rsidRPr="00327DAE">
              <w:rPr>
                <w:i/>
                <w:sz w:val="24"/>
                <w:szCs w:val="24"/>
              </w:rPr>
              <w:t>Bula nolēmumiem:</w:t>
            </w:r>
          </w:p>
          <w:p w14:paraId="2E8BD274" w14:textId="743094B0" w:rsidR="00F97495" w:rsidRPr="00E27399" w:rsidRDefault="0073320A" w:rsidP="0025317F">
            <w:pPr>
              <w:spacing w:after="120"/>
              <w:rPr>
                <w:sz w:val="24"/>
                <w:szCs w:val="24"/>
              </w:rPr>
            </w:pPr>
            <w:r w:rsidRPr="00327DAE">
              <w:rPr>
                <w:sz w:val="24"/>
                <w:szCs w:val="24"/>
              </w:rPr>
              <w:t xml:space="preserve">Tiesnesis </w:t>
            </w:r>
            <w:r w:rsidR="00A77BA8">
              <w:rPr>
                <w:sz w:val="24"/>
                <w:szCs w:val="24"/>
              </w:rPr>
              <w:t>R. </w:t>
            </w:r>
            <w:r w:rsidRPr="00327DAE">
              <w:rPr>
                <w:sz w:val="24"/>
                <w:szCs w:val="24"/>
              </w:rPr>
              <w:t>Buls 2008.</w:t>
            </w:r>
            <w:r w:rsidR="009D376C">
              <w:rPr>
                <w:sz w:val="24"/>
                <w:szCs w:val="24"/>
              </w:rPr>
              <w:t>–</w:t>
            </w:r>
            <w:proofErr w:type="gramStart"/>
            <w:r w:rsidRPr="00327DAE">
              <w:rPr>
                <w:sz w:val="24"/>
                <w:szCs w:val="24"/>
              </w:rPr>
              <w:t>2014.</w:t>
            </w:r>
            <w:r w:rsidR="009D376C">
              <w:rPr>
                <w:sz w:val="24"/>
                <w:szCs w:val="24"/>
              </w:rPr>
              <w:t> </w:t>
            </w:r>
            <w:r w:rsidRPr="00327DAE">
              <w:rPr>
                <w:sz w:val="24"/>
                <w:szCs w:val="24"/>
              </w:rPr>
              <w:t>gad</w:t>
            </w:r>
            <w:r w:rsidR="009D376C">
              <w:rPr>
                <w:sz w:val="24"/>
                <w:szCs w:val="24"/>
              </w:rPr>
              <w:t>ā</w:t>
            </w:r>
            <w:r w:rsidRPr="00327DAE">
              <w:rPr>
                <w:sz w:val="24"/>
                <w:szCs w:val="24"/>
              </w:rPr>
              <w:t xml:space="preserve"> izskatījis 1970</w:t>
            </w:r>
            <w:proofErr w:type="gramEnd"/>
            <w:r w:rsidRPr="00327DAE">
              <w:rPr>
                <w:sz w:val="24"/>
                <w:szCs w:val="24"/>
              </w:rPr>
              <w:t xml:space="preserve"> lietu, no tām 1419 civillietas. TIS šajā </w:t>
            </w:r>
            <w:r w:rsidRPr="00E27399">
              <w:rPr>
                <w:sz w:val="24"/>
                <w:szCs w:val="24"/>
              </w:rPr>
              <w:t>laika posmā civillietās pievienotie 8289 nolēmumi. Kasācijas instancē saņemti protesti par 27 nolēmumiem, no tiem 21 nolēmums atcelts pilnīgi vai daļēji</w:t>
            </w:r>
            <w:r w:rsidR="009D376C">
              <w:rPr>
                <w:sz w:val="24"/>
                <w:szCs w:val="24"/>
              </w:rPr>
              <w:t>,</w:t>
            </w:r>
            <w:r w:rsidRPr="00E27399">
              <w:rPr>
                <w:sz w:val="24"/>
                <w:szCs w:val="24"/>
              </w:rPr>
              <w:t xml:space="preserve"> un jautājums nosūtīts jaunai izskatīšanai.</w:t>
            </w:r>
          </w:p>
          <w:p w14:paraId="26796DD4" w14:textId="37981A77" w:rsidR="00A23FB2" w:rsidRPr="00E27399" w:rsidRDefault="00A23FB2" w:rsidP="0025317F">
            <w:pPr>
              <w:spacing w:after="120"/>
              <w:rPr>
                <w:sz w:val="24"/>
                <w:szCs w:val="24"/>
              </w:rPr>
            </w:pPr>
            <w:r w:rsidRPr="00E27399">
              <w:rPr>
                <w:sz w:val="24"/>
                <w:szCs w:val="24"/>
              </w:rPr>
              <w:t xml:space="preserve">Tiesnesis </w:t>
            </w:r>
            <w:r w:rsidR="00A77BA8">
              <w:rPr>
                <w:sz w:val="24"/>
                <w:szCs w:val="24"/>
              </w:rPr>
              <w:t>R. </w:t>
            </w:r>
            <w:r w:rsidRPr="00E27399">
              <w:rPr>
                <w:sz w:val="24"/>
                <w:szCs w:val="24"/>
              </w:rPr>
              <w:t xml:space="preserve">Buls konsekventi ir paļāvies uz administratora sniegtajiem atzinumiem. Izņēmums konstatējams „Balta-X” maksātnespējas pieteikuma izskatīšanā, kurā tiesnesis, argumentējot kāpēc, norādījis, ka administratora iesniegtie dokumenti neatbilst uzņēmuma grāmatvedības dokumentiem – lietā Nr. SPC-216/2010 tiesneša Bula 2010. gada 14. maija spriedums tika atcelts. </w:t>
            </w:r>
          </w:p>
          <w:p w14:paraId="08B3D6DE" w14:textId="4874BE89" w:rsidR="00413AC6" w:rsidRPr="00327DAE" w:rsidRDefault="00A23FB2" w:rsidP="00150D81">
            <w:pPr>
              <w:spacing w:after="120"/>
              <w:rPr>
                <w:sz w:val="24"/>
                <w:szCs w:val="24"/>
              </w:rPr>
            </w:pPr>
            <w:r w:rsidRPr="00E27399">
              <w:rPr>
                <w:sz w:val="24"/>
                <w:szCs w:val="24"/>
              </w:rPr>
              <w:t>Ekspertu ieskatā</w:t>
            </w:r>
            <w:r w:rsidR="009D376C">
              <w:rPr>
                <w:sz w:val="24"/>
                <w:szCs w:val="24"/>
              </w:rPr>
              <w:t>,</w:t>
            </w:r>
            <w:r w:rsidRPr="00E27399">
              <w:rPr>
                <w:sz w:val="24"/>
                <w:szCs w:val="24"/>
              </w:rPr>
              <w:t xml:space="preserve"> no </w:t>
            </w:r>
            <w:r w:rsidR="00092E36" w:rsidRPr="00E27399">
              <w:rPr>
                <w:sz w:val="24"/>
                <w:szCs w:val="24"/>
              </w:rPr>
              <w:t xml:space="preserve">divpadsmit </w:t>
            </w:r>
            <w:r w:rsidRPr="00E27399">
              <w:rPr>
                <w:sz w:val="24"/>
                <w:szCs w:val="24"/>
              </w:rPr>
              <w:t xml:space="preserve">lietām </w:t>
            </w:r>
            <w:r w:rsidR="00B3452A" w:rsidRPr="00E27399">
              <w:rPr>
                <w:sz w:val="24"/>
                <w:szCs w:val="24"/>
              </w:rPr>
              <w:t xml:space="preserve">četros </w:t>
            </w:r>
            <w:r w:rsidRPr="00E27399">
              <w:rPr>
                <w:sz w:val="24"/>
                <w:szCs w:val="24"/>
              </w:rPr>
              <w:t xml:space="preserve">gadījumos atceltajos nolēmumos un vienā gadījumā nolēmumā, kas nav skatīts Augstākajā tiesā, </w:t>
            </w:r>
            <w:r w:rsidR="00092E36" w:rsidRPr="00E27399">
              <w:rPr>
                <w:sz w:val="24"/>
                <w:szCs w:val="24"/>
              </w:rPr>
              <w:t xml:space="preserve">saskatāmas </w:t>
            </w:r>
            <w:r w:rsidR="00150D81">
              <w:rPr>
                <w:sz w:val="24"/>
                <w:szCs w:val="24"/>
              </w:rPr>
              <w:t xml:space="preserve">nopietnas </w:t>
            </w:r>
            <w:r w:rsidR="00092E36" w:rsidRPr="00E27399">
              <w:rPr>
                <w:sz w:val="24"/>
                <w:szCs w:val="24"/>
              </w:rPr>
              <w:t>kļūdas, ko</w:t>
            </w:r>
            <w:r w:rsidRPr="00327DAE">
              <w:rPr>
                <w:sz w:val="24"/>
                <w:szCs w:val="24"/>
              </w:rPr>
              <w:t xml:space="preserve"> neizskaidro normatīvā regulējuma nepilnības.</w:t>
            </w:r>
          </w:p>
        </w:tc>
      </w:tr>
      <w:tr w:rsidR="00413AC6" w:rsidRPr="00327DAE" w14:paraId="5B6CA45C" w14:textId="77777777" w:rsidTr="00B40DAA">
        <w:trPr>
          <w:trHeight w:val="416"/>
        </w:trPr>
        <w:tc>
          <w:tcPr>
            <w:tcW w:w="8359" w:type="dxa"/>
            <w:gridSpan w:val="4"/>
            <w:tcBorders>
              <w:bottom w:val="single" w:sz="4" w:space="0" w:color="auto"/>
            </w:tcBorders>
          </w:tcPr>
          <w:p w14:paraId="13684FB6" w14:textId="7474674C" w:rsidR="00413AC6" w:rsidRPr="00327DAE" w:rsidRDefault="00413AC6" w:rsidP="0025317F">
            <w:pPr>
              <w:spacing w:after="120"/>
              <w:rPr>
                <w:i/>
                <w:sz w:val="24"/>
                <w:szCs w:val="24"/>
              </w:rPr>
            </w:pPr>
            <w:r w:rsidRPr="00327DAE">
              <w:rPr>
                <w:i/>
                <w:sz w:val="24"/>
                <w:szCs w:val="24"/>
              </w:rPr>
              <w:t>H. J</w:t>
            </w:r>
            <w:r w:rsidR="00922310">
              <w:rPr>
                <w:i/>
                <w:sz w:val="24"/>
                <w:szCs w:val="24"/>
              </w:rPr>
              <w:t>aujas secinājumi par tiesneša R. </w:t>
            </w:r>
            <w:r w:rsidRPr="00327DAE">
              <w:rPr>
                <w:i/>
                <w:sz w:val="24"/>
                <w:szCs w:val="24"/>
              </w:rPr>
              <w:t>Bula nolēmumiem:</w:t>
            </w:r>
          </w:p>
          <w:p w14:paraId="23C6C5FF" w14:textId="06C528DD" w:rsidR="00413AC6" w:rsidRPr="00327DAE" w:rsidRDefault="00413AC6" w:rsidP="0025317F">
            <w:pPr>
              <w:spacing w:after="120"/>
              <w:rPr>
                <w:sz w:val="24"/>
                <w:szCs w:val="24"/>
              </w:rPr>
            </w:pPr>
            <w:r w:rsidRPr="00327DAE">
              <w:rPr>
                <w:sz w:val="24"/>
                <w:szCs w:val="24"/>
              </w:rPr>
              <w:t xml:space="preserve">Žurnāla “IR” publikācijā ir izteiktas aizdomas, ka tiesnesis </w:t>
            </w:r>
            <w:r w:rsidR="00A77BA8">
              <w:rPr>
                <w:sz w:val="24"/>
                <w:szCs w:val="24"/>
              </w:rPr>
              <w:t>R. </w:t>
            </w:r>
            <w:r w:rsidRPr="00327DAE">
              <w:rPr>
                <w:sz w:val="24"/>
                <w:szCs w:val="24"/>
              </w:rPr>
              <w:t xml:space="preserve">Buls varētu būt viens no tiesnešiem, kurš ir “piesedzis” negodprātīgu administratoru un komersantu radītās maksātnespējas shēmas. Jāatzīst, ka šādas aizdomas ir jau ilgstoši cirkulējušas starp maksātnespējas jomas profesionāļiem. It īpaši saistībā ar tiesneša </w:t>
            </w:r>
            <w:r w:rsidR="00A77BA8">
              <w:rPr>
                <w:sz w:val="24"/>
                <w:szCs w:val="24"/>
              </w:rPr>
              <w:t>R. </w:t>
            </w:r>
            <w:r w:rsidRPr="00327DAE">
              <w:rPr>
                <w:sz w:val="24"/>
                <w:szCs w:val="24"/>
              </w:rPr>
              <w:t>Bula un bijušā administratora Māra Sprūda saistību. Jo praksē tika vairākkārt novēroti gadījumi, kad lietas, kurās ir iesaistīts Māri</w:t>
            </w:r>
            <w:r w:rsidR="009D376C">
              <w:rPr>
                <w:sz w:val="24"/>
                <w:szCs w:val="24"/>
              </w:rPr>
              <w:t>s</w:t>
            </w:r>
            <w:r w:rsidRPr="00327DAE">
              <w:rPr>
                <w:sz w:val="24"/>
                <w:szCs w:val="24"/>
              </w:rPr>
              <w:t xml:space="preserve"> Sprūds un ar viņu saistītie administratori, mēdza regulāri nonākt pie atsevišķiem tiesnešiem, t.sk. R.</w:t>
            </w:r>
            <w:r w:rsidR="009D376C">
              <w:rPr>
                <w:sz w:val="24"/>
                <w:szCs w:val="24"/>
              </w:rPr>
              <w:t> </w:t>
            </w:r>
            <w:r w:rsidRPr="00327DAE">
              <w:rPr>
                <w:sz w:val="24"/>
                <w:szCs w:val="24"/>
              </w:rPr>
              <w:t xml:space="preserve">Bula, kuri savukārt pārsvarā pieņēma šīm personām labvēlīgus nolēmumus.  </w:t>
            </w:r>
          </w:p>
          <w:p w14:paraId="1BA6890D" w14:textId="52D5CA83" w:rsidR="00413AC6" w:rsidRPr="00327DAE" w:rsidRDefault="00413AC6" w:rsidP="0025317F">
            <w:pPr>
              <w:spacing w:after="120"/>
              <w:rPr>
                <w:sz w:val="24"/>
                <w:szCs w:val="24"/>
              </w:rPr>
            </w:pPr>
            <w:r w:rsidRPr="00327DAE">
              <w:rPr>
                <w:sz w:val="24"/>
                <w:szCs w:val="24"/>
              </w:rPr>
              <w:t>Lai pilnvērtīgi pārbaudītu šo aizdomu pamatotību, ir nepieciešama ļoti plaša un padziļināta R.</w:t>
            </w:r>
            <w:r w:rsidR="009D376C">
              <w:rPr>
                <w:sz w:val="24"/>
                <w:szCs w:val="24"/>
              </w:rPr>
              <w:t> </w:t>
            </w:r>
            <w:r w:rsidRPr="00327DAE">
              <w:rPr>
                <w:sz w:val="24"/>
                <w:szCs w:val="24"/>
              </w:rPr>
              <w:t>Bula lietu (t.sk. to, kuras nav pārskatītas AT C</w:t>
            </w:r>
            <w:r w:rsidR="001F01BD" w:rsidRPr="00327DAE">
              <w:rPr>
                <w:sz w:val="24"/>
                <w:szCs w:val="24"/>
              </w:rPr>
              <w:t>L</w:t>
            </w:r>
            <w:r w:rsidRPr="00327DAE">
              <w:rPr>
                <w:sz w:val="24"/>
                <w:szCs w:val="24"/>
              </w:rPr>
              <w:t>D) analīze, turklāt būtu jāanalizē ne tikai paši nolēmumi, bet arī ar lietu saistītie apstākļi. Komisijas ietvaros tika izvērtētas lielākoties tikai tās R.</w:t>
            </w:r>
            <w:r w:rsidR="001F01BD" w:rsidRPr="00327DAE">
              <w:rPr>
                <w:sz w:val="24"/>
                <w:szCs w:val="24"/>
              </w:rPr>
              <w:t> </w:t>
            </w:r>
            <w:r w:rsidRPr="00327DAE">
              <w:rPr>
                <w:sz w:val="24"/>
                <w:szCs w:val="24"/>
              </w:rPr>
              <w:t>Bula lietas, kuros R.</w:t>
            </w:r>
            <w:r w:rsidR="009D376C">
              <w:rPr>
                <w:sz w:val="24"/>
                <w:szCs w:val="24"/>
              </w:rPr>
              <w:t> </w:t>
            </w:r>
            <w:r w:rsidRPr="00327DAE">
              <w:rPr>
                <w:sz w:val="24"/>
                <w:szCs w:val="24"/>
              </w:rPr>
              <w:t>Bula nolēmumus bija atcēlis AT C</w:t>
            </w:r>
            <w:r w:rsidR="001F01BD" w:rsidRPr="00327DAE">
              <w:rPr>
                <w:sz w:val="24"/>
                <w:szCs w:val="24"/>
              </w:rPr>
              <w:t>L</w:t>
            </w:r>
            <w:r w:rsidRPr="00327DAE">
              <w:rPr>
                <w:sz w:val="24"/>
                <w:szCs w:val="24"/>
              </w:rPr>
              <w:t xml:space="preserve">D. </w:t>
            </w:r>
          </w:p>
          <w:p w14:paraId="5EE48127" w14:textId="7F304828" w:rsidR="00413AC6" w:rsidRPr="00327DAE" w:rsidRDefault="00AC4D98" w:rsidP="0025317F">
            <w:pPr>
              <w:spacing w:after="120"/>
              <w:rPr>
                <w:sz w:val="24"/>
                <w:szCs w:val="24"/>
              </w:rPr>
            </w:pPr>
            <w:r>
              <w:rPr>
                <w:sz w:val="24"/>
                <w:szCs w:val="24"/>
              </w:rPr>
              <w:t>Mans secinājums, ka n</w:t>
            </w:r>
            <w:r w:rsidR="00413AC6" w:rsidRPr="00327DAE">
              <w:rPr>
                <w:sz w:val="24"/>
                <w:szCs w:val="24"/>
              </w:rPr>
              <w:t xml:space="preserve">o 12 nolēmumiem, kas tika analizēti, 3 nolēmumos tiesnesis </w:t>
            </w:r>
            <w:r w:rsidR="00A77BA8">
              <w:rPr>
                <w:sz w:val="24"/>
                <w:szCs w:val="24"/>
              </w:rPr>
              <w:t>R. </w:t>
            </w:r>
            <w:r w:rsidR="00413AC6" w:rsidRPr="00327DAE">
              <w:rPr>
                <w:sz w:val="24"/>
                <w:szCs w:val="24"/>
              </w:rPr>
              <w:t>Buls bija klaji pārkāpis likumu:</w:t>
            </w:r>
          </w:p>
          <w:p w14:paraId="7F3B8F4E" w14:textId="46FD5136"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atceļot kriminālprocesuālu drošības līdz</w:t>
            </w:r>
            <w:r w:rsidR="00AC4D98">
              <w:rPr>
                <w:sz w:val="24"/>
                <w:szCs w:val="24"/>
              </w:rPr>
              <w:t>ekli civilprocesa ietvaros SIA „</w:t>
            </w:r>
            <w:r w:rsidRPr="00327DAE">
              <w:rPr>
                <w:sz w:val="24"/>
                <w:szCs w:val="24"/>
              </w:rPr>
              <w:t xml:space="preserve">Dzimtā Sēta” maksātnespējas procesā”, </w:t>
            </w:r>
          </w:p>
          <w:p w14:paraId="2AF590E2" w14:textId="7B9D5A02"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neargumentēti noraidot kreditora sūdzību par acīmredzami nepamatotu administrator</w:t>
            </w:r>
            <w:r w:rsidR="00AC4D98">
              <w:rPr>
                <w:sz w:val="24"/>
                <w:szCs w:val="24"/>
              </w:rPr>
              <w:t>a lēmumu neatzīt prasījumu SIA „</w:t>
            </w:r>
            <w:r w:rsidRPr="00327DAE">
              <w:rPr>
                <w:sz w:val="24"/>
                <w:szCs w:val="24"/>
              </w:rPr>
              <w:t xml:space="preserve">Troja </w:t>
            </w:r>
            <w:proofErr w:type="spellStart"/>
            <w:r w:rsidRPr="00327DAE">
              <w:rPr>
                <w:sz w:val="24"/>
                <w:szCs w:val="24"/>
              </w:rPr>
              <w:t>Immobilien</w:t>
            </w:r>
            <w:proofErr w:type="spellEnd"/>
            <w:r w:rsidRPr="00327DAE">
              <w:rPr>
                <w:sz w:val="24"/>
                <w:szCs w:val="24"/>
              </w:rPr>
              <w:t>” maksātnespējas procesā un nenosakot termiņu prasības celšanai, kā arī</w:t>
            </w:r>
          </w:p>
          <w:p w14:paraId="29C3F729" w14:textId="77777777"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pasludinot fiziskās personas maksātnespējas procesu personai, kura bija nobēdzinājusi mantu pirms maksātnespējas pieteikuma iesniegšanas).</w:t>
            </w:r>
          </w:p>
          <w:p w14:paraId="5DED9731" w14:textId="6926A071" w:rsidR="00413AC6" w:rsidRPr="00327DAE" w:rsidRDefault="00413AC6" w:rsidP="0025317F">
            <w:pPr>
              <w:spacing w:after="120"/>
              <w:rPr>
                <w:sz w:val="24"/>
                <w:szCs w:val="24"/>
              </w:rPr>
            </w:pPr>
            <w:r w:rsidRPr="00327DAE">
              <w:rPr>
                <w:sz w:val="24"/>
                <w:szCs w:val="24"/>
              </w:rPr>
              <w:t xml:space="preserve">Vairākus tiesneša </w:t>
            </w:r>
            <w:r w:rsidR="00A77BA8">
              <w:rPr>
                <w:sz w:val="24"/>
                <w:szCs w:val="24"/>
              </w:rPr>
              <w:t>R. </w:t>
            </w:r>
            <w:r w:rsidRPr="00327DAE">
              <w:rPr>
                <w:sz w:val="24"/>
                <w:szCs w:val="24"/>
              </w:rPr>
              <w:t>Bula nolēmumus, kurus vēlāk atcēla AT C</w:t>
            </w:r>
            <w:r w:rsidR="001F01BD" w:rsidRPr="00327DAE">
              <w:rPr>
                <w:sz w:val="24"/>
                <w:szCs w:val="24"/>
              </w:rPr>
              <w:t>L</w:t>
            </w:r>
            <w:r w:rsidRPr="00327DAE">
              <w:rPr>
                <w:sz w:val="24"/>
                <w:szCs w:val="24"/>
              </w:rPr>
              <w:t xml:space="preserve">D, formāli varētu skaidrot ar neskaidru praksi. Taču uzkrītoši ir tas, ka visos šajos gadījumos pastāvēja </w:t>
            </w:r>
            <w:r w:rsidRPr="00327DAE">
              <w:rPr>
                <w:sz w:val="24"/>
                <w:szCs w:val="24"/>
              </w:rPr>
              <w:lastRenderedPageBreak/>
              <w:t xml:space="preserve">iespēja arī atšķirīgi interpretēt lietas apstākļus un likumu, taču tiesnesis </w:t>
            </w:r>
            <w:r w:rsidR="00A77BA8">
              <w:rPr>
                <w:sz w:val="24"/>
                <w:szCs w:val="24"/>
              </w:rPr>
              <w:t>R. </w:t>
            </w:r>
            <w:r w:rsidRPr="00327DAE">
              <w:rPr>
                <w:sz w:val="24"/>
                <w:szCs w:val="24"/>
              </w:rPr>
              <w:t>Buls bija izv</w:t>
            </w:r>
            <w:r w:rsidR="009D376C">
              <w:rPr>
                <w:sz w:val="24"/>
                <w:szCs w:val="24"/>
              </w:rPr>
              <w:t>ē</w:t>
            </w:r>
            <w:r w:rsidRPr="00327DAE">
              <w:rPr>
                <w:sz w:val="24"/>
                <w:szCs w:val="24"/>
              </w:rPr>
              <w:t xml:space="preserve">lējies tādu interpretāciju, kas apmierināja </w:t>
            </w:r>
            <w:r w:rsidRPr="00932183">
              <w:rPr>
                <w:sz w:val="24"/>
                <w:szCs w:val="24"/>
              </w:rPr>
              <w:t xml:space="preserve">pieteicēju, bet būtiski aizskāra kāda atsevišķa kreditora intereses. Piemēram, jautājumā </w:t>
            </w:r>
            <w:r w:rsidR="00932183" w:rsidRPr="00932183">
              <w:rPr>
                <w:sz w:val="24"/>
                <w:szCs w:val="24"/>
              </w:rPr>
              <w:t>p</w:t>
            </w:r>
            <w:r w:rsidRPr="00932183">
              <w:rPr>
                <w:sz w:val="24"/>
                <w:szCs w:val="24"/>
              </w:rPr>
              <w:t xml:space="preserve">ar </w:t>
            </w:r>
            <w:r w:rsidR="009D376C">
              <w:rPr>
                <w:sz w:val="24"/>
                <w:szCs w:val="24"/>
              </w:rPr>
              <w:t xml:space="preserve">trešās </w:t>
            </w:r>
            <w:r w:rsidR="00AC4D98">
              <w:rPr>
                <w:sz w:val="24"/>
                <w:szCs w:val="24"/>
              </w:rPr>
              <w:t>personas ķīlu SIA „Doma Investīcijas” un SIA „</w:t>
            </w:r>
            <w:r w:rsidRPr="00327DAE">
              <w:rPr>
                <w:sz w:val="24"/>
                <w:szCs w:val="24"/>
              </w:rPr>
              <w:t>Valdemāra parks” lietā.</w:t>
            </w:r>
          </w:p>
          <w:p w14:paraId="7ECE0E96" w14:textId="4E96441E" w:rsidR="00413AC6" w:rsidRPr="00327DAE" w:rsidRDefault="00413AC6" w:rsidP="0025317F">
            <w:pPr>
              <w:spacing w:after="120"/>
              <w:rPr>
                <w:sz w:val="24"/>
                <w:szCs w:val="24"/>
              </w:rPr>
            </w:pPr>
            <w:r w:rsidRPr="00327DAE">
              <w:rPr>
                <w:sz w:val="24"/>
                <w:szCs w:val="24"/>
              </w:rPr>
              <w:t xml:space="preserve">Lai gan tika analizēta tikai ļoti maza daļa no visiem tiesneša </w:t>
            </w:r>
            <w:r w:rsidR="00A77BA8">
              <w:rPr>
                <w:sz w:val="24"/>
                <w:szCs w:val="24"/>
              </w:rPr>
              <w:t>R. </w:t>
            </w:r>
            <w:r w:rsidRPr="00327DAE">
              <w:rPr>
                <w:sz w:val="24"/>
                <w:szCs w:val="24"/>
              </w:rPr>
              <w:t>Bula nolēmumiem, analizētie nolēmumi drīzāk apstiprina</w:t>
            </w:r>
            <w:proofErr w:type="gramStart"/>
            <w:r w:rsidRPr="00327DAE">
              <w:rPr>
                <w:sz w:val="24"/>
                <w:szCs w:val="24"/>
              </w:rPr>
              <w:t xml:space="preserve"> nek</w:t>
            </w:r>
            <w:r w:rsidR="00A77BA8">
              <w:rPr>
                <w:sz w:val="24"/>
                <w:szCs w:val="24"/>
              </w:rPr>
              <w:t xml:space="preserve">ā atspēko aizdomas par tiesneša R. </w:t>
            </w:r>
            <w:r w:rsidRPr="00327DAE">
              <w:rPr>
                <w:sz w:val="24"/>
                <w:szCs w:val="24"/>
              </w:rPr>
              <w:t>Bula īpašo saikni ar Māra Sprūda grupējuma administratoriem</w:t>
            </w:r>
            <w:proofErr w:type="gramEnd"/>
            <w:r w:rsidRPr="00327DAE">
              <w:rPr>
                <w:sz w:val="24"/>
                <w:szCs w:val="24"/>
              </w:rPr>
              <w:t>. Četrās no analizētajām lietām maksātnespējas administratora statu</w:t>
            </w:r>
            <w:r w:rsidR="00AC4D98">
              <w:rPr>
                <w:sz w:val="24"/>
                <w:szCs w:val="24"/>
              </w:rPr>
              <w:t>sā bija pats Māris Sprūds (SIA „</w:t>
            </w:r>
            <w:r w:rsidRPr="00327DAE">
              <w:rPr>
                <w:sz w:val="24"/>
                <w:szCs w:val="24"/>
              </w:rPr>
              <w:t>Dzimtā Sēta”) vai ar viņu saistīts administrators (A.</w:t>
            </w:r>
            <w:r w:rsidR="009D376C">
              <w:rPr>
                <w:sz w:val="24"/>
                <w:szCs w:val="24"/>
              </w:rPr>
              <w:t> </w:t>
            </w:r>
            <w:r w:rsidRPr="00327DAE">
              <w:rPr>
                <w:sz w:val="24"/>
                <w:szCs w:val="24"/>
              </w:rPr>
              <w:t>Lūsis</w:t>
            </w:r>
            <w:r w:rsidR="009D376C">
              <w:rPr>
                <w:sz w:val="24"/>
                <w:szCs w:val="24"/>
              </w:rPr>
              <w:t xml:space="preserve"> –</w:t>
            </w:r>
            <w:r w:rsidR="00AC4D98">
              <w:rPr>
                <w:sz w:val="24"/>
                <w:szCs w:val="24"/>
              </w:rPr>
              <w:t xml:space="preserve"> SIA „</w:t>
            </w:r>
            <w:r w:rsidRPr="00327DAE">
              <w:rPr>
                <w:sz w:val="24"/>
                <w:szCs w:val="24"/>
              </w:rPr>
              <w:t>Būvuzņēmums STATS”, Z.</w:t>
            </w:r>
            <w:r w:rsidR="009D376C">
              <w:rPr>
                <w:sz w:val="24"/>
                <w:szCs w:val="24"/>
              </w:rPr>
              <w:t> </w:t>
            </w:r>
            <w:proofErr w:type="spellStart"/>
            <w:r w:rsidRPr="00327DAE">
              <w:rPr>
                <w:sz w:val="24"/>
                <w:szCs w:val="24"/>
              </w:rPr>
              <w:t>Kokare-Rode</w:t>
            </w:r>
            <w:proofErr w:type="spellEnd"/>
            <w:r w:rsidR="009D376C">
              <w:rPr>
                <w:sz w:val="24"/>
                <w:szCs w:val="24"/>
              </w:rPr>
              <w:t xml:space="preserve"> –</w:t>
            </w:r>
            <w:r w:rsidR="00AC4D98">
              <w:rPr>
                <w:sz w:val="24"/>
                <w:szCs w:val="24"/>
              </w:rPr>
              <w:t xml:space="preserve"> SIA „</w:t>
            </w:r>
            <w:proofErr w:type="spellStart"/>
            <w:r w:rsidRPr="00327DAE">
              <w:rPr>
                <w:sz w:val="24"/>
                <w:szCs w:val="24"/>
              </w:rPr>
              <w:t>Forburga</w:t>
            </w:r>
            <w:proofErr w:type="spellEnd"/>
            <w:r w:rsidRPr="00327DAE">
              <w:rPr>
                <w:sz w:val="24"/>
                <w:szCs w:val="24"/>
              </w:rPr>
              <w:t>”, I.</w:t>
            </w:r>
            <w:r w:rsidR="009D376C">
              <w:rPr>
                <w:sz w:val="24"/>
                <w:szCs w:val="24"/>
              </w:rPr>
              <w:t> </w:t>
            </w:r>
            <w:r w:rsidRPr="00327DAE">
              <w:rPr>
                <w:sz w:val="24"/>
                <w:szCs w:val="24"/>
              </w:rPr>
              <w:t>Gulbe</w:t>
            </w:r>
            <w:r w:rsidR="009D376C">
              <w:rPr>
                <w:sz w:val="24"/>
                <w:szCs w:val="24"/>
              </w:rPr>
              <w:t xml:space="preserve"> –</w:t>
            </w:r>
            <w:r w:rsidR="00AC4D98">
              <w:rPr>
                <w:sz w:val="24"/>
                <w:szCs w:val="24"/>
              </w:rPr>
              <w:t xml:space="preserve"> SIA „</w:t>
            </w:r>
            <w:proofErr w:type="spellStart"/>
            <w:r w:rsidRPr="00327DAE">
              <w:rPr>
                <w:sz w:val="24"/>
                <w:szCs w:val="24"/>
              </w:rPr>
              <w:t>Butique</w:t>
            </w:r>
            <w:proofErr w:type="spellEnd"/>
            <w:r w:rsidRPr="00327DAE">
              <w:rPr>
                <w:sz w:val="24"/>
                <w:szCs w:val="24"/>
              </w:rPr>
              <w:t xml:space="preserve"> </w:t>
            </w:r>
            <w:proofErr w:type="spellStart"/>
            <w:r w:rsidRPr="00327DAE">
              <w:rPr>
                <w:sz w:val="24"/>
                <w:szCs w:val="24"/>
              </w:rPr>
              <w:t>Hotel</w:t>
            </w:r>
            <w:proofErr w:type="spellEnd"/>
            <w:r w:rsidRPr="00327DAE">
              <w:rPr>
                <w:sz w:val="24"/>
                <w:szCs w:val="24"/>
              </w:rPr>
              <w:t xml:space="preserve"> Ainava”). Turklāt trijās no šīm četrām lietām parādniekam tika īsi pirms pieteikuma iesniegšanas mainīta juridiskā adrese uz Rīgas Centra rajonu. Ņemot vērā to, ka visas lietas, kurās tika mainīta </w:t>
            </w:r>
            <w:r w:rsidR="009D376C">
              <w:rPr>
                <w:sz w:val="24"/>
                <w:szCs w:val="24"/>
              </w:rPr>
              <w:t xml:space="preserve">adrese, </w:t>
            </w:r>
            <w:r w:rsidRPr="00327DAE">
              <w:rPr>
                <w:sz w:val="24"/>
                <w:szCs w:val="24"/>
              </w:rPr>
              <w:t>bija ĀTAP lietas, kurās administratoru izvēlas pats parādnieks (t.i.</w:t>
            </w:r>
            <w:r w:rsidR="009D376C">
              <w:rPr>
                <w:sz w:val="24"/>
                <w:szCs w:val="24"/>
              </w:rPr>
              <w:t>,</w:t>
            </w:r>
            <w:r w:rsidRPr="00327DAE">
              <w:rPr>
                <w:sz w:val="24"/>
                <w:szCs w:val="24"/>
              </w:rPr>
              <w:t xml:space="preserve"> šajā gadījumā nebija vajadzības manipulēt ar administratoru rindu), vienīgais loģiskais izskaidrojums šādai sistemātiskai adrešu maiņai ir tikai vajadzīgās tiesas piekritības iegūšana. </w:t>
            </w:r>
          </w:p>
          <w:p w14:paraId="42127DE3" w14:textId="6100E89B" w:rsidR="00413AC6" w:rsidRPr="00327DAE" w:rsidRDefault="00413AC6" w:rsidP="0025317F">
            <w:pPr>
              <w:spacing w:after="120"/>
              <w:rPr>
                <w:sz w:val="24"/>
                <w:szCs w:val="24"/>
              </w:rPr>
            </w:pPr>
            <w:r w:rsidRPr="00327DAE">
              <w:rPr>
                <w:sz w:val="24"/>
                <w:szCs w:val="24"/>
              </w:rPr>
              <w:t xml:space="preserve">Ja aplūko </w:t>
            </w:r>
            <w:r w:rsidR="00A77BA8">
              <w:rPr>
                <w:sz w:val="24"/>
                <w:szCs w:val="24"/>
              </w:rPr>
              <w:t>R. </w:t>
            </w:r>
            <w:r w:rsidRPr="00327DAE">
              <w:rPr>
                <w:sz w:val="24"/>
                <w:szCs w:val="24"/>
              </w:rPr>
              <w:t xml:space="preserve">Bula lēmumus šo </w:t>
            </w:r>
            <w:r w:rsidR="009D376C">
              <w:rPr>
                <w:sz w:val="24"/>
                <w:szCs w:val="24"/>
              </w:rPr>
              <w:t>“</w:t>
            </w:r>
            <w:r w:rsidRPr="00327DAE">
              <w:rPr>
                <w:sz w:val="24"/>
                <w:szCs w:val="24"/>
              </w:rPr>
              <w:t>ceļojošo” parādnieku lietās, tad var secināt, ka:</w:t>
            </w:r>
          </w:p>
          <w:p w14:paraId="5A744ECC" w14:textId="7AE8679C"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tas ir bijis klaji prettiesisks (atceltais kriminālprocesa drošības līdzeklis SIA “Dzimtā Sēta” lietā</w:t>
            </w:r>
            <w:r w:rsidR="009D376C">
              <w:rPr>
                <w:sz w:val="24"/>
                <w:szCs w:val="24"/>
              </w:rPr>
              <w:t>)</w:t>
            </w:r>
            <w:r w:rsidRPr="00327DAE">
              <w:rPr>
                <w:sz w:val="24"/>
                <w:szCs w:val="24"/>
              </w:rPr>
              <w:t>,</w:t>
            </w:r>
          </w:p>
          <w:p w14:paraId="3AFFC013" w14:textId="61B0179C"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to varētu uzskatīt pa</w:t>
            </w:r>
            <w:r w:rsidR="00AC4D98">
              <w:rPr>
                <w:sz w:val="24"/>
                <w:szCs w:val="24"/>
              </w:rPr>
              <w:t>r kļūdainu interpretāciju (SIA „</w:t>
            </w:r>
            <w:proofErr w:type="spellStart"/>
            <w:r w:rsidRPr="00327DAE">
              <w:rPr>
                <w:sz w:val="24"/>
                <w:szCs w:val="24"/>
              </w:rPr>
              <w:t>Forburga</w:t>
            </w:r>
            <w:proofErr w:type="spellEnd"/>
            <w:r w:rsidRPr="00327DAE">
              <w:rPr>
                <w:sz w:val="24"/>
                <w:szCs w:val="24"/>
              </w:rPr>
              <w:t>” TAP apstiprināšana bez nodrošināta kreditora piekrišanas pārdot ieķīlāto mantu)</w:t>
            </w:r>
            <w:r w:rsidR="0011713A">
              <w:rPr>
                <w:sz w:val="24"/>
                <w:szCs w:val="24"/>
              </w:rPr>
              <w:t>,</w:t>
            </w:r>
          </w:p>
          <w:p w14:paraId="00787C30" w14:textId="77777777"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tas bija juridiski korekts, taču pastāvēja arī citi viedokļi par to, kā šī lieta būtu izlemjama (SIA “Būvuzņēmums STATS”).</w:t>
            </w:r>
          </w:p>
          <w:p w14:paraId="39870847" w14:textId="37057E89" w:rsidR="00413AC6" w:rsidRPr="00327DAE" w:rsidRDefault="00413AC6" w:rsidP="0025317F">
            <w:pPr>
              <w:spacing w:after="120"/>
              <w:rPr>
                <w:sz w:val="24"/>
                <w:szCs w:val="24"/>
              </w:rPr>
            </w:pPr>
            <w:r w:rsidRPr="00327DAE">
              <w:rPr>
                <w:sz w:val="24"/>
                <w:szCs w:val="24"/>
              </w:rPr>
              <w:t>Visas trīs lietas vieno tas, ka gadījumā, ja šīs lietas skatītu kāds cits tiesnesis, pastāv vai nu ļoti liela, vai samērā liela iespēja, ka tās varētu tiktu izlemtas savādāk, noraidot pieteikumu. No šāda viedokļa pie šīm</w:t>
            </w:r>
            <w:r w:rsidR="00AC4D98">
              <w:rPr>
                <w:sz w:val="24"/>
                <w:szCs w:val="24"/>
              </w:rPr>
              <w:t xml:space="preserve"> lietām var pieskaitīt arī SIA „</w:t>
            </w:r>
            <w:proofErr w:type="spellStart"/>
            <w:r w:rsidRPr="00327DAE">
              <w:rPr>
                <w:sz w:val="24"/>
                <w:szCs w:val="24"/>
              </w:rPr>
              <w:t>Butique</w:t>
            </w:r>
            <w:proofErr w:type="spellEnd"/>
            <w:r w:rsidRPr="00327DAE">
              <w:rPr>
                <w:sz w:val="24"/>
                <w:szCs w:val="24"/>
              </w:rPr>
              <w:t xml:space="preserve"> </w:t>
            </w:r>
            <w:proofErr w:type="spellStart"/>
            <w:r w:rsidRPr="00327DAE">
              <w:rPr>
                <w:sz w:val="24"/>
                <w:szCs w:val="24"/>
              </w:rPr>
              <w:t>Hotel</w:t>
            </w:r>
            <w:proofErr w:type="spellEnd"/>
            <w:r w:rsidRPr="00327DAE">
              <w:rPr>
                <w:sz w:val="24"/>
                <w:szCs w:val="24"/>
              </w:rPr>
              <w:t xml:space="preserve"> Ainava” maksātnespējas procesa lietu, kurā kā administratore bija ieteikt</w:t>
            </w:r>
            <w:r w:rsidR="0011713A">
              <w:rPr>
                <w:sz w:val="24"/>
                <w:szCs w:val="24"/>
              </w:rPr>
              <w:t>a</w:t>
            </w:r>
            <w:r w:rsidRPr="00327DAE">
              <w:rPr>
                <w:sz w:val="24"/>
                <w:szCs w:val="24"/>
              </w:rPr>
              <w:t xml:space="preserve"> ar M.</w:t>
            </w:r>
            <w:r w:rsidR="0011713A">
              <w:rPr>
                <w:sz w:val="24"/>
                <w:szCs w:val="24"/>
              </w:rPr>
              <w:t> </w:t>
            </w:r>
            <w:r w:rsidRPr="00327DAE">
              <w:rPr>
                <w:sz w:val="24"/>
                <w:szCs w:val="24"/>
              </w:rPr>
              <w:t>Sprūdu saistīt</w:t>
            </w:r>
            <w:r w:rsidR="0011713A">
              <w:rPr>
                <w:sz w:val="24"/>
                <w:szCs w:val="24"/>
              </w:rPr>
              <w:t>ā</w:t>
            </w:r>
            <w:r w:rsidRPr="00327DAE">
              <w:rPr>
                <w:sz w:val="24"/>
                <w:szCs w:val="24"/>
              </w:rPr>
              <w:t xml:space="preserve"> I. Gulbe. Šīs lietas to kopsakarā drīzāk apstiprina</w:t>
            </w:r>
            <w:proofErr w:type="gramStart"/>
            <w:r w:rsidRPr="00327DAE">
              <w:rPr>
                <w:sz w:val="24"/>
                <w:szCs w:val="24"/>
              </w:rPr>
              <w:t xml:space="preserve"> nekā atspēko versiju, ka parādnieka adrešu maiņa ir bijusi vērsta uz to, lai lieta nonāktu Centra rajona ties</w:t>
            </w:r>
            <w:r w:rsidR="0011713A">
              <w:rPr>
                <w:sz w:val="24"/>
                <w:szCs w:val="24"/>
              </w:rPr>
              <w:t>ā</w:t>
            </w:r>
            <w:r w:rsidRPr="00327DAE">
              <w:rPr>
                <w:sz w:val="24"/>
                <w:szCs w:val="24"/>
              </w:rPr>
              <w:t xml:space="preserve"> pie tiesneša </w:t>
            </w:r>
            <w:r w:rsidR="00A77BA8">
              <w:rPr>
                <w:sz w:val="24"/>
                <w:szCs w:val="24"/>
              </w:rPr>
              <w:t>R. </w:t>
            </w:r>
            <w:r w:rsidRPr="00327DAE">
              <w:rPr>
                <w:sz w:val="24"/>
                <w:szCs w:val="24"/>
              </w:rPr>
              <w:t>Bula, kurš lemtu pieteicējam par labu</w:t>
            </w:r>
            <w:proofErr w:type="gramEnd"/>
            <w:r w:rsidRPr="00327DAE">
              <w:rPr>
                <w:sz w:val="24"/>
                <w:szCs w:val="24"/>
              </w:rPr>
              <w:t>. Katrā ziņā vērotājam no malas šāds iespaids varētu rasties</w:t>
            </w:r>
            <w:r w:rsidR="0011713A">
              <w:rPr>
                <w:sz w:val="24"/>
                <w:szCs w:val="24"/>
              </w:rPr>
              <w:t>,</w:t>
            </w:r>
            <w:r w:rsidRPr="00327DAE">
              <w:rPr>
                <w:sz w:val="24"/>
                <w:szCs w:val="24"/>
              </w:rPr>
              <w:t xml:space="preserve"> un žurnāla “IR” izteiktās aizdomas ir balstītas uz apstākļu kopumu, kuri dod pamatu šīm aizdomām.</w:t>
            </w:r>
          </w:p>
          <w:p w14:paraId="0C556E5D" w14:textId="2DAA213A" w:rsidR="00413AC6" w:rsidRPr="00327DAE" w:rsidRDefault="00AC4D98" w:rsidP="0025317F">
            <w:pPr>
              <w:spacing w:after="120"/>
              <w:rPr>
                <w:sz w:val="24"/>
                <w:szCs w:val="24"/>
              </w:rPr>
            </w:pPr>
            <w:r>
              <w:rPr>
                <w:sz w:val="24"/>
                <w:szCs w:val="24"/>
              </w:rPr>
              <w:t>Zīmīgi, ka atbilstoši žurnāla „</w:t>
            </w:r>
            <w:r w:rsidR="00413AC6" w:rsidRPr="00327DAE">
              <w:rPr>
                <w:sz w:val="24"/>
                <w:szCs w:val="24"/>
              </w:rPr>
              <w:t>IR” aprēķiniem R.</w:t>
            </w:r>
            <w:r w:rsidR="0011713A">
              <w:rPr>
                <w:sz w:val="24"/>
                <w:szCs w:val="24"/>
              </w:rPr>
              <w:t> </w:t>
            </w:r>
            <w:r w:rsidR="00413AC6" w:rsidRPr="00327DAE">
              <w:rPr>
                <w:sz w:val="24"/>
                <w:szCs w:val="24"/>
              </w:rPr>
              <w:t xml:space="preserve">Buls no visiem tiesnešiem ir visvairāk </w:t>
            </w:r>
            <w:r w:rsidR="0011713A" w:rsidRPr="00327DAE">
              <w:rPr>
                <w:sz w:val="24"/>
                <w:szCs w:val="24"/>
              </w:rPr>
              <w:t>skatī</w:t>
            </w:r>
            <w:r w:rsidR="0011713A">
              <w:rPr>
                <w:sz w:val="24"/>
                <w:szCs w:val="24"/>
              </w:rPr>
              <w:t>jis</w:t>
            </w:r>
            <w:r w:rsidR="0011713A" w:rsidRPr="00327DAE">
              <w:rPr>
                <w:sz w:val="24"/>
                <w:szCs w:val="24"/>
              </w:rPr>
              <w:t xml:space="preserve"> </w:t>
            </w:r>
            <w:r w:rsidR="00413AC6" w:rsidRPr="00327DAE">
              <w:rPr>
                <w:sz w:val="24"/>
                <w:szCs w:val="24"/>
              </w:rPr>
              <w:t xml:space="preserve">“ceļojošo” parādnieku lietas: </w:t>
            </w:r>
            <w:r w:rsidR="0011713A">
              <w:rPr>
                <w:sz w:val="24"/>
                <w:szCs w:val="24"/>
              </w:rPr>
              <w:t>kopumā</w:t>
            </w:r>
            <w:r w:rsidR="0011713A" w:rsidRPr="00327DAE">
              <w:rPr>
                <w:sz w:val="24"/>
                <w:szCs w:val="24"/>
              </w:rPr>
              <w:t xml:space="preserve"> </w:t>
            </w:r>
            <w:r w:rsidR="00413AC6" w:rsidRPr="00327DAE">
              <w:rPr>
                <w:sz w:val="24"/>
                <w:szCs w:val="24"/>
              </w:rPr>
              <w:t>28. Turklāt R.</w:t>
            </w:r>
            <w:r w:rsidR="0011713A">
              <w:rPr>
                <w:sz w:val="24"/>
                <w:szCs w:val="24"/>
              </w:rPr>
              <w:t> </w:t>
            </w:r>
            <w:r w:rsidR="00413AC6" w:rsidRPr="00327DAE">
              <w:rPr>
                <w:sz w:val="24"/>
                <w:szCs w:val="24"/>
              </w:rPr>
              <w:t>Bulam ir arī visvairāk atcelto nolēmumu: 12. Saikne starp šiem rādītāji</w:t>
            </w:r>
            <w:r w:rsidR="0011713A">
              <w:rPr>
                <w:sz w:val="24"/>
                <w:szCs w:val="24"/>
              </w:rPr>
              <w:t>em</w:t>
            </w:r>
            <w:r w:rsidR="00413AC6" w:rsidRPr="00327DAE">
              <w:rPr>
                <w:sz w:val="24"/>
                <w:szCs w:val="24"/>
              </w:rPr>
              <w:t xml:space="preserve"> netieši apstiprina versiju, ka negodprātīgi pieteicēji ir mērķtiecīgi centušies panākt lietas nonākšanu pie R.</w:t>
            </w:r>
            <w:r w:rsidR="0011713A">
              <w:rPr>
                <w:sz w:val="24"/>
                <w:szCs w:val="24"/>
              </w:rPr>
              <w:t> </w:t>
            </w:r>
            <w:r w:rsidR="00413AC6" w:rsidRPr="00327DAE">
              <w:rPr>
                <w:sz w:val="24"/>
                <w:szCs w:val="24"/>
              </w:rPr>
              <w:t>Bula, sagaidot, ka R.</w:t>
            </w:r>
            <w:r w:rsidR="0011713A">
              <w:rPr>
                <w:sz w:val="24"/>
                <w:szCs w:val="24"/>
              </w:rPr>
              <w:t> </w:t>
            </w:r>
            <w:r w:rsidR="00413AC6" w:rsidRPr="00327DAE">
              <w:rPr>
                <w:sz w:val="24"/>
                <w:szCs w:val="24"/>
              </w:rPr>
              <w:t>Buls pieņems tiem labvēlīgu</w:t>
            </w:r>
            <w:r w:rsidR="0011713A">
              <w:rPr>
                <w:sz w:val="24"/>
                <w:szCs w:val="24"/>
              </w:rPr>
              <w:t>,</w:t>
            </w:r>
            <w:r w:rsidR="00413AC6" w:rsidRPr="00327DAE">
              <w:rPr>
                <w:sz w:val="24"/>
                <w:szCs w:val="24"/>
              </w:rPr>
              <w:t xml:space="preserve"> bet prettiesisku nolēmumu.</w:t>
            </w:r>
          </w:p>
          <w:p w14:paraId="4477AA6B" w14:textId="33E67B91" w:rsidR="00413AC6" w:rsidRPr="00327DAE" w:rsidRDefault="00A77BA8" w:rsidP="0025317F">
            <w:pPr>
              <w:spacing w:after="120"/>
              <w:rPr>
                <w:sz w:val="24"/>
                <w:szCs w:val="24"/>
              </w:rPr>
            </w:pPr>
            <w:r>
              <w:rPr>
                <w:sz w:val="24"/>
                <w:szCs w:val="24"/>
              </w:rPr>
              <w:t>Analizējot tiesneša R. </w:t>
            </w:r>
            <w:r w:rsidR="00413AC6" w:rsidRPr="00327DAE">
              <w:rPr>
                <w:sz w:val="24"/>
                <w:szCs w:val="24"/>
              </w:rPr>
              <w:t>Bula nolēmumus</w:t>
            </w:r>
            <w:r w:rsidR="0011713A">
              <w:rPr>
                <w:sz w:val="24"/>
                <w:szCs w:val="24"/>
              </w:rPr>
              <w:t>,</w:t>
            </w:r>
            <w:r w:rsidR="00413AC6" w:rsidRPr="00327DAE">
              <w:rPr>
                <w:sz w:val="24"/>
                <w:szCs w:val="24"/>
              </w:rPr>
              <w:t xml:space="preserve"> rodas iespaids, ka tiesnesis </w:t>
            </w:r>
            <w:r>
              <w:rPr>
                <w:sz w:val="24"/>
                <w:szCs w:val="24"/>
              </w:rPr>
              <w:t>R. </w:t>
            </w:r>
            <w:r w:rsidR="00413AC6" w:rsidRPr="00327DAE">
              <w:rPr>
                <w:sz w:val="24"/>
                <w:szCs w:val="24"/>
              </w:rPr>
              <w:t xml:space="preserve">Buls ir apveltīts ar labām analītiskām spriestspējām un samērā labi pārvalda tiesību piemērošanas metodes. Taču diemžēl lielākā </w:t>
            </w:r>
            <w:r>
              <w:rPr>
                <w:sz w:val="24"/>
                <w:szCs w:val="24"/>
              </w:rPr>
              <w:t>daļa no analizētajiem tiesneša R. </w:t>
            </w:r>
            <w:r w:rsidR="00413AC6" w:rsidRPr="00327DAE">
              <w:rPr>
                <w:sz w:val="24"/>
                <w:szCs w:val="24"/>
              </w:rPr>
              <w:t xml:space="preserve">Bula nolēmumiem uzrāda šādu tendenci: </w:t>
            </w:r>
            <w:r w:rsidR="0011713A">
              <w:rPr>
                <w:sz w:val="24"/>
                <w:szCs w:val="24"/>
              </w:rPr>
              <w:t>n</w:t>
            </w:r>
            <w:r w:rsidR="00413AC6" w:rsidRPr="00327DAE">
              <w:rPr>
                <w:sz w:val="24"/>
                <w:szCs w:val="24"/>
              </w:rPr>
              <w:t>olēmumi ir pārsvarā argumentēti ar atsaucēm uz tiesību normām un apstākļu analīzi</w:t>
            </w:r>
            <w:r w:rsidR="00AC4D98">
              <w:rPr>
                <w:sz w:val="24"/>
                <w:szCs w:val="24"/>
              </w:rPr>
              <w:t xml:space="preserve"> (klajš izņēmums ir lēmums SIA „</w:t>
            </w:r>
            <w:r w:rsidR="00413AC6" w:rsidRPr="00327DAE">
              <w:rPr>
                <w:sz w:val="24"/>
                <w:szCs w:val="24"/>
              </w:rPr>
              <w:t xml:space="preserve">Troja </w:t>
            </w:r>
            <w:proofErr w:type="spellStart"/>
            <w:r w:rsidR="00413AC6" w:rsidRPr="00327DAE">
              <w:rPr>
                <w:sz w:val="24"/>
                <w:szCs w:val="24"/>
              </w:rPr>
              <w:t>Immobilien</w:t>
            </w:r>
            <w:proofErr w:type="spellEnd"/>
            <w:r w:rsidR="00413AC6" w:rsidRPr="00327DAE">
              <w:rPr>
                <w:sz w:val="24"/>
                <w:szCs w:val="24"/>
              </w:rPr>
              <w:t>” lietā), taču nolēmuma galarezultāts ir tāds, kas būtiski aizskar kādu personu intereses vai ir iecietīgs pret negodprātīgu rīcību</w:t>
            </w:r>
            <w:r w:rsidR="0011713A">
              <w:rPr>
                <w:sz w:val="24"/>
                <w:szCs w:val="24"/>
              </w:rPr>
              <w:t>,</w:t>
            </w:r>
            <w:r w:rsidR="00413AC6" w:rsidRPr="00327DAE">
              <w:rPr>
                <w:sz w:val="24"/>
                <w:szCs w:val="24"/>
              </w:rPr>
              <w:t xml:space="preserve"> citiem vārdiem sakot, netaisnīgs. Analizētie nolēmumi norāda uz to, ka tiesnesim </w:t>
            </w:r>
            <w:r>
              <w:rPr>
                <w:sz w:val="24"/>
                <w:szCs w:val="24"/>
              </w:rPr>
              <w:t>R. </w:t>
            </w:r>
            <w:r w:rsidR="00413AC6" w:rsidRPr="00327DAE">
              <w:rPr>
                <w:sz w:val="24"/>
                <w:szCs w:val="24"/>
              </w:rPr>
              <w:t xml:space="preserve">Bulam bija tendence nereaģēt uz jebkādām pazīmēm, kas liecina par maksātnespējas ļaunprātīgu </w:t>
            </w:r>
            <w:r w:rsidR="00413AC6" w:rsidRPr="00327DAE">
              <w:rPr>
                <w:sz w:val="24"/>
                <w:szCs w:val="24"/>
              </w:rPr>
              <w:lastRenderedPageBreak/>
              <w:t xml:space="preserve">izmantošanu </w:t>
            </w:r>
            <w:r w:rsidR="001F01BD" w:rsidRPr="00327DAE">
              <w:rPr>
                <w:sz w:val="24"/>
                <w:szCs w:val="24"/>
              </w:rPr>
              <w:t>izskatāmajā</w:t>
            </w:r>
            <w:r w:rsidR="00413AC6" w:rsidRPr="00327DAE">
              <w:rPr>
                <w:sz w:val="24"/>
                <w:szCs w:val="24"/>
              </w:rPr>
              <w:t xml:space="preserve"> lietā. </w:t>
            </w:r>
          </w:p>
          <w:p w14:paraId="3DD1B366" w14:textId="42ED18FA" w:rsidR="00413AC6" w:rsidRPr="00327DAE" w:rsidRDefault="00AC4D98" w:rsidP="0025317F">
            <w:pPr>
              <w:spacing w:after="120"/>
              <w:rPr>
                <w:sz w:val="24"/>
                <w:szCs w:val="24"/>
              </w:rPr>
            </w:pPr>
            <w:r>
              <w:rPr>
                <w:sz w:val="24"/>
                <w:szCs w:val="24"/>
              </w:rPr>
              <w:t>SIA „</w:t>
            </w:r>
            <w:r w:rsidR="00413AC6" w:rsidRPr="00327DAE">
              <w:rPr>
                <w:sz w:val="24"/>
                <w:szCs w:val="24"/>
              </w:rPr>
              <w:t xml:space="preserve">Balta-X” lietā, kura </w:t>
            </w:r>
            <w:proofErr w:type="spellStart"/>
            <w:r w:rsidR="00413AC6" w:rsidRPr="00327DAE">
              <w:rPr>
                <w:sz w:val="24"/>
                <w:szCs w:val="24"/>
              </w:rPr>
              <w:t>pirmšķietami</w:t>
            </w:r>
            <w:proofErr w:type="spellEnd"/>
            <w:r w:rsidR="00413AC6" w:rsidRPr="00327DAE">
              <w:rPr>
                <w:sz w:val="24"/>
                <w:szCs w:val="24"/>
              </w:rPr>
              <w:t xml:space="preserve"> nesatur nekādas pazīmes par ļaunprātīgu maksātnespējas procesa izmantošanu, tiesnesis </w:t>
            </w:r>
            <w:r w:rsidR="00A77BA8">
              <w:rPr>
                <w:sz w:val="24"/>
                <w:szCs w:val="24"/>
              </w:rPr>
              <w:t>R. </w:t>
            </w:r>
            <w:r w:rsidR="00413AC6" w:rsidRPr="00327DAE">
              <w:rPr>
                <w:sz w:val="24"/>
                <w:szCs w:val="24"/>
              </w:rPr>
              <w:t xml:space="preserve">Buls ir lēmis par sliktu pieteicējam/parādniekam, izmantojot formālu ieganstu un neiedziļinoties lietas būtībā. Savukārt analizētajās lietās, kuras satur ļaunprātīgas maksātnespējas pazīmes (mainīta adrese, administratori ar sliktu reputāciju, kreditoru tiesību aizskārumi, negodprātīga parādnieka rīcība), tiesnesis </w:t>
            </w:r>
            <w:r w:rsidR="00A77BA8">
              <w:rPr>
                <w:sz w:val="24"/>
                <w:szCs w:val="24"/>
              </w:rPr>
              <w:t>R. </w:t>
            </w:r>
            <w:r w:rsidR="00413AC6" w:rsidRPr="00327DAE">
              <w:rPr>
                <w:sz w:val="24"/>
                <w:szCs w:val="24"/>
              </w:rPr>
              <w:t>Buls parasti ir lēmis par labu parādniekam/administratoram, respektīvi</w:t>
            </w:r>
            <w:r w:rsidR="0011713A">
              <w:rPr>
                <w:sz w:val="24"/>
                <w:szCs w:val="24"/>
              </w:rPr>
              <w:t>,</w:t>
            </w:r>
            <w:r w:rsidR="00413AC6" w:rsidRPr="00327DAE">
              <w:rPr>
                <w:sz w:val="24"/>
                <w:szCs w:val="24"/>
              </w:rPr>
              <w:t xml:space="preserve"> tā, kā ir bijis izdevīgi personām, kuras ir ļaunprātīgi izmantojušas maksātnespējas procesu. Tas ir darīts, gan acīmredzami pārkāpjot likumu, gan arī it kā juridiski neskaidrā situācijā izvēloties tieši to interpretāciju, kura tajā brīdī ir bijusi labvēlīga personām, kuras ir ļaunprātīgi izmantojušas maksātnespējas procesu. </w:t>
            </w:r>
          </w:p>
          <w:p w14:paraId="37268297" w14:textId="58F5ED8E" w:rsidR="00F97495" w:rsidRPr="00327DAE" w:rsidRDefault="00413AC6" w:rsidP="0025317F">
            <w:pPr>
              <w:spacing w:after="120"/>
              <w:rPr>
                <w:sz w:val="24"/>
                <w:szCs w:val="24"/>
              </w:rPr>
            </w:pPr>
            <w:r w:rsidRPr="00327DAE">
              <w:rPr>
                <w:sz w:val="24"/>
                <w:szCs w:val="24"/>
              </w:rPr>
              <w:t xml:space="preserve">Kopumā tiesneša </w:t>
            </w:r>
            <w:r w:rsidR="00A77BA8">
              <w:rPr>
                <w:sz w:val="24"/>
                <w:szCs w:val="24"/>
              </w:rPr>
              <w:t>R. </w:t>
            </w:r>
            <w:r w:rsidRPr="00327DAE">
              <w:rPr>
                <w:sz w:val="24"/>
                <w:szCs w:val="24"/>
              </w:rPr>
              <w:t>Bula nolēmumu un citu apstākļu analīze to kopsakarā drīzāk apstiprina</w:t>
            </w:r>
            <w:proofErr w:type="gramStart"/>
            <w:r w:rsidRPr="00327DAE">
              <w:rPr>
                <w:sz w:val="24"/>
                <w:szCs w:val="24"/>
              </w:rPr>
              <w:t xml:space="preserve"> nekā atspēko sabiedrībā izskanējušās aizdomas par tiesneša </w:t>
            </w:r>
            <w:r w:rsidR="00A77BA8">
              <w:rPr>
                <w:sz w:val="24"/>
                <w:szCs w:val="24"/>
              </w:rPr>
              <w:t>R. </w:t>
            </w:r>
            <w:r w:rsidRPr="00327DAE">
              <w:rPr>
                <w:sz w:val="24"/>
                <w:szCs w:val="24"/>
              </w:rPr>
              <w:t>Bula iespējamu līdzdalību maksātnespējas shēmu piesegšanā</w:t>
            </w:r>
            <w:proofErr w:type="gramEnd"/>
            <w:r w:rsidRPr="00327DAE">
              <w:rPr>
                <w:sz w:val="24"/>
                <w:szCs w:val="24"/>
              </w:rPr>
              <w:t xml:space="preserve">. Tiesneša </w:t>
            </w:r>
            <w:r w:rsidR="00A77BA8">
              <w:rPr>
                <w:sz w:val="24"/>
                <w:szCs w:val="24"/>
              </w:rPr>
              <w:t>R. </w:t>
            </w:r>
            <w:r w:rsidRPr="00327DAE">
              <w:rPr>
                <w:sz w:val="24"/>
                <w:szCs w:val="24"/>
              </w:rPr>
              <w:t xml:space="preserve">Bula līdzšinējā profesionālā darbība tiesā diemžēl grauj sabiedrības uzticību tiesu varai un tiesu varas reputāciju sabiedrības acīs. Ir grūti ticēt objektīvas un taisnīgas lietas izspriešanai pie tiesneša </w:t>
            </w:r>
            <w:r w:rsidR="00A77BA8">
              <w:rPr>
                <w:sz w:val="24"/>
                <w:szCs w:val="24"/>
              </w:rPr>
              <w:t>R. </w:t>
            </w:r>
            <w:r w:rsidRPr="00327DAE">
              <w:rPr>
                <w:sz w:val="24"/>
                <w:szCs w:val="24"/>
              </w:rPr>
              <w:t xml:space="preserve">Bula, zinot šajā Atzinumā aplūkotos tiesneša </w:t>
            </w:r>
            <w:r w:rsidR="00A77BA8">
              <w:rPr>
                <w:sz w:val="24"/>
                <w:szCs w:val="24"/>
              </w:rPr>
              <w:t>R. </w:t>
            </w:r>
            <w:r w:rsidRPr="00327DAE">
              <w:rPr>
                <w:sz w:val="24"/>
                <w:szCs w:val="24"/>
              </w:rPr>
              <w:t xml:space="preserve">Bula nolēmumus </w:t>
            </w:r>
            <w:r w:rsidR="0020329A" w:rsidRPr="00327DAE">
              <w:rPr>
                <w:sz w:val="24"/>
                <w:szCs w:val="24"/>
              </w:rPr>
              <w:t>un ar tiem saistītos apstākļus.</w:t>
            </w:r>
          </w:p>
        </w:tc>
      </w:tr>
    </w:tbl>
    <w:p w14:paraId="478C8BDE" w14:textId="77777777" w:rsidR="00D40DCA" w:rsidRPr="00327DAE" w:rsidRDefault="00D40DCA" w:rsidP="0025317F">
      <w:pPr>
        <w:spacing w:after="120"/>
        <w:rPr>
          <w:sz w:val="24"/>
          <w:szCs w:val="24"/>
        </w:rPr>
      </w:pPr>
    </w:p>
    <w:p w14:paraId="7B805287" w14:textId="3F22C270" w:rsidR="00DE37BC" w:rsidRPr="00327DAE" w:rsidRDefault="00DE37BC" w:rsidP="0025317F">
      <w:pPr>
        <w:pStyle w:val="Heading2"/>
        <w:rPr>
          <w:rFonts w:cs="Times New Roman"/>
          <w:szCs w:val="24"/>
        </w:rPr>
      </w:pPr>
      <w:bookmarkStart w:id="27" w:name="_Toc522527502"/>
      <w:r w:rsidRPr="00327DAE">
        <w:rPr>
          <w:rFonts w:cs="Times New Roman"/>
          <w:szCs w:val="24"/>
        </w:rPr>
        <w:t>Tiesnesis Imants Dzenis</w:t>
      </w:r>
      <w:bookmarkEnd w:id="27"/>
    </w:p>
    <w:tbl>
      <w:tblPr>
        <w:tblpPr w:leftFromText="180" w:rightFromText="180"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828"/>
      </w:tblGrid>
      <w:tr w:rsidR="00DE37BC" w:rsidRPr="00327DAE" w14:paraId="4BBC4D8C" w14:textId="77777777" w:rsidTr="00E81010">
        <w:trPr>
          <w:trHeight w:val="301"/>
        </w:trPr>
        <w:tc>
          <w:tcPr>
            <w:tcW w:w="562" w:type="dxa"/>
            <w:vMerge w:val="restart"/>
          </w:tcPr>
          <w:p w14:paraId="7C1A8400" w14:textId="70BA69EA" w:rsidR="00DE37BC" w:rsidRPr="00327DAE" w:rsidRDefault="002763E6" w:rsidP="0025317F">
            <w:pPr>
              <w:spacing w:after="120"/>
              <w:rPr>
                <w:b/>
                <w:sz w:val="24"/>
                <w:szCs w:val="24"/>
              </w:rPr>
            </w:pPr>
            <w:r w:rsidRPr="00327DAE">
              <w:rPr>
                <w:b/>
                <w:sz w:val="24"/>
                <w:szCs w:val="24"/>
              </w:rPr>
              <w:t>14</w:t>
            </w:r>
            <w:r w:rsidR="00DE37BC" w:rsidRPr="00327DAE">
              <w:rPr>
                <w:b/>
                <w:sz w:val="24"/>
                <w:szCs w:val="24"/>
              </w:rPr>
              <w:t>.</w:t>
            </w:r>
          </w:p>
        </w:tc>
        <w:tc>
          <w:tcPr>
            <w:tcW w:w="1560" w:type="dxa"/>
            <w:shd w:val="clear" w:color="auto" w:fill="auto"/>
            <w:noWrap/>
            <w:vAlign w:val="bottom"/>
          </w:tcPr>
          <w:p w14:paraId="2046F315" w14:textId="77777777" w:rsidR="00DE37BC" w:rsidRPr="00327DAE" w:rsidRDefault="00DE37BC" w:rsidP="0025317F">
            <w:pPr>
              <w:spacing w:after="120"/>
              <w:rPr>
                <w:b/>
                <w:sz w:val="24"/>
                <w:szCs w:val="24"/>
              </w:rPr>
            </w:pPr>
            <w:r w:rsidRPr="00327DAE">
              <w:rPr>
                <w:b/>
                <w:sz w:val="24"/>
                <w:szCs w:val="24"/>
              </w:rPr>
              <w:t>C27216309</w:t>
            </w:r>
            <w:r w:rsidRPr="00327DAE">
              <w:rPr>
                <w:rStyle w:val="FootnoteReference"/>
                <w:b/>
                <w:sz w:val="24"/>
                <w:szCs w:val="24"/>
              </w:rPr>
              <w:footnoteReference w:id="20"/>
            </w:r>
          </w:p>
          <w:p w14:paraId="5CE82280" w14:textId="26266E5F" w:rsidR="00DE37BC" w:rsidRPr="00327DAE" w:rsidRDefault="00DE37BC" w:rsidP="0025317F">
            <w:pPr>
              <w:spacing w:after="120"/>
              <w:rPr>
                <w:b/>
                <w:sz w:val="24"/>
                <w:szCs w:val="24"/>
                <w:u w:val="single"/>
              </w:rPr>
            </w:pPr>
            <w:r w:rsidRPr="00327DAE">
              <w:rPr>
                <w:b/>
                <w:sz w:val="24"/>
                <w:szCs w:val="24"/>
              </w:rPr>
              <w:t>SPC-188/2010</w:t>
            </w:r>
          </w:p>
        </w:tc>
        <w:tc>
          <w:tcPr>
            <w:tcW w:w="2409" w:type="dxa"/>
            <w:shd w:val="clear" w:color="auto" w:fill="auto"/>
            <w:vAlign w:val="bottom"/>
          </w:tcPr>
          <w:p w14:paraId="6BBBED92" w14:textId="77777777" w:rsidR="00DE37BC" w:rsidRPr="00327DAE" w:rsidRDefault="00DE37BC" w:rsidP="0025317F">
            <w:pPr>
              <w:spacing w:after="120"/>
              <w:rPr>
                <w:b/>
                <w:sz w:val="24"/>
                <w:szCs w:val="24"/>
              </w:rPr>
            </w:pPr>
            <w:r w:rsidRPr="00327DAE">
              <w:rPr>
                <w:b/>
                <w:sz w:val="24"/>
                <w:szCs w:val="24"/>
              </w:rPr>
              <w:t>01.12.2009. lēmums</w:t>
            </w:r>
          </w:p>
        </w:tc>
        <w:tc>
          <w:tcPr>
            <w:tcW w:w="3828" w:type="dxa"/>
            <w:shd w:val="clear" w:color="auto" w:fill="auto"/>
            <w:vAlign w:val="bottom"/>
          </w:tcPr>
          <w:p w14:paraId="2395FA9E" w14:textId="5A591B40" w:rsidR="00DE37BC" w:rsidRPr="00DA5069" w:rsidRDefault="00DE37BC" w:rsidP="0025317F">
            <w:pPr>
              <w:pStyle w:val="Heading3"/>
            </w:pPr>
            <w:bookmarkStart w:id="28" w:name="_Toc522527503"/>
            <w:r w:rsidRPr="00DA5069">
              <w:t>SIA „Ķeizarmežs”: TAP pieteikums, plāns</w:t>
            </w:r>
            <w:bookmarkEnd w:id="28"/>
          </w:p>
        </w:tc>
      </w:tr>
      <w:tr w:rsidR="00747072" w:rsidRPr="00327DAE" w14:paraId="3D46C633" w14:textId="77777777" w:rsidTr="00DA5069">
        <w:trPr>
          <w:trHeight w:val="301"/>
        </w:trPr>
        <w:tc>
          <w:tcPr>
            <w:tcW w:w="562" w:type="dxa"/>
            <w:vMerge/>
          </w:tcPr>
          <w:p w14:paraId="3720492B" w14:textId="77777777"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vAlign w:val="center"/>
          </w:tcPr>
          <w:p w14:paraId="5F8A5E31" w14:textId="1982651B" w:rsidR="00747072" w:rsidRPr="00DA5069" w:rsidRDefault="00747072" w:rsidP="0025317F">
            <w:pPr>
              <w:spacing w:after="120"/>
              <w:rPr>
                <w:b/>
                <w:i/>
              </w:rPr>
            </w:pPr>
            <w:r w:rsidRPr="00DA5069">
              <w:rPr>
                <w:b/>
                <w:bCs/>
                <w:i/>
                <w:color w:val="000000"/>
              </w:rPr>
              <w:t>Sadales datums</w:t>
            </w:r>
          </w:p>
        </w:tc>
        <w:tc>
          <w:tcPr>
            <w:tcW w:w="2409" w:type="dxa"/>
            <w:tcBorders>
              <w:top w:val="single" w:sz="4" w:space="0" w:color="auto"/>
              <w:left w:val="nil"/>
              <w:bottom w:val="single" w:sz="4" w:space="0" w:color="auto"/>
              <w:right w:val="single" w:sz="4" w:space="0" w:color="auto"/>
            </w:tcBorders>
            <w:shd w:val="clear" w:color="auto" w:fill="E7E6E6" w:themeFill="background2"/>
            <w:vAlign w:val="center"/>
          </w:tcPr>
          <w:p w14:paraId="6A6DE765" w14:textId="314358F0" w:rsidR="00747072" w:rsidRPr="00DA5069" w:rsidRDefault="00747072" w:rsidP="0025317F">
            <w:pPr>
              <w:spacing w:after="120"/>
              <w:rPr>
                <w:b/>
                <w:i/>
                <w:color w:val="000000"/>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5A4C5431" w14:textId="13F7EC81" w:rsidR="00747072" w:rsidRPr="00DA5069" w:rsidRDefault="00747072" w:rsidP="0025317F">
            <w:pPr>
              <w:spacing w:after="120"/>
              <w:rPr>
                <w:b/>
                <w:i/>
                <w:color w:val="000000"/>
              </w:rPr>
            </w:pPr>
            <w:r w:rsidRPr="00DA5069">
              <w:rPr>
                <w:b/>
                <w:bCs/>
                <w:i/>
                <w:color w:val="000000"/>
              </w:rPr>
              <w:t>Lietu sadales veids/iemesls</w:t>
            </w:r>
          </w:p>
        </w:tc>
      </w:tr>
      <w:tr w:rsidR="00747072" w:rsidRPr="00327DAE" w14:paraId="5FE424F4" w14:textId="77777777" w:rsidTr="00DA5069">
        <w:trPr>
          <w:trHeight w:val="301"/>
        </w:trPr>
        <w:tc>
          <w:tcPr>
            <w:tcW w:w="562" w:type="dxa"/>
            <w:vMerge/>
          </w:tcPr>
          <w:p w14:paraId="0AA92785" w14:textId="77777777"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tcPr>
          <w:p w14:paraId="268964CD" w14:textId="06EDD88A" w:rsidR="00747072" w:rsidRPr="00DA5069" w:rsidRDefault="00747072" w:rsidP="0025317F">
            <w:pPr>
              <w:spacing w:after="120"/>
              <w:rPr>
                <w:i/>
              </w:rPr>
            </w:pPr>
            <w:r w:rsidRPr="00DA5069">
              <w:rPr>
                <w:i/>
                <w:color w:val="000000"/>
              </w:rPr>
              <w:t>27.10.2009</w:t>
            </w:r>
          </w:p>
        </w:tc>
        <w:tc>
          <w:tcPr>
            <w:tcW w:w="2409" w:type="dxa"/>
            <w:tcBorders>
              <w:top w:val="single" w:sz="4" w:space="0" w:color="auto"/>
              <w:left w:val="nil"/>
              <w:bottom w:val="single" w:sz="4" w:space="0" w:color="auto"/>
              <w:right w:val="single" w:sz="4" w:space="0" w:color="auto"/>
            </w:tcBorders>
            <w:shd w:val="clear" w:color="auto" w:fill="E7E6E6" w:themeFill="background2"/>
          </w:tcPr>
          <w:p w14:paraId="7FECD0E1" w14:textId="6D98CF44" w:rsidR="00747072" w:rsidRPr="00DA5069" w:rsidRDefault="00747072" w:rsidP="0025317F">
            <w:pPr>
              <w:spacing w:after="120"/>
              <w:rPr>
                <w:i/>
                <w:color w:val="000000"/>
              </w:rPr>
            </w:pPr>
            <w:r w:rsidRPr="00DA5069">
              <w:rPr>
                <w:i/>
                <w:color w:val="000000"/>
              </w:rPr>
              <w:t>Imants Dzenis</w:t>
            </w:r>
          </w:p>
        </w:tc>
        <w:tc>
          <w:tcPr>
            <w:tcW w:w="3828" w:type="dxa"/>
            <w:tcBorders>
              <w:top w:val="single" w:sz="4" w:space="0" w:color="auto"/>
              <w:left w:val="nil"/>
              <w:bottom w:val="single" w:sz="4" w:space="0" w:color="auto"/>
              <w:right w:val="single" w:sz="4" w:space="0" w:color="auto"/>
            </w:tcBorders>
            <w:shd w:val="clear" w:color="auto" w:fill="E7E6E6" w:themeFill="background2"/>
          </w:tcPr>
          <w:p w14:paraId="3B1641B9" w14:textId="1A545931" w:rsidR="00747072" w:rsidRPr="00DA5069" w:rsidRDefault="00747072" w:rsidP="0025317F">
            <w:pPr>
              <w:spacing w:after="120"/>
              <w:rPr>
                <w:i/>
                <w:color w:val="000000"/>
              </w:rPr>
            </w:pPr>
            <w:r w:rsidRPr="00DA5069">
              <w:rPr>
                <w:i/>
                <w:color w:val="000000"/>
              </w:rPr>
              <w:t xml:space="preserve">Datorizēta lietu sadale. </w:t>
            </w:r>
          </w:p>
        </w:tc>
      </w:tr>
      <w:tr w:rsidR="00315FEF" w:rsidRPr="00327DAE" w14:paraId="52689912" w14:textId="77777777" w:rsidTr="00E81010">
        <w:trPr>
          <w:trHeight w:val="301"/>
        </w:trPr>
        <w:tc>
          <w:tcPr>
            <w:tcW w:w="562" w:type="dxa"/>
            <w:vMerge/>
          </w:tcPr>
          <w:p w14:paraId="11F7DF03"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0EFA0B37" w14:textId="2BB3297C" w:rsidR="0064377B" w:rsidRPr="00327DAE" w:rsidRDefault="0064377B" w:rsidP="0025317F">
            <w:pPr>
              <w:spacing w:after="120"/>
              <w:rPr>
                <w:i/>
                <w:sz w:val="24"/>
                <w:szCs w:val="24"/>
              </w:rPr>
            </w:pPr>
            <w:r w:rsidRPr="00327DAE">
              <w:rPr>
                <w:i/>
                <w:sz w:val="24"/>
                <w:szCs w:val="24"/>
              </w:rPr>
              <w:t>Augstākās tiesas norādītais pamats lēmuma atcelšanai</w:t>
            </w:r>
          </w:p>
          <w:p w14:paraId="311D76F0" w14:textId="510B6007" w:rsidR="00315FEF" w:rsidRPr="00327DAE" w:rsidRDefault="00315FEF" w:rsidP="0025317F">
            <w:pPr>
              <w:spacing w:after="120"/>
              <w:rPr>
                <w:sz w:val="24"/>
                <w:szCs w:val="24"/>
              </w:rPr>
            </w:pPr>
            <w:r w:rsidRPr="00327DAE">
              <w:rPr>
                <w:sz w:val="24"/>
                <w:szCs w:val="24"/>
              </w:rPr>
              <w:t>Maksātnespējas likuma 37. panta trešā daļa aizliedz TAP pasākumu plānā paredzēt komercsabiedrības ieķīlātās mantas vai tās daļas atsavināšanu, ja nav saņemta attiecīgā nodrošinātā k</w:t>
            </w:r>
            <w:r w:rsidR="0020329A" w:rsidRPr="00327DAE">
              <w:rPr>
                <w:sz w:val="24"/>
                <w:szCs w:val="24"/>
              </w:rPr>
              <w:t>reditora rakstveida piekrišana.</w:t>
            </w:r>
          </w:p>
        </w:tc>
      </w:tr>
      <w:tr w:rsidR="00315FEF" w:rsidRPr="00327DAE" w14:paraId="1E562550" w14:textId="77777777" w:rsidTr="00E81010">
        <w:trPr>
          <w:trHeight w:val="301"/>
        </w:trPr>
        <w:tc>
          <w:tcPr>
            <w:tcW w:w="562" w:type="dxa"/>
            <w:vMerge/>
          </w:tcPr>
          <w:p w14:paraId="11C5371C"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55DFF268" w14:textId="77777777" w:rsidR="00315FEF" w:rsidRPr="00327DAE" w:rsidRDefault="00315FEF" w:rsidP="0025317F">
            <w:pPr>
              <w:spacing w:after="120"/>
              <w:rPr>
                <w:sz w:val="24"/>
                <w:szCs w:val="24"/>
              </w:rPr>
            </w:pPr>
            <w:r w:rsidRPr="00327DAE">
              <w:rPr>
                <w:i/>
                <w:sz w:val="24"/>
                <w:szCs w:val="24"/>
              </w:rPr>
              <w:t>Ekspertu secinājumi</w:t>
            </w:r>
            <w:r w:rsidRPr="00327DAE">
              <w:rPr>
                <w:sz w:val="24"/>
                <w:szCs w:val="24"/>
              </w:rPr>
              <w:t xml:space="preserve"> </w:t>
            </w:r>
          </w:p>
          <w:p w14:paraId="0B635354" w14:textId="7052EDEA" w:rsidR="00315FEF" w:rsidRPr="00327DAE" w:rsidRDefault="00315FEF" w:rsidP="0025317F">
            <w:pPr>
              <w:spacing w:after="120"/>
              <w:rPr>
                <w:sz w:val="24"/>
                <w:szCs w:val="24"/>
              </w:rPr>
            </w:pPr>
            <w:r w:rsidRPr="00327DAE">
              <w:rPr>
                <w:sz w:val="24"/>
                <w:szCs w:val="24"/>
              </w:rPr>
              <w:t xml:space="preserve">Šajā lietā kā viena no TAP metodēm norādīta nekustamā īpašuma pārdošana, ja attiecīgais nodrošinātais kreditors dos tam piekrišanu. Šajā daļā nodrošinātie kreditori (kredītiestādes) nepiekrīt. Vienlaikus </w:t>
            </w:r>
            <w:r w:rsidR="00AC4D98">
              <w:rPr>
                <w:sz w:val="24"/>
                <w:szCs w:val="24"/>
              </w:rPr>
              <w:t>„</w:t>
            </w:r>
            <w:r w:rsidRPr="00327DAE">
              <w:rPr>
                <w:sz w:val="24"/>
                <w:szCs w:val="24"/>
              </w:rPr>
              <w:t>Parex banka</w:t>
            </w:r>
            <w:r w:rsidR="0011713A">
              <w:rPr>
                <w:sz w:val="24"/>
                <w:szCs w:val="24"/>
              </w:rPr>
              <w:t>”</w:t>
            </w:r>
            <w:r w:rsidRPr="00327DAE">
              <w:rPr>
                <w:sz w:val="24"/>
                <w:szCs w:val="24"/>
              </w:rPr>
              <w:t xml:space="preserve"> sūdzībā norāda arī, ka nav saimnieciski pamatoti plānotie ienākumi, kļūdaini norādīts bankas prasījums (tomēr to neprecizē), kā arī ka nav argumentēti debitoru prasījumi. Līdzīgu sūdzību iesniedz arī SEB banka. </w:t>
            </w:r>
          </w:p>
          <w:p w14:paraId="7C80854B" w14:textId="77777777" w:rsidR="00315FEF" w:rsidRPr="00327DAE" w:rsidRDefault="00315FEF" w:rsidP="0025317F">
            <w:pPr>
              <w:spacing w:after="120"/>
              <w:rPr>
                <w:sz w:val="24"/>
                <w:szCs w:val="24"/>
              </w:rPr>
            </w:pPr>
            <w:r w:rsidRPr="00327DAE">
              <w:rPr>
                <w:sz w:val="24"/>
                <w:szCs w:val="24"/>
              </w:rPr>
              <w:t xml:space="preserve">Administratora saskaņojumā (administratore Jana </w:t>
            </w:r>
            <w:proofErr w:type="spellStart"/>
            <w:r w:rsidRPr="00327DAE">
              <w:rPr>
                <w:sz w:val="24"/>
                <w:szCs w:val="24"/>
              </w:rPr>
              <w:t>Būlmane</w:t>
            </w:r>
            <w:proofErr w:type="spellEnd"/>
            <w:r w:rsidRPr="00327DAE">
              <w:rPr>
                <w:sz w:val="24"/>
                <w:szCs w:val="24"/>
              </w:rPr>
              <w:t xml:space="preserve">) norādīts, ka TAP </w:t>
            </w:r>
            <w:r w:rsidRPr="00327DAE">
              <w:rPr>
                <w:sz w:val="24"/>
                <w:szCs w:val="24"/>
              </w:rPr>
              <w:lastRenderedPageBreak/>
              <w:t>plāns atbilst likuma prasībām.</w:t>
            </w:r>
          </w:p>
          <w:p w14:paraId="69868EE5" w14:textId="6DA74FED" w:rsidR="00315FEF" w:rsidRPr="00327DAE" w:rsidRDefault="00315FEF" w:rsidP="0025317F">
            <w:pPr>
              <w:spacing w:after="120"/>
              <w:rPr>
                <w:sz w:val="24"/>
                <w:szCs w:val="24"/>
              </w:rPr>
            </w:pPr>
            <w:r w:rsidRPr="00327DAE">
              <w:rPr>
                <w:sz w:val="24"/>
                <w:szCs w:val="24"/>
              </w:rPr>
              <w:t>Tiesneša lēmumā norādīts, ka būtisks ir administratora viedoklis. Protesta lūgumā uzsvērts, ka nav nodrošinātā kreditora piekrišana nekustamā īpašuma atsavināšanai, kā arī ka tiesai jāpārbauda administratora atzinums.</w:t>
            </w:r>
          </w:p>
          <w:p w14:paraId="241BA762" w14:textId="16B88B29" w:rsidR="00315FEF" w:rsidRPr="00327DAE" w:rsidRDefault="00315FEF" w:rsidP="0025317F">
            <w:pPr>
              <w:spacing w:after="120"/>
              <w:rPr>
                <w:sz w:val="24"/>
                <w:szCs w:val="24"/>
              </w:rPr>
            </w:pPr>
            <w:r w:rsidRPr="00327DAE">
              <w:rPr>
                <w:sz w:val="24"/>
                <w:szCs w:val="24"/>
              </w:rPr>
              <w:t>Ekspertu ieskatā</w:t>
            </w:r>
            <w:r w:rsidR="004F4AA9">
              <w:rPr>
                <w:sz w:val="24"/>
                <w:szCs w:val="24"/>
              </w:rPr>
              <w:t>,</w:t>
            </w:r>
            <w:r w:rsidRPr="00327DAE">
              <w:rPr>
                <w:sz w:val="24"/>
                <w:szCs w:val="24"/>
              </w:rPr>
              <w:t xml:space="preserve"> nav viennozīmīgs Augstākās tiesas lēmums, ka nebija tiesību norādīt TAP plānā nekustamā īpašuma atsavināšanu ar nosacījumu (šāda iespēja uzreiz plāna apstiprināšanas procesā paredzēt alternatīvus risinājumus principā būtu atbalstāma, tomēr kopumā iespējama tikai, ja arī normatīvajā regulējumā ir skaidrība par tālāku risinājumu). Lai arī likuma norma imperatīvi aizliedza atsavināšanu bez saskaņojuma (ekspertu viedokļi arī atšķiras par šīs normas interpretācijas un piemērošanas robežām).</w:t>
            </w:r>
            <w:r w:rsidR="007C13D2" w:rsidRPr="00327DAE">
              <w:rPr>
                <w:sz w:val="24"/>
                <w:szCs w:val="24"/>
              </w:rPr>
              <w:t xml:space="preserve"> Turklāt kā alternatīva šai atsavināšanai bija paredzēta pamatkapitāla palielināšana – pārbaudīt – iespējams</w:t>
            </w:r>
            <w:r w:rsidR="00E27399">
              <w:rPr>
                <w:sz w:val="24"/>
                <w:szCs w:val="24"/>
              </w:rPr>
              <w:t>, tas bija citā, līdzīgā lietā!</w:t>
            </w:r>
            <w:r w:rsidR="007C13D2" w:rsidRPr="00327DAE">
              <w:rPr>
                <w:sz w:val="24"/>
                <w:szCs w:val="24"/>
              </w:rPr>
              <w:t xml:space="preserve"> </w:t>
            </w:r>
            <w:r w:rsidR="007C13D2" w:rsidRPr="00E27399">
              <w:rPr>
                <w:sz w:val="24"/>
                <w:szCs w:val="24"/>
              </w:rPr>
              <w:t xml:space="preserve">Turklāt kā alternatīva šai atsavināšanai bija paredzēta pamatkapitāla palielināšana. </w:t>
            </w:r>
            <w:r w:rsidRPr="00E27399">
              <w:rPr>
                <w:sz w:val="24"/>
                <w:szCs w:val="24"/>
              </w:rPr>
              <w:t>Pat ja plāna izstrādes laikā saskaņojums ir atstāts kā vēlāk procesā veicams, tad mantas pārdošanas procesā tas jau būtu obligāts, attiecīgi nodrošinātā kreditora intereses</w:t>
            </w:r>
            <w:r w:rsidRPr="00327DAE">
              <w:rPr>
                <w:sz w:val="24"/>
                <w:szCs w:val="24"/>
              </w:rPr>
              <w:t xml:space="preserve"> būtu ievērotas (tas nozīmē, ka šajā lietā ir konstatējamas piemērotās normas interpretācijas problēmas). Plāna izstrādes laikā un tā realizācijas procesā vēl iespējami precizējumi (pārdošanas nosacījumi, cena), kas var būtiski ietekmēt nodrošinātā kreditora saskaņojumu. Tāpat kritiski vērtējama likumdevēja paredzētā beznosacījuma un neargumentēta nodrošinātā kreditora atteikuma iespēja, kas var būtiski pasliktināt kreditoru kopuma intereses. 2009. gadā šis aspekts maksātnespējas procesu regulējumā nebija vēl praksē pārbaudīts un </w:t>
            </w:r>
            <w:r w:rsidR="007C13D2" w:rsidRPr="00327DAE">
              <w:rPr>
                <w:sz w:val="24"/>
                <w:szCs w:val="24"/>
              </w:rPr>
              <w:t xml:space="preserve">galu galā </w:t>
            </w:r>
            <w:r w:rsidR="0020329A" w:rsidRPr="00327DAE">
              <w:rPr>
                <w:sz w:val="24"/>
                <w:szCs w:val="24"/>
              </w:rPr>
              <w:t>izrādījās neveiksmīgs.</w:t>
            </w:r>
          </w:p>
          <w:p w14:paraId="53F126F4" w14:textId="77777777" w:rsidR="00315FEF" w:rsidRPr="00327DAE" w:rsidRDefault="00315FEF" w:rsidP="0025317F">
            <w:pPr>
              <w:spacing w:after="120"/>
              <w:rPr>
                <w:sz w:val="24"/>
                <w:szCs w:val="24"/>
              </w:rPr>
            </w:pPr>
            <w:r w:rsidRPr="00327DAE">
              <w:rPr>
                <w:sz w:val="24"/>
                <w:szCs w:val="24"/>
              </w:rPr>
              <w:t>Pēc ekspertu lūguma papildus pārbaudīts publikācijā minētais iepriekšējā maksātnespējas pieteikuma neapmierināšanas iemesls:</w:t>
            </w:r>
          </w:p>
          <w:p w14:paraId="1DBAB248" w14:textId="46B23427" w:rsidR="00315FEF" w:rsidRPr="00327DAE" w:rsidRDefault="00315FEF" w:rsidP="0025317F">
            <w:pPr>
              <w:spacing w:after="120"/>
              <w:rPr>
                <w:b/>
                <w:sz w:val="24"/>
                <w:szCs w:val="24"/>
              </w:rPr>
            </w:pPr>
            <w:r w:rsidRPr="00327DAE">
              <w:rPr>
                <w:sz w:val="24"/>
                <w:szCs w:val="24"/>
              </w:rPr>
              <w:t xml:space="preserve">2009. gada 10. februārī ar Rīgas pilsētas Ziemeļu rajona tiesas </w:t>
            </w:r>
            <w:r w:rsidR="004F4AA9" w:rsidRPr="00327DAE">
              <w:rPr>
                <w:sz w:val="24"/>
                <w:szCs w:val="24"/>
              </w:rPr>
              <w:t>spriedum</w:t>
            </w:r>
            <w:r w:rsidR="004F4AA9">
              <w:rPr>
                <w:sz w:val="24"/>
                <w:szCs w:val="24"/>
              </w:rPr>
              <w:t>u</w:t>
            </w:r>
            <w:r w:rsidR="004F4AA9" w:rsidRPr="00327DAE">
              <w:rPr>
                <w:sz w:val="24"/>
                <w:szCs w:val="24"/>
              </w:rPr>
              <w:t xml:space="preserve"> </w:t>
            </w:r>
            <w:r w:rsidRPr="00327DAE">
              <w:rPr>
                <w:sz w:val="24"/>
                <w:szCs w:val="24"/>
              </w:rPr>
              <w:t>secināts, ka parādnieka aktīvu vērtība ievērojami pārsniedz parādsaistības, līdz ar ko attiecībā uz parādnieku nav konstatējama Maksātnespējas likuma 50. panta 4. punktā noteiktā maksātnespējas procesa pazīme, kuras konstatēšana saskaņā ar Civilprocesa likuma 363.</w:t>
            </w:r>
            <w:r w:rsidRPr="00327DAE">
              <w:rPr>
                <w:sz w:val="24"/>
                <w:szCs w:val="24"/>
                <w:vertAlign w:val="superscript"/>
              </w:rPr>
              <w:t>7</w:t>
            </w:r>
            <w:r w:rsidR="004F4AA9">
              <w:rPr>
                <w:sz w:val="24"/>
                <w:szCs w:val="24"/>
                <w:vertAlign w:val="superscript"/>
              </w:rPr>
              <w:t> </w:t>
            </w:r>
            <w:r w:rsidRPr="00327DAE">
              <w:rPr>
                <w:sz w:val="24"/>
                <w:szCs w:val="24"/>
              </w:rPr>
              <w:t>panta trešo daļu ir obligāts priekšnoteikums maksātnespējas procesa pasludināšanai, ja pieteikums iesniegts, pamatojoties uz Maksātnespējas likuma 50. panta 2. punktu (šajā punktā norādītā pazīme pārbaudīta un tiesas nolēmumā apstiprināta). Tiesa šajā lietā uzskata, ka administratores norādītie apstākļi par Maksātnespējas likuma 50. panta 3. punktā norādītās maksātnespējas procesa pazīmes esību nav izvērtējami, jo pieteikums nav iesniegts, pamatojoties uz minēto pazīmi, maksātnespējas procesa pieteikuma grozīšana saskaņā ar Maksātnespējas likuma 58. panta pirmo daļu nav pieļaujama. Savukārt maksātnespējas procesa pasludināšana pieļaujama tikai, konstatējot to pazīmju esību, pamatojoties uz kurām iesniegts maksātnespējas procesa pieteikums. Minēto norādījis arī Augstākās tiesas Senāts 2008. gada 12. novembra spriedumā lietā Nr. SPC</w:t>
            </w:r>
            <w:r w:rsidRPr="00327DAE">
              <w:rPr>
                <w:sz w:val="24"/>
                <w:szCs w:val="24"/>
              </w:rPr>
              <w:noBreakHyphen/>
              <w:t>93/2008.</w:t>
            </w:r>
            <w:r w:rsidR="004529AC" w:rsidRPr="00327DAE">
              <w:rPr>
                <w:sz w:val="24"/>
                <w:szCs w:val="24"/>
              </w:rPr>
              <w:t xml:space="preserve"> Situācijā, kad nav nostiprinājusies tiesu judikatūra un arī ekspertu viedokļi ir atšķirīgi, atzīstams, ka tiesnesis pieļāvis mazāk nopietnu kļūdu.</w:t>
            </w:r>
            <w:r w:rsidR="0020329A" w:rsidRPr="00327DAE">
              <w:rPr>
                <w:b/>
                <w:sz w:val="24"/>
                <w:szCs w:val="24"/>
              </w:rPr>
              <w:t xml:space="preserve"> </w:t>
            </w:r>
          </w:p>
        </w:tc>
      </w:tr>
      <w:tr w:rsidR="00315FEF" w:rsidRPr="00327DAE" w14:paraId="19567B15" w14:textId="77777777" w:rsidTr="00E81010">
        <w:trPr>
          <w:trHeight w:val="301"/>
        </w:trPr>
        <w:tc>
          <w:tcPr>
            <w:tcW w:w="562" w:type="dxa"/>
            <w:vMerge w:val="restart"/>
          </w:tcPr>
          <w:p w14:paraId="69E22788" w14:textId="16FE06D9" w:rsidR="00315FEF" w:rsidRPr="00327DAE" w:rsidRDefault="00315FEF" w:rsidP="0025317F">
            <w:pPr>
              <w:spacing w:after="120"/>
              <w:rPr>
                <w:b/>
                <w:sz w:val="24"/>
                <w:szCs w:val="24"/>
              </w:rPr>
            </w:pPr>
            <w:r w:rsidRPr="00327DAE">
              <w:rPr>
                <w:b/>
                <w:sz w:val="24"/>
                <w:szCs w:val="24"/>
              </w:rPr>
              <w:lastRenderedPageBreak/>
              <w:t>1</w:t>
            </w:r>
            <w:r w:rsidR="002763E6" w:rsidRPr="00327DAE">
              <w:rPr>
                <w:b/>
                <w:sz w:val="24"/>
                <w:szCs w:val="24"/>
              </w:rPr>
              <w:t>5</w:t>
            </w:r>
            <w:r w:rsidRPr="00327DAE">
              <w:rPr>
                <w:b/>
                <w:sz w:val="24"/>
                <w:szCs w:val="24"/>
              </w:rPr>
              <w:t>.</w:t>
            </w:r>
          </w:p>
        </w:tc>
        <w:tc>
          <w:tcPr>
            <w:tcW w:w="1560" w:type="dxa"/>
            <w:shd w:val="clear" w:color="auto" w:fill="auto"/>
            <w:noWrap/>
            <w:vAlign w:val="bottom"/>
          </w:tcPr>
          <w:p w14:paraId="24137276" w14:textId="77777777" w:rsidR="00315FEF" w:rsidRPr="00327DAE" w:rsidRDefault="00315FEF" w:rsidP="0025317F">
            <w:pPr>
              <w:spacing w:after="120"/>
              <w:rPr>
                <w:b/>
                <w:sz w:val="24"/>
                <w:szCs w:val="24"/>
              </w:rPr>
            </w:pPr>
            <w:r w:rsidRPr="00327DAE">
              <w:rPr>
                <w:b/>
                <w:sz w:val="24"/>
                <w:szCs w:val="24"/>
              </w:rPr>
              <w:t>C27188610</w:t>
            </w:r>
            <w:r w:rsidRPr="00327DAE">
              <w:rPr>
                <w:rStyle w:val="FootnoteReference"/>
                <w:b/>
                <w:sz w:val="24"/>
                <w:szCs w:val="24"/>
              </w:rPr>
              <w:footnoteReference w:id="21"/>
            </w:r>
          </w:p>
          <w:p w14:paraId="191ADB7B" w14:textId="2AB1940B" w:rsidR="00315FEF" w:rsidRPr="00327DAE" w:rsidRDefault="00315FEF" w:rsidP="0025317F">
            <w:pPr>
              <w:spacing w:after="120"/>
              <w:rPr>
                <w:b/>
                <w:sz w:val="24"/>
                <w:szCs w:val="24"/>
                <w:u w:val="single"/>
              </w:rPr>
            </w:pPr>
            <w:r w:rsidRPr="00327DAE">
              <w:rPr>
                <w:b/>
                <w:sz w:val="24"/>
                <w:szCs w:val="24"/>
              </w:rPr>
              <w:lastRenderedPageBreak/>
              <w:t>SPC-1/2012</w:t>
            </w:r>
          </w:p>
        </w:tc>
        <w:tc>
          <w:tcPr>
            <w:tcW w:w="2409" w:type="dxa"/>
            <w:shd w:val="clear" w:color="auto" w:fill="auto"/>
            <w:vAlign w:val="bottom"/>
          </w:tcPr>
          <w:p w14:paraId="05F383E3" w14:textId="77777777" w:rsidR="00315FEF" w:rsidRPr="00327DAE" w:rsidRDefault="00315FEF" w:rsidP="0025317F">
            <w:pPr>
              <w:spacing w:after="120"/>
              <w:rPr>
                <w:b/>
                <w:sz w:val="24"/>
                <w:szCs w:val="24"/>
              </w:rPr>
            </w:pPr>
            <w:r w:rsidRPr="00327DAE">
              <w:rPr>
                <w:b/>
                <w:sz w:val="24"/>
                <w:szCs w:val="24"/>
              </w:rPr>
              <w:lastRenderedPageBreak/>
              <w:t>30.07.2010. lēmums</w:t>
            </w:r>
          </w:p>
        </w:tc>
        <w:tc>
          <w:tcPr>
            <w:tcW w:w="3828" w:type="dxa"/>
            <w:shd w:val="clear" w:color="auto" w:fill="auto"/>
            <w:vAlign w:val="bottom"/>
          </w:tcPr>
          <w:p w14:paraId="6A174247" w14:textId="77777777" w:rsidR="00315FEF" w:rsidRPr="00DA5069" w:rsidRDefault="00315FEF" w:rsidP="0025317F">
            <w:pPr>
              <w:pStyle w:val="Heading3"/>
            </w:pPr>
            <w:bookmarkStart w:id="29" w:name="_Toc522527504"/>
            <w:r w:rsidRPr="00DA5069">
              <w:t>SIA „</w:t>
            </w:r>
            <w:proofErr w:type="spellStart"/>
            <w:r w:rsidRPr="00DA5069">
              <w:t>Alkantra</w:t>
            </w:r>
            <w:proofErr w:type="spellEnd"/>
            <w:r w:rsidRPr="00DA5069">
              <w:t xml:space="preserve">”: Administratora </w:t>
            </w:r>
            <w:r w:rsidRPr="00DA5069">
              <w:lastRenderedPageBreak/>
              <w:t>lēmums par komercķīlas apjomu</w:t>
            </w:r>
            <w:bookmarkEnd w:id="29"/>
          </w:p>
        </w:tc>
      </w:tr>
      <w:tr w:rsidR="00747072" w:rsidRPr="00327DAE" w14:paraId="65E1DA61" w14:textId="77777777" w:rsidTr="00DA5069">
        <w:trPr>
          <w:trHeight w:val="301"/>
        </w:trPr>
        <w:tc>
          <w:tcPr>
            <w:tcW w:w="562" w:type="dxa"/>
            <w:vMerge/>
          </w:tcPr>
          <w:p w14:paraId="753C6D29" w14:textId="77777777"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vAlign w:val="center"/>
          </w:tcPr>
          <w:p w14:paraId="449D04A8" w14:textId="58BD3786" w:rsidR="00747072" w:rsidRPr="00DA5069" w:rsidRDefault="00747072" w:rsidP="0025317F">
            <w:pPr>
              <w:spacing w:after="120"/>
              <w:rPr>
                <w:b/>
                <w:i/>
              </w:rPr>
            </w:pPr>
            <w:r w:rsidRPr="00DA5069">
              <w:rPr>
                <w:b/>
                <w:bCs/>
                <w:i/>
                <w:color w:val="000000"/>
              </w:rPr>
              <w:t>Sadales datums</w:t>
            </w:r>
          </w:p>
        </w:tc>
        <w:tc>
          <w:tcPr>
            <w:tcW w:w="2409" w:type="dxa"/>
            <w:tcBorders>
              <w:top w:val="single" w:sz="4" w:space="0" w:color="auto"/>
              <w:left w:val="nil"/>
              <w:bottom w:val="single" w:sz="4" w:space="0" w:color="auto"/>
              <w:right w:val="single" w:sz="4" w:space="0" w:color="auto"/>
            </w:tcBorders>
            <w:shd w:val="clear" w:color="auto" w:fill="E7E6E6" w:themeFill="background2"/>
            <w:vAlign w:val="center"/>
          </w:tcPr>
          <w:p w14:paraId="79FBF57C" w14:textId="47C1ED90" w:rsidR="00747072" w:rsidRPr="00DA5069" w:rsidRDefault="00747072" w:rsidP="0025317F">
            <w:pPr>
              <w:spacing w:after="120"/>
              <w:rPr>
                <w:b/>
                <w:i/>
                <w:color w:val="000000"/>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56C886A2" w14:textId="41DE241B" w:rsidR="00747072" w:rsidRPr="00DA5069" w:rsidRDefault="00747072" w:rsidP="0025317F">
            <w:pPr>
              <w:spacing w:after="120"/>
              <w:rPr>
                <w:b/>
                <w:i/>
                <w:color w:val="000000"/>
              </w:rPr>
            </w:pPr>
            <w:r w:rsidRPr="00DA5069">
              <w:rPr>
                <w:b/>
                <w:bCs/>
                <w:i/>
                <w:color w:val="000000"/>
              </w:rPr>
              <w:t>Lietu sadales veids/iemesls</w:t>
            </w:r>
          </w:p>
        </w:tc>
      </w:tr>
      <w:tr w:rsidR="00747072" w:rsidRPr="00327DAE" w14:paraId="48B1668D" w14:textId="77777777" w:rsidTr="00DA5069">
        <w:trPr>
          <w:trHeight w:val="301"/>
        </w:trPr>
        <w:tc>
          <w:tcPr>
            <w:tcW w:w="562" w:type="dxa"/>
            <w:vMerge/>
          </w:tcPr>
          <w:p w14:paraId="33A6A302" w14:textId="77777777"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tcPr>
          <w:p w14:paraId="13C5D4D5" w14:textId="2F231162" w:rsidR="00747072" w:rsidRPr="00DA5069" w:rsidRDefault="00747072" w:rsidP="0025317F">
            <w:pPr>
              <w:spacing w:after="120"/>
              <w:rPr>
                <w:i/>
              </w:rPr>
            </w:pPr>
            <w:r w:rsidRPr="00DA5069">
              <w:rPr>
                <w:i/>
                <w:color w:val="000000"/>
              </w:rPr>
              <w:t>09.07.2010</w:t>
            </w:r>
          </w:p>
        </w:tc>
        <w:tc>
          <w:tcPr>
            <w:tcW w:w="2409" w:type="dxa"/>
            <w:tcBorders>
              <w:top w:val="single" w:sz="4" w:space="0" w:color="auto"/>
              <w:left w:val="nil"/>
              <w:bottom w:val="single" w:sz="4" w:space="0" w:color="auto"/>
              <w:right w:val="single" w:sz="4" w:space="0" w:color="auto"/>
            </w:tcBorders>
            <w:shd w:val="clear" w:color="auto" w:fill="E7E6E6" w:themeFill="background2"/>
          </w:tcPr>
          <w:p w14:paraId="2782B849" w14:textId="6F5EA222" w:rsidR="00747072" w:rsidRPr="00DA5069" w:rsidRDefault="00747072" w:rsidP="0025317F">
            <w:pPr>
              <w:spacing w:after="120"/>
              <w:rPr>
                <w:i/>
                <w:color w:val="000000"/>
              </w:rPr>
            </w:pPr>
            <w:r w:rsidRPr="00DA5069">
              <w:rPr>
                <w:i/>
                <w:color w:val="000000"/>
              </w:rPr>
              <w:t>Imants Dzenis</w:t>
            </w:r>
          </w:p>
        </w:tc>
        <w:tc>
          <w:tcPr>
            <w:tcW w:w="3828" w:type="dxa"/>
            <w:tcBorders>
              <w:top w:val="single" w:sz="4" w:space="0" w:color="auto"/>
              <w:left w:val="nil"/>
              <w:bottom w:val="single" w:sz="4" w:space="0" w:color="auto"/>
              <w:right w:val="single" w:sz="4" w:space="0" w:color="auto"/>
            </w:tcBorders>
            <w:shd w:val="clear" w:color="auto" w:fill="E7E6E6" w:themeFill="background2"/>
          </w:tcPr>
          <w:p w14:paraId="5CE4983E" w14:textId="1C7EE1C6" w:rsidR="00747072" w:rsidRPr="00DA5069" w:rsidRDefault="00747072" w:rsidP="0025317F">
            <w:pPr>
              <w:spacing w:after="120"/>
              <w:rPr>
                <w:i/>
                <w:color w:val="000000"/>
              </w:rPr>
            </w:pPr>
            <w:r w:rsidRPr="00DA5069">
              <w:rPr>
                <w:i/>
                <w:color w:val="000000"/>
              </w:rPr>
              <w:t>Tiesneša nozīmēšana - manuāli</w:t>
            </w:r>
          </w:p>
        </w:tc>
      </w:tr>
      <w:tr w:rsidR="00315FEF" w:rsidRPr="00327DAE" w14:paraId="46BFB3AD" w14:textId="77777777" w:rsidTr="00E81010">
        <w:trPr>
          <w:trHeight w:val="301"/>
        </w:trPr>
        <w:tc>
          <w:tcPr>
            <w:tcW w:w="562" w:type="dxa"/>
            <w:vMerge/>
          </w:tcPr>
          <w:p w14:paraId="25BC8D94"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134B38B1" w14:textId="2B127D6E" w:rsidR="0064377B" w:rsidRPr="00327DAE" w:rsidRDefault="0064377B" w:rsidP="0025317F">
            <w:pPr>
              <w:spacing w:after="120"/>
              <w:rPr>
                <w:i/>
                <w:sz w:val="24"/>
                <w:szCs w:val="24"/>
              </w:rPr>
            </w:pPr>
            <w:r w:rsidRPr="00327DAE">
              <w:rPr>
                <w:i/>
                <w:sz w:val="24"/>
                <w:szCs w:val="24"/>
              </w:rPr>
              <w:t>Augstākās tiesas norādītais pamats lēmuma atcelšanai</w:t>
            </w:r>
          </w:p>
          <w:p w14:paraId="4034DAEE" w14:textId="72F4D4DB" w:rsidR="00315FEF" w:rsidRPr="00327DAE" w:rsidRDefault="00315FEF" w:rsidP="0025317F">
            <w:pPr>
              <w:spacing w:after="120"/>
              <w:rPr>
                <w:sz w:val="24"/>
                <w:szCs w:val="24"/>
              </w:rPr>
            </w:pPr>
            <w:r w:rsidRPr="00327DAE">
              <w:rPr>
                <w:sz w:val="24"/>
                <w:szCs w:val="24"/>
              </w:rPr>
              <w:t>Publiski tiesisks prasījums pret Valsts ieņēmumu dienestu nevar būt par</w:t>
            </w:r>
            <w:r w:rsidR="0020329A" w:rsidRPr="00327DAE">
              <w:rPr>
                <w:sz w:val="24"/>
                <w:szCs w:val="24"/>
              </w:rPr>
              <w:t xml:space="preserve"> komercķīlas līguma priekšmetu.</w:t>
            </w:r>
          </w:p>
        </w:tc>
      </w:tr>
      <w:tr w:rsidR="00315FEF" w:rsidRPr="00327DAE" w14:paraId="0947406B" w14:textId="77777777" w:rsidTr="00E81010">
        <w:trPr>
          <w:trHeight w:val="301"/>
        </w:trPr>
        <w:tc>
          <w:tcPr>
            <w:tcW w:w="562" w:type="dxa"/>
            <w:vMerge/>
          </w:tcPr>
          <w:p w14:paraId="435CDE2C"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5CC40E28" w14:textId="77777777" w:rsidR="00315FEF" w:rsidRPr="00327DAE" w:rsidRDefault="00315FEF" w:rsidP="0025317F">
            <w:pPr>
              <w:spacing w:after="120"/>
              <w:rPr>
                <w:sz w:val="24"/>
                <w:szCs w:val="24"/>
              </w:rPr>
            </w:pPr>
            <w:r w:rsidRPr="00327DAE">
              <w:rPr>
                <w:i/>
                <w:sz w:val="24"/>
                <w:szCs w:val="24"/>
              </w:rPr>
              <w:t>Ekspertu secinājumi</w:t>
            </w:r>
            <w:r w:rsidRPr="00327DAE">
              <w:rPr>
                <w:sz w:val="24"/>
                <w:szCs w:val="24"/>
              </w:rPr>
              <w:t xml:space="preserve"> </w:t>
            </w:r>
          </w:p>
          <w:p w14:paraId="412ABA2C" w14:textId="77777777" w:rsidR="00D46BA9" w:rsidRPr="00327DAE" w:rsidRDefault="00D46BA9" w:rsidP="0025317F">
            <w:pPr>
              <w:spacing w:after="120"/>
              <w:rPr>
                <w:sz w:val="24"/>
                <w:szCs w:val="24"/>
              </w:rPr>
            </w:pPr>
            <w:r w:rsidRPr="00327DAE">
              <w:rPr>
                <w:sz w:val="24"/>
                <w:szCs w:val="24"/>
              </w:rPr>
              <w:t xml:space="preserve">Publikācijā nepareizi norādīts, ka tiesnesis pretēji likumam </w:t>
            </w:r>
            <w:r w:rsidRPr="00327DAE">
              <w:rPr>
                <w:sz w:val="24"/>
                <w:szCs w:val="24"/>
                <w:u w:val="single"/>
              </w:rPr>
              <w:t>akceptēja</w:t>
            </w:r>
            <w:r w:rsidRPr="00327DAE">
              <w:rPr>
                <w:sz w:val="24"/>
                <w:szCs w:val="24"/>
              </w:rPr>
              <w:t xml:space="preserve"> administratora lēmumu, jo šajā lietā tiesnesis šo lēmumu </w:t>
            </w:r>
            <w:r w:rsidRPr="00327DAE">
              <w:rPr>
                <w:sz w:val="24"/>
                <w:szCs w:val="24"/>
                <w:u w:val="single"/>
              </w:rPr>
              <w:t>atcēla</w:t>
            </w:r>
            <w:r w:rsidRPr="00327DAE">
              <w:rPr>
                <w:sz w:val="24"/>
                <w:szCs w:val="24"/>
              </w:rPr>
              <w:t xml:space="preserve"> un izlēma, ka Valsts ieņēmumu dienestā esošie naudas līdzekļi izmaksājami Rietumu bankai. </w:t>
            </w:r>
          </w:p>
          <w:p w14:paraId="4553ACA5" w14:textId="3D879C27" w:rsidR="00315FEF" w:rsidRPr="00327DAE" w:rsidRDefault="00315FEF" w:rsidP="0025317F">
            <w:pPr>
              <w:spacing w:after="120"/>
              <w:rPr>
                <w:sz w:val="24"/>
                <w:szCs w:val="24"/>
              </w:rPr>
            </w:pPr>
            <w:r w:rsidRPr="00327DAE">
              <w:rPr>
                <w:sz w:val="24"/>
                <w:szCs w:val="24"/>
              </w:rPr>
              <w:t>Augstākās tiesas Senāts</w:t>
            </w:r>
            <w:r w:rsidR="00BC04AA">
              <w:rPr>
                <w:sz w:val="24"/>
                <w:szCs w:val="24"/>
              </w:rPr>
              <w:t>,</w:t>
            </w:r>
            <w:r w:rsidRPr="00327DAE">
              <w:rPr>
                <w:sz w:val="24"/>
                <w:szCs w:val="24"/>
              </w:rPr>
              <w:t xml:space="preserve"> paplašinātā sastāvā (11 tiesneši) izskatot protesta lūgumu, lēma, ka naudas līdzekļi, kas izprasāmi no Valsts ieņēmumu dienesta, nevar būt komercķīlas priekšmets un tāpēc tiesneša lēmumu atcēla.</w:t>
            </w:r>
          </w:p>
          <w:p w14:paraId="16D5205D" w14:textId="37001FE3" w:rsidR="00315FEF" w:rsidRPr="00327DAE" w:rsidRDefault="00315FEF" w:rsidP="0025317F">
            <w:pPr>
              <w:spacing w:after="120"/>
              <w:rPr>
                <w:sz w:val="24"/>
                <w:szCs w:val="24"/>
              </w:rPr>
            </w:pPr>
            <w:r w:rsidRPr="00327DAE">
              <w:rPr>
                <w:sz w:val="24"/>
                <w:szCs w:val="24"/>
              </w:rPr>
              <w:t>Ekspertu ieskatā</w:t>
            </w:r>
            <w:r w:rsidR="00BC04AA">
              <w:rPr>
                <w:sz w:val="24"/>
                <w:szCs w:val="24"/>
              </w:rPr>
              <w:t>,</w:t>
            </w:r>
            <w:r w:rsidRPr="00327DAE">
              <w:rPr>
                <w:sz w:val="24"/>
                <w:szCs w:val="24"/>
              </w:rPr>
              <w:t xml:space="preserve"> šāds Augstākās tiesas viedoklis nav viennozīmīgi pārliecinošs (ko apliecina arī piecu tiesnešu pievienotās atsevišķās domas Augstākās tiesas nolēmumam), jo nav būtiska naudas līdzekļu izcelsme (privāttiesisks vai publiski tiesisks prasījums) – komercķīlas priekšmets var būt visa komercsabiedrības manta, tai skaitā naudas līdzekļi. Šādā situācijā tiesneša lēmums atspoguļo normu</w:t>
            </w:r>
            <w:r w:rsidR="00D46BA9" w:rsidRPr="00327DAE">
              <w:rPr>
                <w:sz w:val="24"/>
                <w:szCs w:val="24"/>
              </w:rPr>
              <w:t xml:space="preserve"> atšķirīgu</w:t>
            </w:r>
            <w:r w:rsidRPr="00327DAE">
              <w:rPr>
                <w:sz w:val="24"/>
                <w:szCs w:val="24"/>
              </w:rPr>
              <w:t xml:space="preserve"> inte</w:t>
            </w:r>
            <w:r w:rsidR="0020329A" w:rsidRPr="00327DAE">
              <w:rPr>
                <w:sz w:val="24"/>
                <w:szCs w:val="24"/>
              </w:rPr>
              <w:t>rpretāciju, nevis norāda kļūdu.</w:t>
            </w:r>
            <w:r w:rsidR="004529AC" w:rsidRPr="00327DAE">
              <w:rPr>
                <w:sz w:val="24"/>
                <w:szCs w:val="24"/>
              </w:rPr>
              <w:t xml:space="preserve"> Tiesnesis pieņēma lēmumu, ņemot vērā spēkā esošo judikatūru, ko mainīja ar Augstākās tiesas Senāta paplašinātā sastāva lēmumu.</w:t>
            </w:r>
          </w:p>
        </w:tc>
      </w:tr>
      <w:tr w:rsidR="00413AC6" w:rsidRPr="00327DAE" w14:paraId="0B2983EC" w14:textId="77777777" w:rsidTr="00E81010">
        <w:trPr>
          <w:trHeight w:val="301"/>
        </w:trPr>
        <w:tc>
          <w:tcPr>
            <w:tcW w:w="562" w:type="dxa"/>
            <w:vMerge w:val="restart"/>
          </w:tcPr>
          <w:p w14:paraId="0D7EF7EE" w14:textId="4AE8535B" w:rsidR="00413AC6" w:rsidRPr="00327DAE" w:rsidRDefault="00413AC6" w:rsidP="0025317F">
            <w:pPr>
              <w:spacing w:after="120"/>
              <w:rPr>
                <w:b/>
                <w:sz w:val="24"/>
                <w:szCs w:val="24"/>
              </w:rPr>
            </w:pPr>
            <w:r w:rsidRPr="00327DAE">
              <w:rPr>
                <w:b/>
                <w:sz w:val="24"/>
                <w:szCs w:val="24"/>
              </w:rPr>
              <w:t>1</w:t>
            </w:r>
            <w:r w:rsidR="002763E6" w:rsidRPr="00327DAE">
              <w:rPr>
                <w:b/>
                <w:sz w:val="24"/>
                <w:szCs w:val="24"/>
              </w:rPr>
              <w:t>6</w:t>
            </w:r>
            <w:r w:rsidRPr="00327DAE">
              <w:rPr>
                <w:b/>
                <w:sz w:val="24"/>
                <w:szCs w:val="24"/>
              </w:rPr>
              <w:t>.</w:t>
            </w:r>
          </w:p>
        </w:tc>
        <w:tc>
          <w:tcPr>
            <w:tcW w:w="1560" w:type="dxa"/>
            <w:shd w:val="clear" w:color="auto" w:fill="auto"/>
            <w:noWrap/>
            <w:vAlign w:val="bottom"/>
          </w:tcPr>
          <w:p w14:paraId="5AFA1BA2" w14:textId="77777777" w:rsidR="00413AC6" w:rsidRPr="00327DAE" w:rsidRDefault="00413AC6" w:rsidP="0025317F">
            <w:pPr>
              <w:spacing w:after="120"/>
              <w:rPr>
                <w:b/>
                <w:sz w:val="24"/>
                <w:szCs w:val="24"/>
              </w:rPr>
            </w:pPr>
            <w:r w:rsidRPr="00327DAE">
              <w:rPr>
                <w:b/>
                <w:sz w:val="24"/>
                <w:szCs w:val="24"/>
              </w:rPr>
              <w:t>C27144014</w:t>
            </w:r>
          </w:p>
          <w:p w14:paraId="4802FC34" w14:textId="5C7E1DAF" w:rsidR="00413AC6" w:rsidRPr="00327DAE" w:rsidRDefault="00413AC6" w:rsidP="0025317F">
            <w:pPr>
              <w:spacing w:after="120"/>
              <w:rPr>
                <w:b/>
                <w:sz w:val="24"/>
                <w:szCs w:val="24"/>
              </w:rPr>
            </w:pPr>
            <w:r w:rsidRPr="00327DAE">
              <w:rPr>
                <w:b/>
                <w:sz w:val="24"/>
                <w:szCs w:val="24"/>
              </w:rPr>
              <w:t>SPC-5/2015</w:t>
            </w:r>
          </w:p>
        </w:tc>
        <w:tc>
          <w:tcPr>
            <w:tcW w:w="2409" w:type="dxa"/>
            <w:shd w:val="clear" w:color="auto" w:fill="auto"/>
            <w:vAlign w:val="bottom"/>
          </w:tcPr>
          <w:p w14:paraId="35923560" w14:textId="76136414" w:rsidR="00413AC6" w:rsidRPr="00327DAE" w:rsidRDefault="00413AC6" w:rsidP="0025317F">
            <w:pPr>
              <w:spacing w:after="120"/>
              <w:rPr>
                <w:b/>
                <w:sz w:val="24"/>
                <w:szCs w:val="24"/>
              </w:rPr>
            </w:pPr>
            <w:r w:rsidRPr="00327DAE">
              <w:rPr>
                <w:b/>
                <w:sz w:val="24"/>
                <w:szCs w:val="24"/>
              </w:rPr>
              <w:t>04.08.2014. lēmums, 15.08.2014. spriedums</w:t>
            </w:r>
          </w:p>
        </w:tc>
        <w:tc>
          <w:tcPr>
            <w:tcW w:w="3828" w:type="dxa"/>
            <w:shd w:val="clear" w:color="auto" w:fill="auto"/>
            <w:vAlign w:val="bottom"/>
          </w:tcPr>
          <w:p w14:paraId="45167F96" w14:textId="77777777" w:rsidR="00413AC6" w:rsidRPr="00DA5069" w:rsidRDefault="00413AC6" w:rsidP="0025317F">
            <w:pPr>
              <w:pStyle w:val="Heading3"/>
            </w:pPr>
            <w:bookmarkStart w:id="30" w:name="_Toc522527505"/>
            <w:r w:rsidRPr="00DA5069">
              <w:t>SIA „</w:t>
            </w:r>
            <w:proofErr w:type="spellStart"/>
            <w:r w:rsidRPr="00DA5069">
              <w:t>Winergy</w:t>
            </w:r>
            <w:proofErr w:type="spellEnd"/>
            <w:r w:rsidRPr="00DA5069">
              <w:t>”: TAP pieteikums, lēmums par administratora iecelšanu</w:t>
            </w:r>
            <w:bookmarkEnd w:id="30"/>
          </w:p>
        </w:tc>
      </w:tr>
      <w:tr w:rsidR="00E81010" w:rsidRPr="00327DAE" w14:paraId="0E8B53C5" w14:textId="77777777" w:rsidTr="00DA5069">
        <w:trPr>
          <w:trHeight w:val="301"/>
        </w:trPr>
        <w:tc>
          <w:tcPr>
            <w:tcW w:w="562" w:type="dxa"/>
            <w:vMerge/>
          </w:tcPr>
          <w:p w14:paraId="22001DDA" w14:textId="77777777" w:rsidR="00E81010" w:rsidRPr="00327DAE" w:rsidRDefault="00E81010" w:rsidP="0025317F">
            <w:pPr>
              <w:spacing w:after="120"/>
              <w:rPr>
                <w:b/>
                <w:sz w:val="24"/>
                <w:szCs w:val="24"/>
              </w:rPr>
            </w:pPr>
          </w:p>
        </w:tc>
        <w:tc>
          <w:tcPr>
            <w:tcW w:w="1560" w:type="dxa"/>
            <w:shd w:val="clear" w:color="auto" w:fill="E7E6E6" w:themeFill="background2"/>
            <w:noWrap/>
            <w:vAlign w:val="center"/>
          </w:tcPr>
          <w:p w14:paraId="79860BDC" w14:textId="27E3C7FA" w:rsidR="00E81010" w:rsidRPr="009D11F9" w:rsidRDefault="00E81010" w:rsidP="0025317F">
            <w:pPr>
              <w:spacing w:after="120"/>
              <w:rPr>
                <w:b/>
                <w:i/>
              </w:rPr>
            </w:pPr>
            <w:r w:rsidRPr="009D11F9">
              <w:rPr>
                <w:b/>
                <w:i/>
              </w:rPr>
              <w:t>Sadales datums</w:t>
            </w:r>
          </w:p>
        </w:tc>
        <w:tc>
          <w:tcPr>
            <w:tcW w:w="2409" w:type="dxa"/>
            <w:shd w:val="clear" w:color="auto" w:fill="E7E6E6" w:themeFill="background2"/>
            <w:vAlign w:val="center"/>
          </w:tcPr>
          <w:p w14:paraId="2681E4B2" w14:textId="687B7FA2" w:rsidR="00E81010" w:rsidRPr="009D11F9" w:rsidRDefault="00E81010" w:rsidP="0025317F">
            <w:pPr>
              <w:spacing w:after="120"/>
              <w:rPr>
                <w:b/>
                <w:i/>
              </w:rPr>
            </w:pPr>
            <w:r w:rsidRPr="009D11F9">
              <w:rPr>
                <w:b/>
                <w:i/>
              </w:rPr>
              <w:t>Tiesnesis pēc sadales</w:t>
            </w:r>
          </w:p>
        </w:tc>
        <w:tc>
          <w:tcPr>
            <w:tcW w:w="3828" w:type="dxa"/>
            <w:shd w:val="clear" w:color="auto" w:fill="E7E6E6" w:themeFill="background2"/>
            <w:vAlign w:val="bottom"/>
          </w:tcPr>
          <w:p w14:paraId="602F382F" w14:textId="64DC646F" w:rsidR="00E81010" w:rsidRPr="009D11F9" w:rsidRDefault="00E81010" w:rsidP="0025317F">
            <w:pPr>
              <w:spacing w:after="120"/>
              <w:rPr>
                <w:b/>
                <w:i/>
              </w:rPr>
            </w:pPr>
            <w:r w:rsidRPr="009D11F9">
              <w:rPr>
                <w:b/>
                <w:i/>
              </w:rPr>
              <w:t>Lietu sadales veids/iemesls</w:t>
            </w:r>
          </w:p>
        </w:tc>
      </w:tr>
      <w:tr w:rsidR="00E81010" w:rsidRPr="00327DAE" w14:paraId="20831E66" w14:textId="77777777" w:rsidTr="00DA5069">
        <w:trPr>
          <w:trHeight w:val="301"/>
        </w:trPr>
        <w:tc>
          <w:tcPr>
            <w:tcW w:w="562" w:type="dxa"/>
            <w:vMerge/>
          </w:tcPr>
          <w:p w14:paraId="396956B4" w14:textId="77777777" w:rsidR="00E81010" w:rsidRPr="00327DAE" w:rsidRDefault="00E81010" w:rsidP="0025317F">
            <w:pPr>
              <w:spacing w:after="120"/>
              <w:rPr>
                <w:b/>
                <w:sz w:val="24"/>
                <w:szCs w:val="24"/>
              </w:rPr>
            </w:pPr>
          </w:p>
        </w:tc>
        <w:tc>
          <w:tcPr>
            <w:tcW w:w="1560" w:type="dxa"/>
            <w:shd w:val="clear" w:color="auto" w:fill="E7E6E6" w:themeFill="background2"/>
            <w:noWrap/>
            <w:vAlign w:val="bottom"/>
          </w:tcPr>
          <w:p w14:paraId="19300D09" w14:textId="4A88A479" w:rsidR="00E81010" w:rsidRPr="009D11F9" w:rsidRDefault="00E81010" w:rsidP="0025317F">
            <w:pPr>
              <w:spacing w:after="120"/>
              <w:rPr>
                <w:i/>
              </w:rPr>
            </w:pPr>
            <w:r w:rsidRPr="009D11F9">
              <w:rPr>
                <w:i/>
              </w:rPr>
              <w:t>14.05.2014</w:t>
            </w:r>
          </w:p>
        </w:tc>
        <w:tc>
          <w:tcPr>
            <w:tcW w:w="2409" w:type="dxa"/>
            <w:shd w:val="clear" w:color="auto" w:fill="E7E6E6" w:themeFill="background2"/>
            <w:vAlign w:val="bottom"/>
          </w:tcPr>
          <w:p w14:paraId="6370DD59" w14:textId="771A9424" w:rsidR="00E81010" w:rsidRPr="009D11F9" w:rsidRDefault="00E81010" w:rsidP="0025317F">
            <w:pPr>
              <w:spacing w:after="120"/>
              <w:rPr>
                <w:i/>
              </w:rPr>
            </w:pPr>
            <w:r w:rsidRPr="009D11F9">
              <w:rPr>
                <w:i/>
              </w:rPr>
              <w:t>Velga Gailīte</w:t>
            </w:r>
          </w:p>
        </w:tc>
        <w:tc>
          <w:tcPr>
            <w:tcW w:w="3828" w:type="dxa"/>
            <w:shd w:val="clear" w:color="auto" w:fill="E7E6E6" w:themeFill="background2"/>
            <w:vAlign w:val="bottom"/>
          </w:tcPr>
          <w:p w14:paraId="7BE87951" w14:textId="51B20F48" w:rsidR="00E81010" w:rsidRPr="009D11F9" w:rsidRDefault="00E81010" w:rsidP="0025317F">
            <w:pPr>
              <w:spacing w:after="120"/>
              <w:rPr>
                <w:i/>
              </w:rPr>
            </w:pPr>
            <w:r w:rsidRPr="009D11F9">
              <w:rPr>
                <w:i/>
              </w:rPr>
              <w:t>Datorizēta lietu sadale</w:t>
            </w:r>
          </w:p>
        </w:tc>
      </w:tr>
      <w:tr w:rsidR="00E81010" w:rsidRPr="00327DAE" w14:paraId="0F503F3F" w14:textId="77777777" w:rsidTr="00DA5069">
        <w:trPr>
          <w:trHeight w:val="301"/>
        </w:trPr>
        <w:tc>
          <w:tcPr>
            <w:tcW w:w="562" w:type="dxa"/>
            <w:vMerge/>
          </w:tcPr>
          <w:p w14:paraId="0733CFF4" w14:textId="77777777" w:rsidR="00E81010" w:rsidRPr="00327DAE" w:rsidRDefault="00E81010" w:rsidP="0025317F">
            <w:pPr>
              <w:spacing w:after="120"/>
              <w:rPr>
                <w:b/>
                <w:sz w:val="24"/>
                <w:szCs w:val="24"/>
              </w:rPr>
            </w:pPr>
          </w:p>
        </w:tc>
        <w:tc>
          <w:tcPr>
            <w:tcW w:w="1560" w:type="dxa"/>
            <w:shd w:val="clear" w:color="auto" w:fill="E7E6E6" w:themeFill="background2"/>
            <w:noWrap/>
            <w:vAlign w:val="bottom"/>
          </w:tcPr>
          <w:p w14:paraId="69BD88DF" w14:textId="37010DB4" w:rsidR="00E81010" w:rsidRPr="009D11F9" w:rsidRDefault="00E81010" w:rsidP="0025317F">
            <w:pPr>
              <w:spacing w:after="120"/>
              <w:rPr>
                <w:i/>
              </w:rPr>
            </w:pPr>
            <w:r w:rsidRPr="009D11F9">
              <w:rPr>
                <w:i/>
              </w:rPr>
              <w:t>14.05.2014</w:t>
            </w:r>
          </w:p>
        </w:tc>
        <w:tc>
          <w:tcPr>
            <w:tcW w:w="2409" w:type="dxa"/>
            <w:shd w:val="clear" w:color="auto" w:fill="E7E6E6" w:themeFill="background2"/>
            <w:vAlign w:val="bottom"/>
          </w:tcPr>
          <w:p w14:paraId="2738CCEC" w14:textId="3E779658" w:rsidR="00E81010" w:rsidRPr="009D11F9" w:rsidRDefault="00E81010" w:rsidP="0025317F">
            <w:pPr>
              <w:spacing w:after="120"/>
              <w:rPr>
                <w:i/>
              </w:rPr>
            </w:pPr>
            <w:r w:rsidRPr="009D11F9">
              <w:rPr>
                <w:i/>
              </w:rPr>
              <w:t xml:space="preserve">Imants Dzenis </w:t>
            </w:r>
          </w:p>
        </w:tc>
        <w:tc>
          <w:tcPr>
            <w:tcW w:w="3828" w:type="dxa"/>
            <w:shd w:val="clear" w:color="auto" w:fill="E7E6E6" w:themeFill="background2"/>
            <w:vAlign w:val="bottom"/>
          </w:tcPr>
          <w:p w14:paraId="491A4184" w14:textId="78CE7219" w:rsidR="00E81010" w:rsidRPr="009D11F9" w:rsidRDefault="00E81010" w:rsidP="0025317F">
            <w:pPr>
              <w:spacing w:after="120"/>
              <w:rPr>
                <w:i/>
              </w:rPr>
            </w:pPr>
            <w:r w:rsidRPr="009D11F9">
              <w:rPr>
                <w:i/>
              </w:rPr>
              <w:t>Manuāla lietu sadale – pieteikumu pārdale sakarā ar objektīviem apstākļiem</w:t>
            </w:r>
          </w:p>
        </w:tc>
      </w:tr>
      <w:tr w:rsidR="00E81010" w:rsidRPr="00327DAE" w14:paraId="511E1691" w14:textId="77777777" w:rsidTr="00DA5069">
        <w:trPr>
          <w:trHeight w:val="301"/>
        </w:trPr>
        <w:tc>
          <w:tcPr>
            <w:tcW w:w="562" w:type="dxa"/>
            <w:vMerge/>
          </w:tcPr>
          <w:p w14:paraId="6FFB3209" w14:textId="77777777" w:rsidR="00E81010" w:rsidRPr="00327DAE" w:rsidRDefault="00E81010" w:rsidP="0025317F">
            <w:pPr>
              <w:spacing w:after="120"/>
              <w:rPr>
                <w:b/>
                <w:sz w:val="24"/>
                <w:szCs w:val="24"/>
              </w:rPr>
            </w:pPr>
          </w:p>
        </w:tc>
        <w:tc>
          <w:tcPr>
            <w:tcW w:w="1560" w:type="dxa"/>
            <w:shd w:val="clear" w:color="auto" w:fill="E7E6E6" w:themeFill="background2"/>
            <w:noWrap/>
            <w:vAlign w:val="bottom"/>
          </w:tcPr>
          <w:p w14:paraId="12BB7E28" w14:textId="12600D71" w:rsidR="00E81010" w:rsidRPr="009D11F9" w:rsidRDefault="00E81010" w:rsidP="0025317F">
            <w:pPr>
              <w:spacing w:after="120"/>
              <w:rPr>
                <w:i/>
              </w:rPr>
            </w:pPr>
            <w:r w:rsidRPr="009D11F9">
              <w:rPr>
                <w:i/>
              </w:rPr>
              <w:t>24.02.2015</w:t>
            </w:r>
          </w:p>
        </w:tc>
        <w:tc>
          <w:tcPr>
            <w:tcW w:w="2409" w:type="dxa"/>
            <w:shd w:val="clear" w:color="auto" w:fill="E7E6E6" w:themeFill="background2"/>
            <w:vAlign w:val="bottom"/>
          </w:tcPr>
          <w:p w14:paraId="3DE373D0" w14:textId="09F05C21" w:rsidR="00E81010" w:rsidRPr="009D11F9" w:rsidRDefault="00E81010" w:rsidP="0025317F">
            <w:pPr>
              <w:spacing w:after="120"/>
              <w:rPr>
                <w:i/>
              </w:rPr>
            </w:pPr>
            <w:r w:rsidRPr="009D11F9">
              <w:rPr>
                <w:i/>
              </w:rPr>
              <w:t xml:space="preserve">Rinalds </w:t>
            </w:r>
            <w:proofErr w:type="spellStart"/>
            <w:r w:rsidRPr="009D11F9">
              <w:rPr>
                <w:i/>
              </w:rPr>
              <w:t>Silakalns</w:t>
            </w:r>
            <w:proofErr w:type="spellEnd"/>
          </w:p>
        </w:tc>
        <w:tc>
          <w:tcPr>
            <w:tcW w:w="3828" w:type="dxa"/>
            <w:shd w:val="clear" w:color="auto" w:fill="E7E6E6" w:themeFill="background2"/>
            <w:vAlign w:val="bottom"/>
          </w:tcPr>
          <w:p w14:paraId="59DEBDA4" w14:textId="650B1AAE" w:rsidR="00E81010" w:rsidRPr="009D11F9" w:rsidRDefault="00E81010" w:rsidP="0025317F">
            <w:pPr>
              <w:spacing w:after="120"/>
              <w:rPr>
                <w:i/>
              </w:rPr>
            </w:pPr>
            <w:r w:rsidRPr="009D11F9">
              <w:rPr>
                <w:i/>
              </w:rPr>
              <w:t>Datorizēta lietu sadale</w:t>
            </w:r>
          </w:p>
        </w:tc>
      </w:tr>
      <w:tr w:rsidR="00E81010" w:rsidRPr="00327DAE" w14:paraId="4F613443" w14:textId="77777777" w:rsidTr="00DA5069">
        <w:trPr>
          <w:trHeight w:val="301"/>
        </w:trPr>
        <w:tc>
          <w:tcPr>
            <w:tcW w:w="562" w:type="dxa"/>
            <w:vMerge/>
          </w:tcPr>
          <w:p w14:paraId="03DE0E87" w14:textId="77777777" w:rsidR="00E81010" w:rsidRPr="00327DAE" w:rsidRDefault="00E81010" w:rsidP="0025317F">
            <w:pPr>
              <w:spacing w:after="120"/>
              <w:rPr>
                <w:b/>
                <w:sz w:val="24"/>
                <w:szCs w:val="24"/>
              </w:rPr>
            </w:pPr>
          </w:p>
        </w:tc>
        <w:tc>
          <w:tcPr>
            <w:tcW w:w="1560" w:type="dxa"/>
            <w:shd w:val="clear" w:color="auto" w:fill="E7E6E6" w:themeFill="background2"/>
            <w:noWrap/>
            <w:vAlign w:val="bottom"/>
          </w:tcPr>
          <w:p w14:paraId="78E0026B" w14:textId="760B63FE" w:rsidR="00E81010" w:rsidRPr="009D11F9" w:rsidRDefault="00E81010" w:rsidP="0025317F">
            <w:pPr>
              <w:spacing w:after="120"/>
              <w:rPr>
                <w:i/>
              </w:rPr>
            </w:pPr>
            <w:r w:rsidRPr="009D11F9">
              <w:rPr>
                <w:i/>
              </w:rPr>
              <w:t>04.03.2015</w:t>
            </w:r>
          </w:p>
        </w:tc>
        <w:tc>
          <w:tcPr>
            <w:tcW w:w="2409" w:type="dxa"/>
            <w:shd w:val="clear" w:color="auto" w:fill="E7E6E6" w:themeFill="background2"/>
            <w:vAlign w:val="bottom"/>
          </w:tcPr>
          <w:p w14:paraId="44C9B79C" w14:textId="2E07FEDC" w:rsidR="00E81010" w:rsidRPr="009D11F9" w:rsidRDefault="00E81010" w:rsidP="0025317F">
            <w:pPr>
              <w:spacing w:after="120"/>
              <w:rPr>
                <w:i/>
              </w:rPr>
            </w:pPr>
            <w:r w:rsidRPr="009D11F9">
              <w:rPr>
                <w:i/>
              </w:rPr>
              <w:t xml:space="preserve">Imants Dzenis </w:t>
            </w:r>
          </w:p>
        </w:tc>
        <w:tc>
          <w:tcPr>
            <w:tcW w:w="3828" w:type="dxa"/>
            <w:shd w:val="clear" w:color="auto" w:fill="E7E6E6" w:themeFill="background2"/>
            <w:vAlign w:val="bottom"/>
          </w:tcPr>
          <w:p w14:paraId="0995B584" w14:textId="03C913DE" w:rsidR="00E81010" w:rsidRPr="009D11F9" w:rsidRDefault="00E81010" w:rsidP="0025317F">
            <w:pPr>
              <w:spacing w:after="120"/>
              <w:rPr>
                <w:i/>
              </w:rPr>
            </w:pPr>
            <w:r w:rsidRPr="009D11F9">
              <w:rPr>
                <w:i/>
              </w:rPr>
              <w:t>Datorizēta lietu sadale</w:t>
            </w:r>
          </w:p>
        </w:tc>
      </w:tr>
      <w:tr w:rsidR="00E81010" w:rsidRPr="00327DAE" w14:paraId="0DF36104" w14:textId="77777777" w:rsidTr="00DA5069">
        <w:trPr>
          <w:trHeight w:val="301"/>
        </w:trPr>
        <w:tc>
          <w:tcPr>
            <w:tcW w:w="562" w:type="dxa"/>
            <w:vMerge/>
          </w:tcPr>
          <w:p w14:paraId="25EDEAFB" w14:textId="77777777" w:rsidR="00E81010" w:rsidRPr="00327DAE" w:rsidRDefault="00E81010" w:rsidP="0025317F">
            <w:pPr>
              <w:spacing w:after="120"/>
              <w:rPr>
                <w:b/>
                <w:sz w:val="24"/>
                <w:szCs w:val="24"/>
              </w:rPr>
            </w:pPr>
          </w:p>
        </w:tc>
        <w:tc>
          <w:tcPr>
            <w:tcW w:w="1560" w:type="dxa"/>
            <w:shd w:val="clear" w:color="auto" w:fill="E7E6E6" w:themeFill="background2"/>
            <w:noWrap/>
            <w:vAlign w:val="bottom"/>
          </w:tcPr>
          <w:p w14:paraId="335C5E80" w14:textId="540BEC3C" w:rsidR="00E81010" w:rsidRPr="009D11F9" w:rsidRDefault="00E81010" w:rsidP="0025317F">
            <w:pPr>
              <w:spacing w:after="120"/>
              <w:rPr>
                <w:i/>
              </w:rPr>
            </w:pPr>
            <w:r w:rsidRPr="009D11F9">
              <w:rPr>
                <w:i/>
              </w:rPr>
              <w:t>04.03.2015</w:t>
            </w:r>
          </w:p>
        </w:tc>
        <w:tc>
          <w:tcPr>
            <w:tcW w:w="2409" w:type="dxa"/>
            <w:shd w:val="clear" w:color="auto" w:fill="E7E6E6" w:themeFill="background2"/>
            <w:vAlign w:val="bottom"/>
          </w:tcPr>
          <w:p w14:paraId="79A21AA1" w14:textId="6872A9AA" w:rsidR="00E81010" w:rsidRPr="009D11F9" w:rsidRDefault="00E81010" w:rsidP="0025317F">
            <w:pPr>
              <w:spacing w:after="120"/>
              <w:rPr>
                <w:i/>
              </w:rPr>
            </w:pPr>
            <w:r w:rsidRPr="009D11F9">
              <w:rPr>
                <w:i/>
              </w:rPr>
              <w:t xml:space="preserve">Andis Celms </w:t>
            </w:r>
          </w:p>
        </w:tc>
        <w:tc>
          <w:tcPr>
            <w:tcW w:w="3828" w:type="dxa"/>
            <w:shd w:val="clear" w:color="auto" w:fill="E7E6E6" w:themeFill="background2"/>
            <w:vAlign w:val="bottom"/>
          </w:tcPr>
          <w:p w14:paraId="5AE4934A" w14:textId="11E3BFDE" w:rsidR="00E81010" w:rsidRPr="009D11F9" w:rsidRDefault="00E81010" w:rsidP="0025317F">
            <w:pPr>
              <w:spacing w:after="120"/>
              <w:rPr>
                <w:i/>
              </w:rPr>
            </w:pPr>
            <w:r w:rsidRPr="009D11F9">
              <w:rPr>
                <w:i/>
              </w:rPr>
              <w:t>Datorizēta lietu sadale</w:t>
            </w:r>
          </w:p>
        </w:tc>
      </w:tr>
      <w:tr w:rsidR="00413AC6" w:rsidRPr="00327DAE" w14:paraId="5A43C30D" w14:textId="77777777" w:rsidTr="00E81010">
        <w:trPr>
          <w:trHeight w:val="301"/>
        </w:trPr>
        <w:tc>
          <w:tcPr>
            <w:tcW w:w="562" w:type="dxa"/>
            <w:vMerge/>
          </w:tcPr>
          <w:p w14:paraId="52B6B3D3"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7F62BD13" w14:textId="0B49C8D1" w:rsidR="00413AC6" w:rsidRPr="00327DAE" w:rsidRDefault="00413AC6" w:rsidP="0025317F">
            <w:pPr>
              <w:spacing w:after="120"/>
              <w:rPr>
                <w:i/>
                <w:sz w:val="24"/>
                <w:szCs w:val="24"/>
              </w:rPr>
            </w:pPr>
            <w:r w:rsidRPr="00327DAE">
              <w:rPr>
                <w:i/>
                <w:sz w:val="24"/>
                <w:szCs w:val="24"/>
              </w:rPr>
              <w:t>Augstākās tiesas norādītais pamats lēmuma atcelšanai</w:t>
            </w:r>
          </w:p>
          <w:p w14:paraId="52DF4415" w14:textId="57CE6174" w:rsidR="00413AC6" w:rsidRPr="00327DAE" w:rsidRDefault="00413AC6" w:rsidP="0025317F">
            <w:pPr>
              <w:autoSpaceDE w:val="0"/>
              <w:autoSpaceDN w:val="0"/>
              <w:spacing w:after="120"/>
              <w:rPr>
                <w:sz w:val="24"/>
                <w:szCs w:val="24"/>
              </w:rPr>
            </w:pPr>
            <w:r w:rsidRPr="00327DAE">
              <w:rPr>
                <w:sz w:val="24"/>
                <w:szCs w:val="24"/>
              </w:rPr>
              <w:t xml:space="preserve">Nodrošinātais kreditors (banka) iebilda pret TAP plānu, jo otra nodrošinātā kreditora prasījums pamatots ar fiktīvu darījumu. Tiesnesim bija pienākums pārbaudīt, vai tiesiskās aizsardzības procesa pasākumu plānu saskaņojošā kreditora prasījumam par 33 miljoniem eiro, kas nodots bezstrīdus piespiedu izpildīšanai, pamatā ir reālas saistības, taču šajā gadījumā tiesnesis kreditora iebildumu izvērtēšanai pēc būtības nav pievērsies. </w:t>
            </w:r>
          </w:p>
        </w:tc>
      </w:tr>
      <w:tr w:rsidR="00413AC6" w:rsidRPr="00327DAE" w14:paraId="5AC20187" w14:textId="77777777" w:rsidTr="00E81010">
        <w:trPr>
          <w:trHeight w:val="301"/>
        </w:trPr>
        <w:tc>
          <w:tcPr>
            <w:tcW w:w="562" w:type="dxa"/>
            <w:vMerge/>
          </w:tcPr>
          <w:p w14:paraId="749EB95D"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083A175B" w14:textId="77777777" w:rsidR="00413AC6" w:rsidRPr="00327DAE" w:rsidRDefault="00413AC6" w:rsidP="0025317F">
            <w:pPr>
              <w:spacing w:after="120"/>
              <w:rPr>
                <w:i/>
                <w:sz w:val="24"/>
                <w:szCs w:val="24"/>
              </w:rPr>
            </w:pPr>
            <w:r w:rsidRPr="00327DAE">
              <w:rPr>
                <w:i/>
                <w:sz w:val="24"/>
                <w:szCs w:val="24"/>
              </w:rPr>
              <w:t>Ekspertu secinājumi</w:t>
            </w:r>
          </w:p>
          <w:p w14:paraId="5C80F849" w14:textId="5288EA56" w:rsidR="00413AC6" w:rsidRPr="00327DAE" w:rsidRDefault="00413AC6" w:rsidP="0025317F">
            <w:pPr>
              <w:spacing w:after="120"/>
              <w:rPr>
                <w:sz w:val="24"/>
                <w:szCs w:val="24"/>
              </w:rPr>
            </w:pPr>
            <w:r w:rsidRPr="00327DAE">
              <w:rPr>
                <w:sz w:val="24"/>
                <w:szCs w:val="24"/>
              </w:rPr>
              <w:t xml:space="preserve">Šajā gadījumā tiesnesim vajadzēja vērtēt bankas iebildumus pret kreditora </w:t>
            </w:r>
            <w:r w:rsidRPr="00327DAE">
              <w:rPr>
                <w:sz w:val="24"/>
                <w:szCs w:val="24"/>
              </w:rPr>
              <w:lastRenderedPageBreak/>
              <w:t>prasījumu, jāņem arī vērā, ka neilgi pirms tam bijis maksātnespējas pieteikums (lieta</w:t>
            </w:r>
            <w:r w:rsidR="00BC04AA">
              <w:rPr>
                <w:sz w:val="24"/>
                <w:szCs w:val="24"/>
              </w:rPr>
              <w:t xml:space="preserve"> Nr.</w:t>
            </w:r>
            <w:r w:rsidRPr="00327DAE">
              <w:rPr>
                <w:sz w:val="24"/>
                <w:szCs w:val="24"/>
              </w:rPr>
              <w:t xml:space="preserve"> C29769013). Atšķirībā no tiesneses </w:t>
            </w:r>
            <w:r w:rsidR="00A77BA8">
              <w:rPr>
                <w:sz w:val="24"/>
                <w:szCs w:val="24"/>
              </w:rPr>
              <w:t>J. </w:t>
            </w:r>
            <w:proofErr w:type="spellStart"/>
            <w:r w:rsidRPr="00327DAE">
              <w:rPr>
                <w:sz w:val="24"/>
                <w:szCs w:val="24"/>
              </w:rPr>
              <w:t>Zaškinas</w:t>
            </w:r>
            <w:proofErr w:type="spellEnd"/>
            <w:r w:rsidRPr="00327DAE">
              <w:rPr>
                <w:sz w:val="24"/>
                <w:szCs w:val="24"/>
              </w:rPr>
              <w:t xml:space="preserve"> lēmuma lietā </w:t>
            </w:r>
            <w:r w:rsidR="00BC04AA">
              <w:rPr>
                <w:sz w:val="24"/>
                <w:szCs w:val="24"/>
              </w:rPr>
              <w:t>Nr. </w:t>
            </w:r>
            <w:r w:rsidRPr="00327DAE">
              <w:rPr>
                <w:sz w:val="24"/>
                <w:szCs w:val="24"/>
              </w:rPr>
              <w:t xml:space="preserve">C29769013 ierosināt maksātnespēju, kad formāli bija iestājusies maksātnespējas pazīme, šajā gadījumā tiesnesim </w:t>
            </w:r>
            <w:r w:rsidR="00A77BA8">
              <w:rPr>
                <w:sz w:val="24"/>
                <w:szCs w:val="24"/>
              </w:rPr>
              <w:t>I. </w:t>
            </w:r>
            <w:r w:rsidRPr="00327DAE">
              <w:rPr>
                <w:sz w:val="24"/>
                <w:szCs w:val="24"/>
              </w:rPr>
              <w:t>Dzenim bija jāredz un jāvērtē iebildumi, jo šis ir tiesiskās aizsardzības</w:t>
            </w:r>
            <w:r w:rsidR="0020329A" w:rsidRPr="00327DAE">
              <w:rPr>
                <w:sz w:val="24"/>
                <w:szCs w:val="24"/>
              </w:rPr>
              <w:t xml:space="preserve"> procesa pieteikums</w:t>
            </w:r>
            <w:r w:rsidR="004529AC" w:rsidRPr="00327DAE">
              <w:rPr>
                <w:sz w:val="24"/>
                <w:szCs w:val="24"/>
              </w:rPr>
              <w:t>, kas atzīstama par nopietnu kļūdu.</w:t>
            </w:r>
          </w:p>
        </w:tc>
      </w:tr>
      <w:tr w:rsidR="00413AC6" w:rsidRPr="00327DAE" w14:paraId="7EBA1FAB" w14:textId="77777777" w:rsidTr="00E81010">
        <w:trPr>
          <w:trHeight w:val="301"/>
        </w:trPr>
        <w:tc>
          <w:tcPr>
            <w:tcW w:w="562" w:type="dxa"/>
            <w:vMerge/>
            <w:tcBorders>
              <w:bottom w:val="single" w:sz="4" w:space="0" w:color="auto"/>
            </w:tcBorders>
          </w:tcPr>
          <w:p w14:paraId="691C63D5"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3D376C41" w14:textId="32632186" w:rsidR="00413AC6" w:rsidRPr="00327DAE" w:rsidRDefault="00413AC6" w:rsidP="0025317F">
            <w:pPr>
              <w:spacing w:after="120"/>
              <w:rPr>
                <w:i/>
                <w:sz w:val="24"/>
                <w:szCs w:val="24"/>
              </w:rPr>
            </w:pPr>
            <w:r w:rsidRPr="00327DAE">
              <w:rPr>
                <w:i/>
                <w:sz w:val="24"/>
                <w:szCs w:val="24"/>
              </w:rPr>
              <w:t>H. Jaujas secinājumi</w:t>
            </w:r>
          </w:p>
          <w:p w14:paraId="1240C0CC" w14:textId="56F8DB79" w:rsidR="00413AC6" w:rsidRPr="00327DAE" w:rsidRDefault="00413AC6" w:rsidP="0025317F">
            <w:pPr>
              <w:spacing w:after="120"/>
              <w:rPr>
                <w:sz w:val="24"/>
                <w:szCs w:val="24"/>
              </w:rPr>
            </w:pPr>
            <w:r w:rsidRPr="00327DAE">
              <w:rPr>
                <w:sz w:val="24"/>
                <w:szCs w:val="24"/>
              </w:rPr>
              <w:t>Izskatāmajā lietā tiesnesim nevarēja palikt nepamanīti apstākļi, ka parādnieks ilgstoši un mērķtiecīgi ir centies panākt TAP vai maksātnespējas procesa pasludināšanu un</w:t>
            </w:r>
            <w:r w:rsidR="00BC04AA">
              <w:rPr>
                <w:sz w:val="24"/>
                <w:szCs w:val="24"/>
              </w:rPr>
              <w:t>,</w:t>
            </w:r>
            <w:r w:rsidRPr="00327DAE">
              <w:rPr>
                <w:sz w:val="24"/>
                <w:szCs w:val="24"/>
              </w:rPr>
              <w:t xml:space="preserve"> spriežot pēc citu tiesu nolēmumiem, to ir darījis ar negodprātīgiem paņēmieniem. Uz to bija vērsis tiesas uzmanību parādnieka nodrošinātais kreditors </w:t>
            </w:r>
            <w:r w:rsidR="00AC4D98">
              <w:rPr>
                <w:sz w:val="24"/>
                <w:szCs w:val="24"/>
              </w:rPr>
              <w:t>„</w:t>
            </w:r>
            <w:proofErr w:type="spellStart"/>
            <w:r w:rsidRPr="00327DAE">
              <w:rPr>
                <w:sz w:val="24"/>
                <w:szCs w:val="24"/>
              </w:rPr>
              <w:t>Norvik</w:t>
            </w:r>
            <w:proofErr w:type="spellEnd"/>
            <w:r w:rsidRPr="00327DAE">
              <w:rPr>
                <w:sz w:val="24"/>
                <w:szCs w:val="24"/>
              </w:rPr>
              <w:t xml:space="preserve"> Banka</w:t>
            </w:r>
            <w:r w:rsidR="00BC04AA">
              <w:rPr>
                <w:sz w:val="24"/>
                <w:szCs w:val="24"/>
              </w:rPr>
              <w:t>”</w:t>
            </w:r>
            <w:r w:rsidRPr="00327DAE">
              <w:rPr>
                <w:sz w:val="24"/>
                <w:szCs w:val="24"/>
              </w:rPr>
              <w:t>.</w:t>
            </w:r>
          </w:p>
          <w:p w14:paraId="59311B03" w14:textId="09E44F2C" w:rsidR="00413AC6" w:rsidRPr="00327DAE" w:rsidRDefault="00413AC6" w:rsidP="0025317F">
            <w:pPr>
              <w:spacing w:after="120"/>
              <w:rPr>
                <w:sz w:val="24"/>
                <w:szCs w:val="24"/>
              </w:rPr>
            </w:pPr>
            <w:r w:rsidRPr="00327DAE">
              <w:rPr>
                <w:sz w:val="24"/>
                <w:szCs w:val="24"/>
              </w:rPr>
              <w:t>Neskatoties uz to, ka TAP izmantotā fi</w:t>
            </w:r>
            <w:r w:rsidR="00AC4D98">
              <w:rPr>
                <w:sz w:val="24"/>
                <w:szCs w:val="24"/>
              </w:rPr>
              <w:t>ktīvā kreditora prasījums bija „</w:t>
            </w:r>
            <w:r w:rsidRPr="00327DAE">
              <w:rPr>
                <w:sz w:val="24"/>
                <w:szCs w:val="24"/>
              </w:rPr>
              <w:t>legalizēts” ar tiesas lēmumu par bezstrīdus izpildi, saprātīgam tiesību piemērotājam būtu vajadzējis pamanīt, ka tas ir izdarīts manipulatīvā veidā un lēmums par bezstrīdus piedziņu neapliecina, ka prasījuma pamatā ir reālas saistības.</w:t>
            </w:r>
          </w:p>
          <w:p w14:paraId="012EE2A9" w14:textId="77821D1D" w:rsidR="00413AC6" w:rsidRPr="00327DAE" w:rsidRDefault="00413AC6" w:rsidP="0025317F">
            <w:pPr>
              <w:spacing w:after="120"/>
              <w:rPr>
                <w:sz w:val="24"/>
                <w:szCs w:val="24"/>
              </w:rPr>
            </w:pPr>
            <w:r w:rsidRPr="00327DAE">
              <w:rPr>
                <w:sz w:val="24"/>
                <w:szCs w:val="24"/>
              </w:rPr>
              <w:t xml:space="preserve">Apstiprinot </w:t>
            </w:r>
            <w:r w:rsidR="00AC4D98">
              <w:rPr>
                <w:sz w:val="24"/>
                <w:szCs w:val="24"/>
              </w:rPr>
              <w:t>„</w:t>
            </w:r>
            <w:proofErr w:type="spellStart"/>
            <w:r w:rsidRPr="00327DAE">
              <w:rPr>
                <w:sz w:val="24"/>
                <w:szCs w:val="24"/>
              </w:rPr>
              <w:t>Winergy</w:t>
            </w:r>
            <w:proofErr w:type="spellEnd"/>
            <w:r w:rsidR="00BC04AA">
              <w:rPr>
                <w:sz w:val="24"/>
                <w:szCs w:val="24"/>
              </w:rPr>
              <w:t>”</w:t>
            </w:r>
            <w:r w:rsidRPr="00327DAE">
              <w:rPr>
                <w:sz w:val="24"/>
                <w:szCs w:val="24"/>
              </w:rPr>
              <w:t xml:space="preserve"> TAP plānu, tiesnesis </w:t>
            </w:r>
            <w:r w:rsidR="00A77BA8">
              <w:rPr>
                <w:sz w:val="24"/>
                <w:szCs w:val="24"/>
              </w:rPr>
              <w:t>I. </w:t>
            </w:r>
            <w:r w:rsidRPr="00327DAE">
              <w:rPr>
                <w:sz w:val="24"/>
                <w:szCs w:val="24"/>
              </w:rPr>
              <w:t>Dzenis ir vadījies pēc likuma burta, nevis likuma gara, veselā sap</w:t>
            </w:r>
            <w:r w:rsidR="0020329A" w:rsidRPr="00327DAE">
              <w:rPr>
                <w:sz w:val="24"/>
                <w:szCs w:val="24"/>
              </w:rPr>
              <w:t>rāta un taisnīguma apsvērumiem.</w:t>
            </w:r>
          </w:p>
        </w:tc>
      </w:tr>
      <w:tr w:rsidR="00315FEF" w:rsidRPr="00327DAE" w14:paraId="7C31237B" w14:textId="77777777" w:rsidTr="00E81010">
        <w:trPr>
          <w:trHeight w:val="301"/>
        </w:trPr>
        <w:tc>
          <w:tcPr>
            <w:tcW w:w="562" w:type="dxa"/>
            <w:vMerge w:val="restart"/>
          </w:tcPr>
          <w:p w14:paraId="5FC17F4B" w14:textId="54B61141" w:rsidR="00315FEF" w:rsidRPr="00327DAE" w:rsidRDefault="00315FEF" w:rsidP="0025317F">
            <w:pPr>
              <w:spacing w:after="120"/>
              <w:rPr>
                <w:b/>
                <w:sz w:val="24"/>
                <w:szCs w:val="24"/>
              </w:rPr>
            </w:pPr>
            <w:r w:rsidRPr="00327DAE">
              <w:rPr>
                <w:b/>
                <w:sz w:val="24"/>
                <w:szCs w:val="24"/>
              </w:rPr>
              <w:t>1</w:t>
            </w:r>
            <w:r w:rsidR="002763E6" w:rsidRPr="00327DAE">
              <w:rPr>
                <w:b/>
                <w:sz w:val="24"/>
                <w:szCs w:val="24"/>
              </w:rPr>
              <w:t>7</w:t>
            </w:r>
            <w:r w:rsidRPr="00327DAE">
              <w:rPr>
                <w:b/>
                <w:sz w:val="24"/>
                <w:szCs w:val="24"/>
              </w:rPr>
              <w:t>.</w:t>
            </w:r>
          </w:p>
        </w:tc>
        <w:tc>
          <w:tcPr>
            <w:tcW w:w="1560" w:type="dxa"/>
            <w:tcBorders>
              <w:bottom w:val="single" w:sz="4" w:space="0" w:color="auto"/>
            </w:tcBorders>
            <w:shd w:val="clear" w:color="auto" w:fill="auto"/>
            <w:noWrap/>
            <w:vAlign w:val="bottom"/>
          </w:tcPr>
          <w:p w14:paraId="1D3D45A0" w14:textId="77777777" w:rsidR="00315FEF" w:rsidRPr="00327DAE" w:rsidRDefault="00315FEF" w:rsidP="0025317F">
            <w:pPr>
              <w:spacing w:after="120"/>
              <w:rPr>
                <w:b/>
                <w:sz w:val="24"/>
                <w:szCs w:val="24"/>
              </w:rPr>
            </w:pPr>
            <w:r w:rsidRPr="00327DAE">
              <w:rPr>
                <w:b/>
                <w:sz w:val="24"/>
                <w:szCs w:val="24"/>
              </w:rPr>
              <w:t>C27150012</w:t>
            </w:r>
          </w:p>
          <w:p w14:paraId="52A4DBBF" w14:textId="77777777" w:rsidR="00315FEF" w:rsidRPr="00327DAE" w:rsidRDefault="00315FEF" w:rsidP="0025317F">
            <w:pPr>
              <w:spacing w:after="120"/>
              <w:rPr>
                <w:b/>
                <w:i/>
                <w:sz w:val="24"/>
                <w:szCs w:val="24"/>
              </w:rPr>
            </w:pPr>
            <w:r w:rsidRPr="00327DAE">
              <w:rPr>
                <w:b/>
                <w:sz w:val="24"/>
                <w:szCs w:val="24"/>
              </w:rPr>
              <w:t>SPC-27/2014</w:t>
            </w:r>
          </w:p>
        </w:tc>
        <w:tc>
          <w:tcPr>
            <w:tcW w:w="2409" w:type="dxa"/>
            <w:tcBorders>
              <w:bottom w:val="single" w:sz="4" w:space="0" w:color="auto"/>
            </w:tcBorders>
            <w:shd w:val="clear" w:color="auto" w:fill="auto"/>
            <w:vAlign w:val="bottom"/>
          </w:tcPr>
          <w:p w14:paraId="198F1950" w14:textId="6D45AC25" w:rsidR="00315FEF" w:rsidRPr="00327DAE" w:rsidRDefault="00315FEF" w:rsidP="0025317F">
            <w:pPr>
              <w:spacing w:after="120"/>
              <w:rPr>
                <w:b/>
                <w:i/>
                <w:sz w:val="24"/>
                <w:szCs w:val="24"/>
              </w:rPr>
            </w:pPr>
            <w:r w:rsidRPr="00327DAE">
              <w:rPr>
                <w:b/>
                <w:sz w:val="24"/>
                <w:szCs w:val="24"/>
              </w:rPr>
              <w:t>20.12.2013. spriedums</w:t>
            </w:r>
          </w:p>
        </w:tc>
        <w:tc>
          <w:tcPr>
            <w:tcW w:w="3828" w:type="dxa"/>
            <w:tcBorders>
              <w:bottom w:val="single" w:sz="4" w:space="0" w:color="auto"/>
            </w:tcBorders>
            <w:shd w:val="clear" w:color="auto" w:fill="auto"/>
            <w:vAlign w:val="bottom"/>
          </w:tcPr>
          <w:p w14:paraId="21CACD42" w14:textId="40CF7B24" w:rsidR="00315FEF" w:rsidRPr="00DA5069" w:rsidRDefault="00315FEF" w:rsidP="0025317F">
            <w:pPr>
              <w:pStyle w:val="Heading3"/>
            </w:pPr>
            <w:bookmarkStart w:id="31" w:name="_Toc522527506"/>
            <w:r w:rsidRPr="00DA5069">
              <w:t>SIA „Gvano”: ĀTAP pieteikums</w:t>
            </w:r>
            <w:bookmarkEnd w:id="31"/>
          </w:p>
        </w:tc>
      </w:tr>
      <w:tr w:rsidR="00E81010" w:rsidRPr="00327DAE" w14:paraId="6839D9A6" w14:textId="77777777" w:rsidTr="00DA5069">
        <w:trPr>
          <w:trHeight w:val="301"/>
        </w:trPr>
        <w:tc>
          <w:tcPr>
            <w:tcW w:w="562" w:type="dxa"/>
            <w:vMerge/>
          </w:tcPr>
          <w:p w14:paraId="48922D7B" w14:textId="77777777" w:rsidR="00E81010" w:rsidRPr="00327DAE" w:rsidRDefault="00E81010" w:rsidP="0025317F">
            <w:pPr>
              <w:spacing w:after="120"/>
              <w:rPr>
                <w:b/>
                <w:sz w:val="24"/>
                <w:szCs w:val="24"/>
              </w:rPr>
            </w:pPr>
          </w:p>
        </w:tc>
        <w:tc>
          <w:tcPr>
            <w:tcW w:w="1560" w:type="dxa"/>
            <w:tcBorders>
              <w:bottom w:val="single" w:sz="4" w:space="0" w:color="auto"/>
            </w:tcBorders>
            <w:shd w:val="clear" w:color="auto" w:fill="E7E6E6" w:themeFill="background2"/>
            <w:noWrap/>
            <w:vAlign w:val="center"/>
          </w:tcPr>
          <w:p w14:paraId="2AE7922A" w14:textId="05FEB054" w:rsidR="00E81010" w:rsidRPr="00D371C2" w:rsidRDefault="00E81010" w:rsidP="0025317F">
            <w:pPr>
              <w:spacing w:after="120"/>
              <w:rPr>
                <w:b/>
                <w:i/>
              </w:rPr>
            </w:pPr>
            <w:r w:rsidRPr="00D371C2">
              <w:rPr>
                <w:b/>
                <w:i/>
              </w:rPr>
              <w:t>Sadales datums</w:t>
            </w:r>
          </w:p>
        </w:tc>
        <w:tc>
          <w:tcPr>
            <w:tcW w:w="2409" w:type="dxa"/>
            <w:tcBorders>
              <w:bottom w:val="single" w:sz="4" w:space="0" w:color="auto"/>
            </w:tcBorders>
            <w:shd w:val="clear" w:color="auto" w:fill="E7E6E6" w:themeFill="background2"/>
            <w:vAlign w:val="center"/>
          </w:tcPr>
          <w:p w14:paraId="10DF1DDE" w14:textId="16BF3AE5" w:rsidR="00E81010" w:rsidRPr="00D371C2" w:rsidRDefault="00E81010" w:rsidP="0025317F">
            <w:pPr>
              <w:spacing w:after="120"/>
              <w:rPr>
                <w:b/>
                <w:i/>
              </w:rPr>
            </w:pPr>
            <w:r w:rsidRPr="00D371C2">
              <w:rPr>
                <w:b/>
                <w:i/>
              </w:rPr>
              <w:t>Tiesnesis pēc sadales</w:t>
            </w:r>
          </w:p>
        </w:tc>
        <w:tc>
          <w:tcPr>
            <w:tcW w:w="3828" w:type="dxa"/>
            <w:tcBorders>
              <w:bottom w:val="single" w:sz="4" w:space="0" w:color="auto"/>
            </w:tcBorders>
            <w:shd w:val="clear" w:color="auto" w:fill="E7E6E6" w:themeFill="background2"/>
            <w:vAlign w:val="bottom"/>
          </w:tcPr>
          <w:p w14:paraId="5A89817F" w14:textId="41431565" w:rsidR="00E81010" w:rsidRPr="00D371C2" w:rsidRDefault="00E81010" w:rsidP="0025317F">
            <w:pPr>
              <w:spacing w:after="120"/>
              <w:rPr>
                <w:b/>
                <w:i/>
              </w:rPr>
            </w:pPr>
            <w:r w:rsidRPr="00D371C2">
              <w:rPr>
                <w:b/>
                <w:i/>
              </w:rPr>
              <w:t>Lietu sadales veids/iemesls</w:t>
            </w:r>
          </w:p>
        </w:tc>
      </w:tr>
      <w:tr w:rsidR="00E81010" w:rsidRPr="00327DAE" w14:paraId="7B2301F4" w14:textId="77777777" w:rsidTr="00DA5069">
        <w:trPr>
          <w:trHeight w:val="301"/>
        </w:trPr>
        <w:tc>
          <w:tcPr>
            <w:tcW w:w="562" w:type="dxa"/>
            <w:vMerge/>
          </w:tcPr>
          <w:p w14:paraId="05249E3C" w14:textId="77777777" w:rsidR="00E81010" w:rsidRPr="00327DAE" w:rsidRDefault="00E81010" w:rsidP="0025317F">
            <w:pPr>
              <w:spacing w:after="120"/>
              <w:rPr>
                <w:b/>
                <w:sz w:val="24"/>
                <w:szCs w:val="24"/>
              </w:rPr>
            </w:pPr>
          </w:p>
        </w:tc>
        <w:tc>
          <w:tcPr>
            <w:tcW w:w="1560" w:type="dxa"/>
            <w:tcBorders>
              <w:bottom w:val="single" w:sz="4" w:space="0" w:color="auto"/>
            </w:tcBorders>
            <w:shd w:val="clear" w:color="auto" w:fill="E7E6E6" w:themeFill="background2"/>
            <w:noWrap/>
            <w:vAlign w:val="bottom"/>
          </w:tcPr>
          <w:p w14:paraId="68D70C2E" w14:textId="06E8DD67" w:rsidR="00E81010" w:rsidRPr="00D371C2" w:rsidRDefault="00E81010" w:rsidP="0025317F">
            <w:pPr>
              <w:spacing w:after="120"/>
              <w:rPr>
                <w:i/>
              </w:rPr>
            </w:pPr>
            <w:r w:rsidRPr="00D371C2">
              <w:rPr>
                <w:i/>
              </w:rPr>
              <w:t xml:space="preserve">13.03.2012 </w:t>
            </w:r>
          </w:p>
        </w:tc>
        <w:tc>
          <w:tcPr>
            <w:tcW w:w="2409" w:type="dxa"/>
            <w:tcBorders>
              <w:bottom w:val="single" w:sz="4" w:space="0" w:color="auto"/>
            </w:tcBorders>
            <w:shd w:val="clear" w:color="auto" w:fill="E7E6E6" w:themeFill="background2"/>
            <w:vAlign w:val="bottom"/>
          </w:tcPr>
          <w:p w14:paraId="1CFB3D3F" w14:textId="2E827868" w:rsidR="00E81010" w:rsidRPr="00D371C2" w:rsidRDefault="00E81010" w:rsidP="0025317F">
            <w:pPr>
              <w:spacing w:after="120"/>
              <w:rPr>
                <w:i/>
              </w:rPr>
            </w:pPr>
            <w:r w:rsidRPr="00D371C2">
              <w:rPr>
                <w:i/>
              </w:rPr>
              <w:t>Velga Gailīte</w:t>
            </w:r>
          </w:p>
        </w:tc>
        <w:tc>
          <w:tcPr>
            <w:tcW w:w="3828" w:type="dxa"/>
            <w:tcBorders>
              <w:bottom w:val="single" w:sz="4" w:space="0" w:color="auto"/>
            </w:tcBorders>
            <w:shd w:val="clear" w:color="auto" w:fill="E7E6E6" w:themeFill="background2"/>
            <w:vAlign w:val="bottom"/>
          </w:tcPr>
          <w:p w14:paraId="6D694904" w14:textId="7133BB4B" w:rsidR="00E81010" w:rsidRPr="00D371C2" w:rsidRDefault="00E81010" w:rsidP="00E81FE0">
            <w:pPr>
              <w:spacing w:after="120"/>
              <w:rPr>
                <w:i/>
              </w:rPr>
            </w:pPr>
            <w:r w:rsidRPr="00D371C2">
              <w:rPr>
                <w:i/>
              </w:rPr>
              <w:t>Manuāla lietu sadale – pārdale ar slodzes izlīdzināšanu</w:t>
            </w:r>
            <w:r w:rsidR="00E81FE0">
              <w:rPr>
                <w:i/>
              </w:rPr>
              <w:t>, mainīts lietas numurs</w:t>
            </w:r>
          </w:p>
        </w:tc>
      </w:tr>
      <w:tr w:rsidR="00E81FE0" w:rsidRPr="00327DAE" w14:paraId="5CB979F3" w14:textId="77777777" w:rsidTr="00DA5069">
        <w:trPr>
          <w:trHeight w:val="301"/>
        </w:trPr>
        <w:tc>
          <w:tcPr>
            <w:tcW w:w="562" w:type="dxa"/>
            <w:vMerge/>
          </w:tcPr>
          <w:p w14:paraId="67188009"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31F4B894" w14:textId="12FB4255" w:rsidR="00E81FE0" w:rsidRPr="00D371C2" w:rsidRDefault="00E81FE0" w:rsidP="00E81FE0">
            <w:pPr>
              <w:spacing w:after="120"/>
              <w:rPr>
                <w:i/>
              </w:rPr>
            </w:pPr>
            <w:r w:rsidRPr="009D11F9">
              <w:rPr>
                <w:i/>
              </w:rPr>
              <w:t xml:space="preserve">13.03.2012 </w:t>
            </w:r>
          </w:p>
        </w:tc>
        <w:tc>
          <w:tcPr>
            <w:tcW w:w="2409" w:type="dxa"/>
            <w:tcBorders>
              <w:bottom w:val="single" w:sz="4" w:space="0" w:color="auto"/>
            </w:tcBorders>
            <w:shd w:val="clear" w:color="auto" w:fill="E7E6E6" w:themeFill="background2"/>
            <w:vAlign w:val="bottom"/>
          </w:tcPr>
          <w:p w14:paraId="1459E168" w14:textId="4C2C6363" w:rsidR="00E81FE0" w:rsidRPr="00D371C2" w:rsidRDefault="00E81FE0" w:rsidP="00E81FE0">
            <w:pPr>
              <w:spacing w:after="120"/>
              <w:rPr>
                <w:i/>
              </w:rPr>
            </w:pPr>
            <w:r w:rsidRPr="009D11F9">
              <w:rPr>
                <w:i/>
              </w:rPr>
              <w:t>Velga Gailīte</w:t>
            </w:r>
          </w:p>
        </w:tc>
        <w:tc>
          <w:tcPr>
            <w:tcW w:w="3828" w:type="dxa"/>
            <w:tcBorders>
              <w:bottom w:val="single" w:sz="4" w:space="0" w:color="auto"/>
            </w:tcBorders>
            <w:shd w:val="clear" w:color="auto" w:fill="E7E6E6" w:themeFill="background2"/>
            <w:vAlign w:val="bottom"/>
          </w:tcPr>
          <w:p w14:paraId="57290BE0" w14:textId="5DEDA2C2" w:rsidR="00E81FE0" w:rsidRPr="00D371C2" w:rsidRDefault="00E81FE0" w:rsidP="00E81FE0">
            <w:pPr>
              <w:spacing w:after="120"/>
              <w:rPr>
                <w:i/>
              </w:rPr>
            </w:pPr>
            <w:r w:rsidRPr="009D11F9">
              <w:rPr>
                <w:i/>
              </w:rPr>
              <w:t>Datorizēta lietu sadale</w:t>
            </w:r>
          </w:p>
        </w:tc>
      </w:tr>
      <w:tr w:rsidR="00E81FE0" w:rsidRPr="00327DAE" w14:paraId="48B37CE0" w14:textId="77777777" w:rsidTr="00DA5069">
        <w:trPr>
          <w:trHeight w:val="301"/>
        </w:trPr>
        <w:tc>
          <w:tcPr>
            <w:tcW w:w="562" w:type="dxa"/>
            <w:vMerge/>
          </w:tcPr>
          <w:p w14:paraId="742AA5D8"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23293D9E" w14:textId="0089C57F" w:rsidR="00E81FE0" w:rsidRPr="00D371C2" w:rsidRDefault="00E81FE0" w:rsidP="00E81FE0">
            <w:pPr>
              <w:spacing w:after="120"/>
              <w:rPr>
                <w:i/>
              </w:rPr>
            </w:pPr>
            <w:r w:rsidRPr="009D11F9">
              <w:rPr>
                <w:i/>
              </w:rPr>
              <w:t>06.12.2013</w:t>
            </w:r>
          </w:p>
        </w:tc>
        <w:tc>
          <w:tcPr>
            <w:tcW w:w="2409" w:type="dxa"/>
            <w:tcBorders>
              <w:bottom w:val="single" w:sz="4" w:space="0" w:color="auto"/>
            </w:tcBorders>
            <w:shd w:val="clear" w:color="auto" w:fill="E7E6E6" w:themeFill="background2"/>
            <w:vAlign w:val="bottom"/>
          </w:tcPr>
          <w:p w14:paraId="002D8A7A" w14:textId="406A4485" w:rsidR="00E81FE0" w:rsidRPr="00D371C2" w:rsidRDefault="00E81FE0" w:rsidP="00E81FE0">
            <w:pPr>
              <w:spacing w:after="120"/>
              <w:rPr>
                <w:i/>
              </w:rPr>
            </w:pPr>
            <w:r w:rsidRPr="009D11F9">
              <w:rPr>
                <w:i/>
              </w:rPr>
              <w:t>Imants Dzenis</w:t>
            </w:r>
          </w:p>
        </w:tc>
        <w:tc>
          <w:tcPr>
            <w:tcW w:w="3828" w:type="dxa"/>
            <w:tcBorders>
              <w:bottom w:val="single" w:sz="4" w:space="0" w:color="auto"/>
            </w:tcBorders>
            <w:shd w:val="clear" w:color="auto" w:fill="E7E6E6" w:themeFill="background2"/>
            <w:vAlign w:val="bottom"/>
          </w:tcPr>
          <w:p w14:paraId="6E262702" w14:textId="47D382AD" w:rsidR="00E81FE0" w:rsidRPr="00D371C2" w:rsidRDefault="00E81FE0" w:rsidP="00E81FE0">
            <w:pPr>
              <w:spacing w:after="120"/>
              <w:rPr>
                <w:i/>
              </w:rPr>
            </w:pPr>
            <w:r w:rsidRPr="009D11F9">
              <w:rPr>
                <w:i/>
              </w:rPr>
              <w:t>Datorizēta lietu sadale</w:t>
            </w:r>
          </w:p>
        </w:tc>
      </w:tr>
      <w:tr w:rsidR="00E81FE0" w:rsidRPr="00327DAE" w14:paraId="61CE9322" w14:textId="77777777" w:rsidTr="00DA5069">
        <w:trPr>
          <w:trHeight w:val="301"/>
        </w:trPr>
        <w:tc>
          <w:tcPr>
            <w:tcW w:w="562" w:type="dxa"/>
            <w:vMerge/>
          </w:tcPr>
          <w:p w14:paraId="18C935D1"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7A225802" w14:textId="1848FC6B" w:rsidR="00E81FE0" w:rsidRPr="00D371C2" w:rsidRDefault="00E81FE0" w:rsidP="00E81FE0">
            <w:pPr>
              <w:spacing w:after="120"/>
              <w:rPr>
                <w:i/>
              </w:rPr>
            </w:pPr>
            <w:r w:rsidRPr="009D11F9">
              <w:rPr>
                <w:i/>
              </w:rPr>
              <w:t>26.11.2014</w:t>
            </w:r>
          </w:p>
        </w:tc>
        <w:tc>
          <w:tcPr>
            <w:tcW w:w="2409" w:type="dxa"/>
            <w:tcBorders>
              <w:bottom w:val="single" w:sz="4" w:space="0" w:color="auto"/>
            </w:tcBorders>
            <w:shd w:val="clear" w:color="auto" w:fill="E7E6E6" w:themeFill="background2"/>
            <w:vAlign w:val="bottom"/>
          </w:tcPr>
          <w:p w14:paraId="129730B4" w14:textId="77777777" w:rsidR="00E81FE0" w:rsidRPr="00D371C2" w:rsidRDefault="00E81FE0" w:rsidP="00E81FE0">
            <w:pPr>
              <w:spacing w:after="120"/>
              <w:rPr>
                <w:i/>
              </w:rPr>
            </w:pPr>
          </w:p>
        </w:tc>
        <w:tc>
          <w:tcPr>
            <w:tcW w:w="3828" w:type="dxa"/>
            <w:tcBorders>
              <w:bottom w:val="single" w:sz="4" w:space="0" w:color="auto"/>
            </w:tcBorders>
            <w:shd w:val="clear" w:color="auto" w:fill="E7E6E6" w:themeFill="background2"/>
            <w:vAlign w:val="bottom"/>
          </w:tcPr>
          <w:p w14:paraId="4D341320" w14:textId="430858FB" w:rsidR="00E81FE0" w:rsidRPr="00D371C2" w:rsidRDefault="00E81FE0" w:rsidP="00E81FE0">
            <w:pPr>
              <w:spacing w:after="120"/>
              <w:rPr>
                <w:i/>
              </w:rPr>
            </w:pPr>
            <w:r w:rsidRPr="009D11F9">
              <w:rPr>
                <w:i/>
              </w:rPr>
              <w:t>Lieta nodota datorizētai lietu sadalei</w:t>
            </w:r>
          </w:p>
        </w:tc>
      </w:tr>
      <w:tr w:rsidR="00E81FE0" w:rsidRPr="00327DAE" w14:paraId="5D8F61E9" w14:textId="77777777" w:rsidTr="00DA5069">
        <w:trPr>
          <w:trHeight w:val="301"/>
        </w:trPr>
        <w:tc>
          <w:tcPr>
            <w:tcW w:w="562" w:type="dxa"/>
            <w:vMerge/>
          </w:tcPr>
          <w:p w14:paraId="490FCD43"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7E42602D" w14:textId="324A734B" w:rsidR="00E81FE0" w:rsidRPr="00D371C2" w:rsidRDefault="00E81FE0" w:rsidP="00E81FE0">
            <w:pPr>
              <w:spacing w:after="120"/>
              <w:rPr>
                <w:i/>
              </w:rPr>
            </w:pPr>
            <w:r w:rsidRPr="009D11F9">
              <w:rPr>
                <w:i/>
              </w:rPr>
              <w:t>28.11.2014</w:t>
            </w:r>
          </w:p>
        </w:tc>
        <w:tc>
          <w:tcPr>
            <w:tcW w:w="2409" w:type="dxa"/>
            <w:tcBorders>
              <w:bottom w:val="single" w:sz="4" w:space="0" w:color="auto"/>
            </w:tcBorders>
            <w:shd w:val="clear" w:color="auto" w:fill="E7E6E6" w:themeFill="background2"/>
            <w:vAlign w:val="bottom"/>
          </w:tcPr>
          <w:p w14:paraId="53709136" w14:textId="6D35E37A" w:rsidR="00E81FE0" w:rsidRPr="00D371C2" w:rsidRDefault="00E81FE0" w:rsidP="00E81FE0">
            <w:pPr>
              <w:spacing w:after="120"/>
              <w:rPr>
                <w:i/>
              </w:rPr>
            </w:pPr>
            <w:r w:rsidRPr="009D11F9">
              <w:rPr>
                <w:i/>
              </w:rPr>
              <w:t xml:space="preserve">Rinalds </w:t>
            </w:r>
            <w:proofErr w:type="spellStart"/>
            <w:r w:rsidRPr="009D11F9">
              <w:rPr>
                <w:i/>
              </w:rPr>
              <w:t>Silakalns</w:t>
            </w:r>
            <w:proofErr w:type="spellEnd"/>
          </w:p>
        </w:tc>
        <w:tc>
          <w:tcPr>
            <w:tcW w:w="3828" w:type="dxa"/>
            <w:tcBorders>
              <w:bottom w:val="single" w:sz="4" w:space="0" w:color="auto"/>
            </w:tcBorders>
            <w:shd w:val="clear" w:color="auto" w:fill="E7E6E6" w:themeFill="background2"/>
            <w:vAlign w:val="bottom"/>
          </w:tcPr>
          <w:p w14:paraId="207FAFFE" w14:textId="4764BA5A" w:rsidR="00E81FE0" w:rsidRPr="00D371C2" w:rsidRDefault="00E81FE0" w:rsidP="00E81FE0">
            <w:pPr>
              <w:spacing w:after="120"/>
              <w:rPr>
                <w:i/>
              </w:rPr>
            </w:pPr>
            <w:r w:rsidRPr="009D11F9">
              <w:rPr>
                <w:i/>
              </w:rPr>
              <w:t>Datorizēta lietu sadale</w:t>
            </w:r>
          </w:p>
        </w:tc>
      </w:tr>
      <w:tr w:rsidR="00E81FE0" w:rsidRPr="00327DAE" w14:paraId="20A57BF2" w14:textId="77777777" w:rsidTr="00DA5069">
        <w:trPr>
          <w:trHeight w:val="301"/>
        </w:trPr>
        <w:tc>
          <w:tcPr>
            <w:tcW w:w="562" w:type="dxa"/>
            <w:vMerge/>
          </w:tcPr>
          <w:p w14:paraId="2C9694BE"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27D5075B" w14:textId="7E4DF26C" w:rsidR="00E81FE0" w:rsidRPr="00D371C2" w:rsidRDefault="00E81FE0" w:rsidP="00E81FE0">
            <w:pPr>
              <w:spacing w:after="120"/>
              <w:rPr>
                <w:i/>
              </w:rPr>
            </w:pPr>
            <w:r w:rsidRPr="009D11F9">
              <w:rPr>
                <w:i/>
              </w:rPr>
              <w:t>28.11.2014</w:t>
            </w:r>
          </w:p>
        </w:tc>
        <w:tc>
          <w:tcPr>
            <w:tcW w:w="2409" w:type="dxa"/>
            <w:tcBorders>
              <w:bottom w:val="single" w:sz="4" w:space="0" w:color="auto"/>
            </w:tcBorders>
            <w:shd w:val="clear" w:color="auto" w:fill="E7E6E6" w:themeFill="background2"/>
            <w:vAlign w:val="bottom"/>
          </w:tcPr>
          <w:p w14:paraId="3287E8BB" w14:textId="77777777" w:rsidR="00E81FE0" w:rsidRPr="00D371C2" w:rsidRDefault="00E81FE0" w:rsidP="00E81FE0">
            <w:pPr>
              <w:spacing w:after="120"/>
              <w:rPr>
                <w:i/>
              </w:rPr>
            </w:pPr>
          </w:p>
        </w:tc>
        <w:tc>
          <w:tcPr>
            <w:tcW w:w="3828" w:type="dxa"/>
            <w:tcBorders>
              <w:bottom w:val="single" w:sz="4" w:space="0" w:color="auto"/>
            </w:tcBorders>
            <w:shd w:val="clear" w:color="auto" w:fill="E7E6E6" w:themeFill="background2"/>
            <w:vAlign w:val="bottom"/>
          </w:tcPr>
          <w:p w14:paraId="22F80A07" w14:textId="0F5A1060" w:rsidR="00E81FE0" w:rsidRPr="00D371C2" w:rsidRDefault="00E81FE0" w:rsidP="00E81FE0">
            <w:pPr>
              <w:spacing w:after="120"/>
              <w:rPr>
                <w:i/>
              </w:rPr>
            </w:pPr>
            <w:r w:rsidRPr="009D11F9">
              <w:rPr>
                <w:i/>
              </w:rPr>
              <w:t>Lieta nodota datorizētai lietu sadalei</w:t>
            </w:r>
          </w:p>
        </w:tc>
      </w:tr>
      <w:tr w:rsidR="00E81FE0" w:rsidRPr="00327DAE" w14:paraId="79F06D46" w14:textId="77777777" w:rsidTr="00DA5069">
        <w:trPr>
          <w:trHeight w:val="301"/>
        </w:trPr>
        <w:tc>
          <w:tcPr>
            <w:tcW w:w="562" w:type="dxa"/>
            <w:vMerge/>
          </w:tcPr>
          <w:p w14:paraId="6F590E39"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468389C2" w14:textId="0D32DF29" w:rsidR="00E81FE0" w:rsidRPr="00D371C2" w:rsidRDefault="00E81FE0" w:rsidP="00E81FE0">
            <w:pPr>
              <w:spacing w:after="120"/>
              <w:rPr>
                <w:i/>
              </w:rPr>
            </w:pPr>
            <w:r w:rsidRPr="009D11F9">
              <w:rPr>
                <w:i/>
              </w:rPr>
              <w:t>05.12.2013</w:t>
            </w:r>
          </w:p>
        </w:tc>
        <w:tc>
          <w:tcPr>
            <w:tcW w:w="2409" w:type="dxa"/>
            <w:tcBorders>
              <w:bottom w:val="single" w:sz="4" w:space="0" w:color="auto"/>
            </w:tcBorders>
            <w:shd w:val="clear" w:color="auto" w:fill="E7E6E6" w:themeFill="background2"/>
            <w:vAlign w:val="bottom"/>
          </w:tcPr>
          <w:p w14:paraId="3F48A46E" w14:textId="73A7E8C8" w:rsidR="00E81FE0" w:rsidRPr="00D371C2" w:rsidRDefault="00E81FE0" w:rsidP="00E81FE0">
            <w:pPr>
              <w:spacing w:after="120"/>
              <w:rPr>
                <w:i/>
              </w:rPr>
            </w:pPr>
            <w:r w:rsidRPr="009D11F9">
              <w:rPr>
                <w:i/>
              </w:rPr>
              <w:t>Imants Dzenis</w:t>
            </w:r>
          </w:p>
        </w:tc>
        <w:tc>
          <w:tcPr>
            <w:tcW w:w="3828" w:type="dxa"/>
            <w:tcBorders>
              <w:bottom w:val="single" w:sz="4" w:space="0" w:color="auto"/>
            </w:tcBorders>
            <w:shd w:val="clear" w:color="auto" w:fill="E7E6E6" w:themeFill="background2"/>
            <w:vAlign w:val="bottom"/>
          </w:tcPr>
          <w:p w14:paraId="60D8D857" w14:textId="0B9A260A" w:rsidR="00E81FE0" w:rsidRPr="00D371C2" w:rsidRDefault="00E81FE0" w:rsidP="00E81FE0">
            <w:pPr>
              <w:spacing w:after="120"/>
              <w:rPr>
                <w:i/>
              </w:rPr>
            </w:pPr>
            <w:r w:rsidRPr="009D11F9">
              <w:rPr>
                <w:i/>
              </w:rPr>
              <w:t>Datorizēta lietu sadale</w:t>
            </w:r>
          </w:p>
        </w:tc>
      </w:tr>
      <w:tr w:rsidR="00E81FE0" w:rsidRPr="00327DAE" w14:paraId="3324C0EF" w14:textId="77777777" w:rsidTr="00DA5069">
        <w:trPr>
          <w:trHeight w:val="301"/>
        </w:trPr>
        <w:tc>
          <w:tcPr>
            <w:tcW w:w="562" w:type="dxa"/>
            <w:vMerge/>
          </w:tcPr>
          <w:p w14:paraId="737A924D"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404B8DBB" w14:textId="33B1F7F8" w:rsidR="00E81FE0" w:rsidRPr="00D371C2" w:rsidRDefault="00E81FE0" w:rsidP="00E81FE0">
            <w:pPr>
              <w:spacing w:after="120"/>
              <w:rPr>
                <w:i/>
              </w:rPr>
            </w:pPr>
            <w:r w:rsidRPr="009D11F9">
              <w:rPr>
                <w:i/>
              </w:rPr>
              <w:t>01.12.2014</w:t>
            </w:r>
          </w:p>
        </w:tc>
        <w:tc>
          <w:tcPr>
            <w:tcW w:w="2409" w:type="dxa"/>
            <w:tcBorders>
              <w:bottom w:val="single" w:sz="4" w:space="0" w:color="auto"/>
            </w:tcBorders>
            <w:shd w:val="clear" w:color="auto" w:fill="E7E6E6" w:themeFill="background2"/>
            <w:vAlign w:val="bottom"/>
          </w:tcPr>
          <w:p w14:paraId="2D891F38" w14:textId="4D82B09F" w:rsidR="00E81FE0" w:rsidRPr="00D371C2" w:rsidRDefault="00E81FE0" w:rsidP="00E81FE0">
            <w:pPr>
              <w:spacing w:after="120"/>
              <w:rPr>
                <w:i/>
              </w:rPr>
            </w:pPr>
            <w:r w:rsidRPr="009D11F9">
              <w:rPr>
                <w:i/>
              </w:rPr>
              <w:t>Andis Celms</w:t>
            </w:r>
          </w:p>
        </w:tc>
        <w:tc>
          <w:tcPr>
            <w:tcW w:w="3828" w:type="dxa"/>
            <w:tcBorders>
              <w:bottom w:val="single" w:sz="4" w:space="0" w:color="auto"/>
            </w:tcBorders>
            <w:shd w:val="clear" w:color="auto" w:fill="E7E6E6" w:themeFill="background2"/>
            <w:vAlign w:val="bottom"/>
          </w:tcPr>
          <w:p w14:paraId="007F6A7C" w14:textId="29BEA133" w:rsidR="00E81FE0" w:rsidRPr="00D371C2" w:rsidRDefault="00E81FE0" w:rsidP="00E81FE0">
            <w:pPr>
              <w:spacing w:after="120"/>
              <w:rPr>
                <w:i/>
              </w:rPr>
            </w:pPr>
            <w:r w:rsidRPr="009D11F9">
              <w:rPr>
                <w:i/>
              </w:rPr>
              <w:t>Manuāla lietu sadale – automātiska sadale</w:t>
            </w:r>
          </w:p>
        </w:tc>
      </w:tr>
      <w:tr w:rsidR="00E81FE0" w:rsidRPr="00327DAE" w14:paraId="46CDD390" w14:textId="77777777" w:rsidTr="00DA5069">
        <w:trPr>
          <w:trHeight w:val="301"/>
        </w:trPr>
        <w:tc>
          <w:tcPr>
            <w:tcW w:w="562" w:type="dxa"/>
            <w:vMerge/>
          </w:tcPr>
          <w:p w14:paraId="429B5A6E" w14:textId="77777777"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14:paraId="5CE8FF42" w14:textId="113AE86A" w:rsidR="00E81FE0" w:rsidRPr="00D371C2" w:rsidRDefault="00E81FE0" w:rsidP="00E81FE0">
            <w:pPr>
              <w:spacing w:after="120"/>
              <w:rPr>
                <w:i/>
              </w:rPr>
            </w:pPr>
            <w:r w:rsidRPr="009D11F9">
              <w:rPr>
                <w:i/>
              </w:rPr>
              <w:t>01.12.2014</w:t>
            </w:r>
          </w:p>
        </w:tc>
        <w:tc>
          <w:tcPr>
            <w:tcW w:w="2409" w:type="dxa"/>
            <w:tcBorders>
              <w:bottom w:val="single" w:sz="4" w:space="0" w:color="auto"/>
            </w:tcBorders>
            <w:shd w:val="clear" w:color="auto" w:fill="E7E6E6" w:themeFill="background2"/>
            <w:vAlign w:val="bottom"/>
          </w:tcPr>
          <w:p w14:paraId="719563E3" w14:textId="1BF2D78B" w:rsidR="00E81FE0" w:rsidRPr="00D371C2" w:rsidRDefault="00E81FE0" w:rsidP="00E81FE0">
            <w:pPr>
              <w:spacing w:after="120"/>
              <w:rPr>
                <w:i/>
              </w:rPr>
            </w:pPr>
            <w:r w:rsidRPr="009D11F9">
              <w:rPr>
                <w:i/>
              </w:rPr>
              <w:t>Andis Celms</w:t>
            </w:r>
          </w:p>
        </w:tc>
        <w:tc>
          <w:tcPr>
            <w:tcW w:w="3828" w:type="dxa"/>
            <w:tcBorders>
              <w:bottom w:val="single" w:sz="4" w:space="0" w:color="auto"/>
            </w:tcBorders>
            <w:shd w:val="clear" w:color="auto" w:fill="E7E6E6" w:themeFill="background2"/>
            <w:vAlign w:val="bottom"/>
          </w:tcPr>
          <w:p w14:paraId="0B25DE4C" w14:textId="4E43A957" w:rsidR="00E81FE0" w:rsidRPr="00D371C2" w:rsidRDefault="00E81FE0" w:rsidP="00E81FE0">
            <w:pPr>
              <w:spacing w:after="120"/>
              <w:rPr>
                <w:i/>
              </w:rPr>
            </w:pPr>
            <w:r w:rsidRPr="009D11F9">
              <w:rPr>
                <w:i/>
              </w:rPr>
              <w:t>Datorizēta lietu sadale</w:t>
            </w:r>
          </w:p>
        </w:tc>
      </w:tr>
      <w:tr w:rsidR="00315FEF" w:rsidRPr="00327DAE" w14:paraId="5F47FE06" w14:textId="77777777" w:rsidTr="00E81010">
        <w:trPr>
          <w:trHeight w:val="301"/>
        </w:trPr>
        <w:tc>
          <w:tcPr>
            <w:tcW w:w="562" w:type="dxa"/>
            <w:vMerge/>
          </w:tcPr>
          <w:p w14:paraId="042B22F8" w14:textId="77777777"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14:paraId="7597E563" w14:textId="411C6A44" w:rsidR="0064377B" w:rsidRPr="00327DAE" w:rsidRDefault="00315FEF" w:rsidP="0025317F">
            <w:pPr>
              <w:autoSpaceDE w:val="0"/>
              <w:autoSpaceDN w:val="0"/>
              <w:spacing w:after="120"/>
              <w:rPr>
                <w:sz w:val="24"/>
                <w:szCs w:val="24"/>
              </w:rPr>
            </w:pPr>
            <w:r w:rsidRPr="00327DAE">
              <w:rPr>
                <w:sz w:val="24"/>
                <w:szCs w:val="24"/>
              </w:rPr>
              <w:t>Šīs lietas kontekstā skatāmi arī tiesneses V. </w:t>
            </w:r>
            <w:r w:rsidRPr="006F6917">
              <w:rPr>
                <w:sz w:val="24"/>
                <w:szCs w:val="24"/>
              </w:rPr>
              <w:t>Gailītes</w:t>
            </w:r>
            <w:r w:rsidR="005B370B" w:rsidRPr="006F6917">
              <w:rPr>
                <w:sz w:val="24"/>
                <w:szCs w:val="24"/>
              </w:rPr>
              <w:t xml:space="preserve"> </w:t>
            </w:r>
            <w:r w:rsidR="006F6917" w:rsidRPr="006F6917">
              <w:rPr>
                <w:sz w:val="24"/>
                <w:szCs w:val="24"/>
              </w:rPr>
              <w:t>l</w:t>
            </w:r>
            <w:r w:rsidR="00974B71" w:rsidRPr="00327DAE">
              <w:rPr>
                <w:sz w:val="24"/>
                <w:szCs w:val="24"/>
              </w:rPr>
              <w:t xml:space="preserve">ēmumi </w:t>
            </w:r>
            <w:r w:rsidRPr="00327DAE">
              <w:rPr>
                <w:sz w:val="24"/>
                <w:szCs w:val="24"/>
              </w:rPr>
              <w:t xml:space="preserve">SIA „Gvano” ĀTAP pieteikuma lietā un tiesneša R. Bula nolēmumi SIA „Tērbatas biznesa centrs” un SIA „Arts </w:t>
            </w:r>
            <w:proofErr w:type="spellStart"/>
            <w:r w:rsidRPr="00327DAE">
              <w:rPr>
                <w:sz w:val="24"/>
                <w:szCs w:val="24"/>
              </w:rPr>
              <w:t>Plaza</w:t>
            </w:r>
            <w:proofErr w:type="spellEnd"/>
            <w:r w:rsidRPr="00327DAE">
              <w:rPr>
                <w:sz w:val="24"/>
                <w:szCs w:val="24"/>
              </w:rPr>
              <w:t>” ĀTAP</w:t>
            </w:r>
            <w:r w:rsidR="0020329A" w:rsidRPr="00327DAE">
              <w:rPr>
                <w:sz w:val="24"/>
                <w:szCs w:val="24"/>
              </w:rPr>
              <w:t xml:space="preserve"> lietās.</w:t>
            </w:r>
          </w:p>
        </w:tc>
      </w:tr>
      <w:tr w:rsidR="00315FEF" w:rsidRPr="00327DAE" w14:paraId="03CC8AD0" w14:textId="77777777" w:rsidTr="00E81010">
        <w:trPr>
          <w:trHeight w:val="301"/>
        </w:trPr>
        <w:tc>
          <w:tcPr>
            <w:tcW w:w="562" w:type="dxa"/>
            <w:vMerge/>
          </w:tcPr>
          <w:p w14:paraId="6AC05477" w14:textId="77777777"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14:paraId="48F06B93" w14:textId="77777777" w:rsidR="00315FEF" w:rsidRPr="00327DAE" w:rsidRDefault="00315FEF" w:rsidP="0025317F">
            <w:pPr>
              <w:spacing w:after="120"/>
              <w:rPr>
                <w:i/>
                <w:sz w:val="24"/>
                <w:szCs w:val="24"/>
              </w:rPr>
            </w:pPr>
            <w:r w:rsidRPr="00327DAE">
              <w:rPr>
                <w:i/>
                <w:sz w:val="24"/>
                <w:szCs w:val="24"/>
              </w:rPr>
              <w:t>Augstākās tiesas nolēmumā norādītie pārkāpumi</w:t>
            </w:r>
          </w:p>
          <w:p w14:paraId="3B24B0A1" w14:textId="666D57A6" w:rsidR="00315FEF" w:rsidRPr="00327DAE" w:rsidRDefault="00315FEF" w:rsidP="0025317F">
            <w:pPr>
              <w:autoSpaceDE w:val="0"/>
              <w:autoSpaceDN w:val="0"/>
              <w:spacing w:after="120"/>
              <w:rPr>
                <w:sz w:val="24"/>
                <w:szCs w:val="24"/>
              </w:rPr>
            </w:pPr>
            <w:r w:rsidRPr="00327DAE">
              <w:rPr>
                <w:sz w:val="24"/>
                <w:szCs w:val="24"/>
              </w:rPr>
              <w:t xml:space="preserve">Izskatāmās lietas efektīva un taisnīga izspriešana nav iespējama, aplūkojot ķīlas parādnieka SIA „Gvano” ĀTAP tiesību jautājumus atrauti no galveno parādnieku (SIA „Tērbatas biznesa centrs” un SIA „Arts </w:t>
            </w:r>
            <w:proofErr w:type="spellStart"/>
            <w:r w:rsidRPr="00327DAE">
              <w:rPr>
                <w:sz w:val="24"/>
                <w:szCs w:val="24"/>
              </w:rPr>
              <w:t>Plaza</w:t>
            </w:r>
            <w:proofErr w:type="spellEnd"/>
            <w:r w:rsidRPr="00327DAE">
              <w:rPr>
                <w:sz w:val="24"/>
                <w:szCs w:val="24"/>
              </w:rPr>
              <w:t>”) ĀTAP tiesību jautājumiem, jo vairāk tādēļ, ka ķīlas tiesība ir tikai blakus tiesība attiecībā pret prasījumiem pret galvenajiem parādniekiem.</w:t>
            </w:r>
          </w:p>
          <w:p w14:paraId="6F755862" w14:textId="149DC699" w:rsidR="00315FEF" w:rsidRPr="00327DAE" w:rsidRDefault="00315FEF" w:rsidP="0025317F">
            <w:pPr>
              <w:autoSpaceDE w:val="0"/>
              <w:autoSpaceDN w:val="0"/>
              <w:spacing w:after="120"/>
              <w:rPr>
                <w:sz w:val="24"/>
                <w:szCs w:val="24"/>
              </w:rPr>
            </w:pPr>
            <w:r w:rsidRPr="00327DAE">
              <w:rPr>
                <w:sz w:val="24"/>
                <w:szCs w:val="24"/>
              </w:rPr>
              <w:t>Pat gadījumā, ja galveno parādnieku ĀTAP plāna neapstrīdēšanas dēļ AS „</w:t>
            </w:r>
            <w:proofErr w:type="spellStart"/>
            <w:r w:rsidRPr="00327DAE">
              <w:rPr>
                <w:sz w:val="24"/>
                <w:szCs w:val="24"/>
              </w:rPr>
              <w:t>Swedbank</w:t>
            </w:r>
            <w:proofErr w:type="spellEnd"/>
            <w:r w:rsidRPr="00327DAE">
              <w:rPr>
                <w:sz w:val="24"/>
                <w:szCs w:val="24"/>
              </w:rPr>
              <w:t>” prasījumi pret galvenajiem parādniekiem ir samazinājušies par 75 un 80 %, šis samazinājums neietekmē AS „</w:t>
            </w:r>
            <w:proofErr w:type="spellStart"/>
            <w:r w:rsidRPr="00327DAE">
              <w:rPr>
                <w:sz w:val="24"/>
                <w:szCs w:val="24"/>
              </w:rPr>
              <w:t>Swedbank</w:t>
            </w:r>
            <w:proofErr w:type="spellEnd"/>
            <w:r w:rsidRPr="00327DAE">
              <w:rPr>
                <w:sz w:val="24"/>
                <w:szCs w:val="24"/>
              </w:rPr>
              <w:t xml:space="preserve">” tiesības dabūt no </w:t>
            </w:r>
            <w:r w:rsidRPr="00327DAE">
              <w:rPr>
                <w:sz w:val="24"/>
                <w:szCs w:val="24"/>
              </w:rPr>
              <w:lastRenderedPageBreak/>
              <w:t xml:space="preserve">ieķīlātās lietas samaksu pilnā prasījuma </w:t>
            </w:r>
            <w:r w:rsidRPr="006F6917">
              <w:rPr>
                <w:sz w:val="24"/>
                <w:szCs w:val="24"/>
              </w:rPr>
              <w:t>apmērā. Līdz ar to pirmās instances tiesai nebija pamata apstiprināt tādu ĀTAP plānu</w:t>
            </w:r>
            <w:r w:rsidR="000D000F" w:rsidRPr="006F6917">
              <w:rPr>
                <w:sz w:val="24"/>
                <w:szCs w:val="24"/>
              </w:rPr>
              <w:t>, kurā</w:t>
            </w:r>
            <w:r w:rsidRPr="006F6917">
              <w:rPr>
                <w:sz w:val="24"/>
                <w:szCs w:val="24"/>
              </w:rPr>
              <w:t xml:space="preserve"> nav atspoguļotas</w:t>
            </w:r>
            <w:r w:rsidRPr="00327DAE">
              <w:rPr>
                <w:sz w:val="24"/>
                <w:szCs w:val="24"/>
              </w:rPr>
              <w:t xml:space="preserve"> SIA „Gvano” </w:t>
            </w:r>
            <w:r w:rsidR="00AC4D98">
              <w:rPr>
                <w:sz w:val="24"/>
                <w:szCs w:val="24"/>
              </w:rPr>
              <w:t>saistības pret ķīlas devēju AS „</w:t>
            </w:r>
            <w:proofErr w:type="spellStart"/>
            <w:r w:rsidRPr="00327DAE">
              <w:rPr>
                <w:sz w:val="24"/>
                <w:szCs w:val="24"/>
              </w:rPr>
              <w:t>Swedbank</w:t>
            </w:r>
            <w:proofErr w:type="spellEnd"/>
            <w:r w:rsidRPr="00327DAE">
              <w:rPr>
                <w:sz w:val="24"/>
                <w:szCs w:val="24"/>
              </w:rPr>
              <w:t>” tādā apmērā, kāds bija bankas prasījums pret galvenajiem parādniekiem pirms šo galveno parādni</w:t>
            </w:r>
            <w:r w:rsidR="0020329A" w:rsidRPr="00327DAE">
              <w:rPr>
                <w:sz w:val="24"/>
                <w:szCs w:val="24"/>
              </w:rPr>
              <w:t>eku ĀTAP plānu apstiprināšanas.</w:t>
            </w:r>
          </w:p>
        </w:tc>
      </w:tr>
      <w:tr w:rsidR="00315FEF" w:rsidRPr="00327DAE" w14:paraId="48700078" w14:textId="77777777" w:rsidTr="00E81010">
        <w:trPr>
          <w:trHeight w:val="301"/>
        </w:trPr>
        <w:tc>
          <w:tcPr>
            <w:tcW w:w="562" w:type="dxa"/>
            <w:vMerge/>
            <w:tcBorders>
              <w:bottom w:val="single" w:sz="4" w:space="0" w:color="auto"/>
            </w:tcBorders>
          </w:tcPr>
          <w:p w14:paraId="67E91E25" w14:textId="77777777"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14:paraId="753655D8" w14:textId="77777777" w:rsidR="00315FEF" w:rsidRPr="00327DAE" w:rsidRDefault="00315FEF" w:rsidP="0025317F">
            <w:pPr>
              <w:spacing w:after="120"/>
              <w:rPr>
                <w:i/>
                <w:sz w:val="24"/>
                <w:szCs w:val="24"/>
              </w:rPr>
            </w:pPr>
            <w:r w:rsidRPr="00327DAE">
              <w:rPr>
                <w:i/>
                <w:sz w:val="24"/>
                <w:szCs w:val="24"/>
              </w:rPr>
              <w:t>Ekspertu secinājumi</w:t>
            </w:r>
          </w:p>
          <w:p w14:paraId="428A2310" w14:textId="19009867" w:rsidR="00315FEF" w:rsidRPr="00327DAE" w:rsidRDefault="00315FEF" w:rsidP="0025317F">
            <w:pPr>
              <w:spacing w:after="120"/>
              <w:rPr>
                <w:sz w:val="24"/>
                <w:szCs w:val="24"/>
              </w:rPr>
            </w:pPr>
            <w:r w:rsidRPr="00327DAE">
              <w:rPr>
                <w:sz w:val="24"/>
                <w:szCs w:val="24"/>
              </w:rPr>
              <w:t>Tiesneša lēmums pieņemts, ņemot vērā tobrīd spēkā esošo praksi, kas paredzēja, ka ķīlas ņēmējs atbild vienīgi par spēkā esošu prasījumu un vienīgi šā prasījuma apmērā (Nr. SPC</w:t>
            </w:r>
            <w:r w:rsidRPr="00327DAE">
              <w:rPr>
                <w:sz w:val="24"/>
                <w:szCs w:val="24"/>
              </w:rPr>
              <w:noBreakHyphen/>
              <w:t xml:space="preserve">22/2013, kas taisīts saistītā lietā - SIA „Arts </w:t>
            </w:r>
            <w:proofErr w:type="spellStart"/>
            <w:r w:rsidRPr="00327DAE">
              <w:rPr>
                <w:sz w:val="24"/>
                <w:szCs w:val="24"/>
              </w:rPr>
              <w:t>Plaza</w:t>
            </w:r>
            <w:proofErr w:type="spellEnd"/>
            <w:r w:rsidRPr="00327DAE">
              <w:rPr>
                <w:sz w:val="24"/>
                <w:szCs w:val="24"/>
              </w:rPr>
              <w:t>” ĀTAP lietā). Augstākās tiesas spriedums paplašinātā sastāvā (9 tiesneši) šajā lietā mainīja judikatūru šajā jautājumā, tādējādi tiesnesim nevarētu pārmest kļūdu.</w:t>
            </w:r>
          </w:p>
        </w:tc>
      </w:tr>
      <w:tr w:rsidR="00413AC6" w:rsidRPr="00327DAE" w14:paraId="04A81361" w14:textId="77777777" w:rsidTr="00E81010">
        <w:trPr>
          <w:trHeight w:val="301"/>
        </w:trPr>
        <w:tc>
          <w:tcPr>
            <w:tcW w:w="562" w:type="dxa"/>
            <w:vMerge w:val="restart"/>
          </w:tcPr>
          <w:p w14:paraId="0BCEC567" w14:textId="77777777" w:rsidR="00413AC6" w:rsidRPr="00327DAE" w:rsidRDefault="00413AC6" w:rsidP="0025317F">
            <w:pPr>
              <w:spacing w:after="120"/>
              <w:rPr>
                <w:sz w:val="24"/>
                <w:szCs w:val="24"/>
              </w:rPr>
            </w:pPr>
          </w:p>
        </w:tc>
        <w:tc>
          <w:tcPr>
            <w:tcW w:w="7797" w:type="dxa"/>
            <w:gridSpan w:val="3"/>
            <w:shd w:val="clear" w:color="auto" w:fill="auto"/>
            <w:noWrap/>
            <w:vAlign w:val="bottom"/>
          </w:tcPr>
          <w:p w14:paraId="133FC238" w14:textId="45E2A4A8" w:rsidR="00413AC6" w:rsidRPr="00327DAE" w:rsidRDefault="00413AC6" w:rsidP="0025317F">
            <w:pPr>
              <w:spacing w:after="120"/>
              <w:rPr>
                <w:i/>
                <w:sz w:val="24"/>
                <w:szCs w:val="24"/>
              </w:rPr>
            </w:pPr>
            <w:r w:rsidRPr="00E27399">
              <w:rPr>
                <w:i/>
                <w:sz w:val="24"/>
                <w:szCs w:val="24"/>
              </w:rPr>
              <w:t>Apkopojoši ekspertu secinājumi par tiesneša I</w:t>
            </w:r>
            <w:r w:rsidR="00922310">
              <w:rPr>
                <w:i/>
                <w:sz w:val="24"/>
                <w:szCs w:val="24"/>
              </w:rPr>
              <w:t>. </w:t>
            </w:r>
            <w:r w:rsidRPr="00E27399">
              <w:rPr>
                <w:i/>
                <w:sz w:val="24"/>
                <w:szCs w:val="24"/>
              </w:rPr>
              <w:t>Dzeņa nolēmumiem:</w:t>
            </w:r>
          </w:p>
          <w:p w14:paraId="08C18F6E" w14:textId="1B8FD160" w:rsidR="0073320A" w:rsidRPr="00E27399" w:rsidRDefault="0073320A" w:rsidP="009B7210">
            <w:pPr>
              <w:spacing w:after="120"/>
              <w:rPr>
                <w:sz w:val="24"/>
                <w:szCs w:val="24"/>
              </w:rPr>
            </w:pPr>
            <w:r w:rsidRPr="00E27399">
              <w:rPr>
                <w:sz w:val="24"/>
                <w:szCs w:val="24"/>
              </w:rPr>
              <w:t xml:space="preserve">Tiesnesis </w:t>
            </w:r>
            <w:r w:rsidR="00A77BA8">
              <w:rPr>
                <w:sz w:val="24"/>
                <w:szCs w:val="24"/>
              </w:rPr>
              <w:t>I. </w:t>
            </w:r>
            <w:r w:rsidRPr="00E27399">
              <w:rPr>
                <w:sz w:val="24"/>
                <w:szCs w:val="24"/>
              </w:rPr>
              <w:t>Dzenis 2008.</w:t>
            </w:r>
            <w:r w:rsidR="007A2D7F">
              <w:rPr>
                <w:sz w:val="24"/>
                <w:szCs w:val="24"/>
              </w:rPr>
              <w:t>–</w:t>
            </w:r>
            <w:proofErr w:type="gramStart"/>
            <w:r w:rsidRPr="00E27399">
              <w:rPr>
                <w:sz w:val="24"/>
                <w:szCs w:val="24"/>
              </w:rPr>
              <w:t>2014.gad</w:t>
            </w:r>
            <w:r w:rsidR="007A2D7F">
              <w:rPr>
                <w:sz w:val="24"/>
                <w:szCs w:val="24"/>
              </w:rPr>
              <w:t>ā</w:t>
            </w:r>
            <w:proofErr w:type="gramEnd"/>
            <w:r w:rsidRPr="00E27399">
              <w:rPr>
                <w:sz w:val="24"/>
                <w:szCs w:val="24"/>
              </w:rPr>
              <w:t xml:space="preserve"> </w:t>
            </w:r>
            <w:r w:rsidR="009B7210">
              <w:rPr>
                <w:sz w:val="24"/>
                <w:szCs w:val="24"/>
              </w:rPr>
              <w:t>izskatījis 2115</w:t>
            </w:r>
            <w:r w:rsidR="009B7210" w:rsidRPr="008A7DC2">
              <w:rPr>
                <w:sz w:val="24"/>
                <w:szCs w:val="24"/>
              </w:rPr>
              <w:t xml:space="preserve"> lietas, no tām </w:t>
            </w:r>
            <w:r w:rsidR="009B7210">
              <w:rPr>
                <w:sz w:val="24"/>
                <w:szCs w:val="24"/>
              </w:rPr>
              <w:t>780</w:t>
            </w:r>
            <w:r w:rsidR="009B7210" w:rsidRPr="008A7DC2">
              <w:rPr>
                <w:sz w:val="24"/>
                <w:szCs w:val="24"/>
              </w:rPr>
              <w:t xml:space="preserve"> civillietas. TIS šajā laika posmā civillietās pievienoti </w:t>
            </w:r>
            <w:r w:rsidR="009B7210">
              <w:rPr>
                <w:sz w:val="24"/>
                <w:szCs w:val="24"/>
              </w:rPr>
              <w:t xml:space="preserve">2115 </w:t>
            </w:r>
            <w:r w:rsidR="009B7210" w:rsidRPr="008A7DC2">
              <w:rPr>
                <w:sz w:val="24"/>
                <w:szCs w:val="24"/>
              </w:rPr>
              <w:t xml:space="preserve">nolēmumi. Kasācijas instancē saņemti protesti par </w:t>
            </w:r>
            <w:r w:rsidR="009B7210">
              <w:rPr>
                <w:sz w:val="24"/>
                <w:szCs w:val="24"/>
              </w:rPr>
              <w:t>19</w:t>
            </w:r>
            <w:r w:rsidR="009B7210" w:rsidRPr="008A7DC2">
              <w:rPr>
                <w:sz w:val="24"/>
                <w:szCs w:val="24"/>
              </w:rPr>
              <w:t xml:space="preserve"> nolēmumiem</w:t>
            </w:r>
            <w:r w:rsidR="009B7210">
              <w:rPr>
                <w:sz w:val="24"/>
                <w:szCs w:val="24"/>
              </w:rPr>
              <w:t>, no kuriem nolēmums atcelts vai grozīts 14 lietās</w:t>
            </w:r>
            <w:r w:rsidR="009B7210" w:rsidRPr="008A7DC2">
              <w:rPr>
                <w:sz w:val="24"/>
                <w:szCs w:val="24"/>
              </w:rPr>
              <w:t>.</w:t>
            </w:r>
            <w:r w:rsidR="004905EB" w:rsidRPr="00E27399">
              <w:rPr>
                <w:sz w:val="24"/>
                <w:szCs w:val="24"/>
              </w:rPr>
              <w:t xml:space="preserve"> Eksperti konstatēja, ka tiesnesis vienā lietā pieļāvis nopietnu kļūdu (kreditoru sniegto ziņu neizvērtēšana), vienā lietā </w:t>
            </w:r>
            <w:r w:rsidR="007A2D7F">
              <w:rPr>
                <w:sz w:val="24"/>
                <w:szCs w:val="24"/>
              </w:rPr>
              <w:t xml:space="preserve">– </w:t>
            </w:r>
            <w:r w:rsidR="004905EB" w:rsidRPr="00E27399">
              <w:rPr>
                <w:sz w:val="24"/>
                <w:szCs w:val="24"/>
              </w:rPr>
              <w:t>mazāk nopietnu kļūdu.</w:t>
            </w:r>
          </w:p>
        </w:tc>
      </w:tr>
      <w:tr w:rsidR="00413AC6" w:rsidRPr="00327DAE" w14:paraId="2F23F790" w14:textId="77777777" w:rsidTr="00E81010">
        <w:trPr>
          <w:trHeight w:val="301"/>
        </w:trPr>
        <w:tc>
          <w:tcPr>
            <w:tcW w:w="562" w:type="dxa"/>
            <w:vMerge/>
            <w:tcBorders>
              <w:bottom w:val="single" w:sz="4" w:space="0" w:color="auto"/>
            </w:tcBorders>
          </w:tcPr>
          <w:p w14:paraId="507C46FD" w14:textId="77777777"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165C60FE" w14:textId="1D1C05CB" w:rsidR="00413AC6" w:rsidRPr="00327DAE" w:rsidRDefault="00413AC6" w:rsidP="0025317F">
            <w:pPr>
              <w:spacing w:after="120"/>
              <w:rPr>
                <w:i/>
                <w:sz w:val="24"/>
                <w:szCs w:val="24"/>
              </w:rPr>
            </w:pPr>
            <w:r w:rsidRPr="00327DAE">
              <w:rPr>
                <w:i/>
                <w:sz w:val="24"/>
                <w:szCs w:val="24"/>
              </w:rPr>
              <w:t xml:space="preserve">H. Jaujas </w:t>
            </w:r>
            <w:r w:rsidR="001F01BD" w:rsidRPr="00327DAE">
              <w:rPr>
                <w:i/>
                <w:sz w:val="24"/>
                <w:szCs w:val="24"/>
              </w:rPr>
              <w:t>atsevišķie</w:t>
            </w:r>
            <w:r w:rsidRPr="00327DAE">
              <w:rPr>
                <w:i/>
                <w:sz w:val="24"/>
                <w:szCs w:val="24"/>
              </w:rPr>
              <w:t xml:space="preserve"> secinājumi</w:t>
            </w:r>
          </w:p>
          <w:p w14:paraId="4ABC26A9" w14:textId="5D88F1EF" w:rsidR="00413AC6" w:rsidRPr="00327DAE" w:rsidRDefault="00413AC6" w:rsidP="0025317F">
            <w:pPr>
              <w:spacing w:after="120"/>
              <w:rPr>
                <w:sz w:val="24"/>
                <w:szCs w:val="24"/>
              </w:rPr>
            </w:pPr>
            <w:r w:rsidRPr="00327DAE">
              <w:rPr>
                <w:sz w:val="24"/>
                <w:szCs w:val="24"/>
              </w:rPr>
              <w:t>Tika analizēti tikai daži no tiesneša Dzeņa nolēmumiem, tāpēc informācijas apjoms bija pārāk neliels, lai pārliecinoši varētu a</w:t>
            </w:r>
            <w:r w:rsidR="00A6328A">
              <w:rPr>
                <w:sz w:val="24"/>
                <w:szCs w:val="24"/>
              </w:rPr>
              <w:t>pstiprināt vai noliegt žurnāla „</w:t>
            </w:r>
            <w:r w:rsidRPr="00327DAE">
              <w:rPr>
                <w:sz w:val="24"/>
                <w:szCs w:val="24"/>
              </w:rPr>
              <w:t>IR” mājienu/jautājumu</w:t>
            </w:r>
            <w:r w:rsidR="007A2D7F">
              <w:rPr>
                <w:sz w:val="24"/>
                <w:szCs w:val="24"/>
              </w:rPr>
              <w:t>,</w:t>
            </w:r>
            <w:r w:rsidRPr="00327DAE">
              <w:rPr>
                <w:sz w:val="24"/>
                <w:szCs w:val="24"/>
              </w:rPr>
              <w:t xml:space="preserve"> vai gadījumā tiesnesis </w:t>
            </w:r>
            <w:r w:rsidR="00A77BA8">
              <w:rPr>
                <w:sz w:val="24"/>
                <w:szCs w:val="24"/>
              </w:rPr>
              <w:t>I. </w:t>
            </w:r>
            <w:r w:rsidRPr="00327DAE">
              <w:rPr>
                <w:sz w:val="24"/>
                <w:szCs w:val="24"/>
              </w:rPr>
              <w:t xml:space="preserve">Dzenis nav bijis iesaistīts maksātnespējas shēmu piesegšanā. Analizētie nolēmumi un apstākļu kopums nedod pārliecinošu pamatu uzskatīt, ka tas tā būtu bijis, taču arī neatspēko šādu uzskatu. Katrā ziņā apstāklis, ka tiesnesis ir pieņēmis pieteicējam pozitīvu nolēmumu situācijā, kad visas pazīmes liecina par </w:t>
            </w:r>
            <w:r w:rsidR="001F01BD" w:rsidRPr="00327DAE">
              <w:rPr>
                <w:sz w:val="24"/>
                <w:szCs w:val="24"/>
              </w:rPr>
              <w:t>maksātnespējas</w:t>
            </w:r>
            <w:r w:rsidRPr="00327DAE">
              <w:rPr>
                <w:sz w:val="24"/>
                <w:szCs w:val="24"/>
              </w:rPr>
              <w:t xml:space="preserve"> ļaunprātīgu izmantošanu, ir saprotams pamats sabiedrībai šaubīties par tiesneša kompetenci un godaprātu. Īpa</w:t>
            </w:r>
            <w:r w:rsidR="00D17CD2">
              <w:rPr>
                <w:sz w:val="24"/>
                <w:szCs w:val="24"/>
              </w:rPr>
              <w:t>ši jāizceļ tiesneša lēmums SIA „</w:t>
            </w:r>
            <w:proofErr w:type="spellStart"/>
            <w:r w:rsidRPr="00327DAE">
              <w:rPr>
                <w:sz w:val="24"/>
                <w:szCs w:val="24"/>
              </w:rPr>
              <w:t>Winergy</w:t>
            </w:r>
            <w:proofErr w:type="spellEnd"/>
            <w:r w:rsidRPr="00327DAE">
              <w:rPr>
                <w:sz w:val="24"/>
                <w:szCs w:val="24"/>
              </w:rPr>
              <w:t>” TAP apstiprināšanā. Iespējams, ka būtu pārdroši prasīt, lai pirmās instances tiesas tiesnesi</w:t>
            </w:r>
            <w:r w:rsidR="007A2D7F">
              <w:rPr>
                <w:sz w:val="24"/>
                <w:szCs w:val="24"/>
              </w:rPr>
              <w:t>s</w:t>
            </w:r>
            <w:r w:rsidRPr="00327DAE">
              <w:rPr>
                <w:sz w:val="24"/>
                <w:szCs w:val="24"/>
              </w:rPr>
              <w:t xml:space="preserve"> veiktu AT C</w:t>
            </w:r>
            <w:r w:rsidR="001F01BD" w:rsidRPr="00327DAE">
              <w:rPr>
                <w:sz w:val="24"/>
                <w:szCs w:val="24"/>
              </w:rPr>
              <w:t>L</w:t>
            </w:r>
            <w:r w:rsidRPr="00327DAE">
              <w:rPr>
                <w:sz w:val="24"/>
                <w:szCs w:val="24"/>
              </w:rPr>
              <w:t xml:space="preserve">D līmeņa tiesību interpretāciju un atteiktos </w:t>
            </w:r>
            <w:r w:rsidR="001F01BD" w:rsidRPr="00327DAE">
              <w:rPr>
                <w:sz w:val="24"/>
                <w:szCs w:val="24"/>
              </w:rPr>
              <w:t>apstiprināt</w:t>
            </w:r>
            <w:r w:rsidRPr="00327DAE">
              <w:rPr>
                <w:sz w:val="24"/>
                <w:szCs w:val="24"/>
              </w:rPr>
              <w:t xml:space="preserve"> TAP, kurā ar bezs</w:t>
            </w:r>
            <w:r w:rsidR="00D17CD2">
              <w:rPr>
                <w:sz w:val="24"/>
                <w:szCs w:val="24"/>
              </w:rPr>
              <w:t>trīdus piedziņas lēmumu</w:t>
            </w:r>
            <w:r w:rsidR="007A2D7F" w:rsidRPr="00327DAE">
              <w:rPr>
                <w:sz w:val="24"/>
                <w:szCs w:val="24"/>
              </w:rPr>
              <w:t xml:space="preserve"> tiek </w:t>
            </w:r>
            <w:r w:rsidR="00D17CD2">
              <w:rPr>
                <w:sz w:val="24"/>
                <w:szCs w:val="24"/>
              </w:rPr>
              <w:t>„</w:t>
            </w:r>
            <w:r w:rsidRPr="00327DAE">
              <w:rPr>
                <w:sz w:val="24"/>
                <w:szCs w:val="24"/>
              </w:rPr>
              <w:t xml:space="preserve">legalizēts” fiktīvs kreditors, tomēr juridiski likums šādu lēmumu pieļāva. Diemžēl tiesnesis izvēlējās iet formālo ceļu un apstiprināt TAP situācijā, kas acīmredzami liecināja par parādnieka </w:t>
            </w:r>
            <w:proofErr w:type="spellStart"/>
            <w:r w:rsidR="001F01BD" w:rsidRPr="00327DAE">
              <w:rPr>
                <w:sz w:val="24"/>
                <w:szCs w:val="24"/>
              </w:rPr>
              <w:t>negodprātību</w:t>
            </w:r>
            <w:proofErr w:type="spellEnd"/>
            <w:r w:rsidRPr="00327DAE">
              <w:rPr>
                <w:sz w:val="24"/>
                <w:szCs w:val="24"/>
              </w:rPr>
              <w:t xml:space="preserve">. Tas kā minimums liecina, ka tiesnesim </w:t>
            </w:r>
            <w:r w:rsidR="00A77BA8">
              <w:rPr>
                <w:sz w:val="24"/>
                <w:szCs w:val="24"/>
              </w:rPr>
              <w:t>I. </w:t>
            </w:r>
            <w:r w:rsidRPr="00327DAE">
              <w:rPr>
                <w:sz w:val="24"/>
                <w:szCs w:val="24"/>
              </w:rPr>
              <w:t>Dzenim ir tendence šādās situācijās nevis meklēt juridisku risinājumu, lai nepieļautu tiesību ļaunprātīgu izmantošanu, bet gan iet formālu li</w:t>
            </w:r>
            <w:r w:rsidR="0020329A" w:rsidRPr="00327DAE">
              <w:rPr>
                <w:sz w:val="24"/>
                <w:szCs w:val="24"/>
              </w:rPr>
              <w:t>kuma burta piemērošanas ceļu.</w:t>
            </w:r>
          </w:p>
        </w:tc>
      </w:tr>
    </w:tbl>
    <w:p w14:paraId="04EB0E17" w14:textId="4A404243" w:rsidR="00DE37BC" w:rsidRPr="00327DAE" w:rsidRDefault="00DE37BC" w:rsidP="0025317F">
      <w:pPr>
        <w:spacing w:after="120"/>
        <w:rPr>
          <w:sz w:val="24"/>
          <w:szCs w:val="24"/>
        </w:rPr>
      </w:pPr>
    </w:p>
    <w:p w14:paraId="247BFEE0" w14:textId="1E3AF243" w:rsidR="00917C22" w:rsidRPr="00E27399" w:rsidRDefault="00917C22" w:rsidP="0025317F">
      <w:pPr>
        <w:pStyle w:val="Heading2"/>
        <w:rPr>
          <w:rFonts w:cs="Times New Roman"/>
          <w:szCs w:val="24"/>
          <w:u w:val="none"/>
        </w:rPr>
      </w:pPr>
      <w:bookmarkStart w:id="32" w:name="_Toc522527507"/>
      <w:r w:rsidRPr="00E27399">
        <w:rPr>
          <w:rFonts w:cs="Times New Roman"/>
          <w:szCs w:val="24"/>
          <w:u w:val="none"/>
        </w:rPr>
        <w:t xml:space="preserve">Tiesnese Valija </w:t>
      </w:r>
      <w:proofErr w:type="spellStart"/>
      <w:r w:rsidRPr="00E27399">
        <w:rPr>
          <w:rFonts w:cs="Times New Roman"/>
          <w:szCs w:val="24"/>
          <w:u w:val="none"/>
        </w:rPr>
        <w:t>Grebežniece</w:t>
      </w:r>
      <w:bookmarkEnd w:id="32"/>
      <w:proofErr w:type="spellEnd"/>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268"/>
        <w:gridCol w:w="3828"/>
      </w:tblGrid>
      <w:tr w:rsidR="00413AC6" w:rsidRPr="00327DAE" w14:paraId="279C55B5" w14:textId="77777777" w:rsidTr="00917C22">
        <w:trPr>
          <w:trHeight w:val="301"/>
        </w:trPr>
        <w:tc>
          <w:tcPr>
            <w:tcW w:w="562" w:type="dxa"/>
            <w:vMerge w:val="restart"/>
          </w:tcPr>
          <w:p w14:paraId="2CF61EBC" w14:textId="5374BCEA" w:rsidR="00413AC6" w:rsidRPr="00327DAE" w:rsidRDefault="00413AC6" w:rsidP="0025317F">
            <w:pPr>
              <w:spacing w:after="120"/>
              <w:rPr>
                <w:b/>
                <w:sz w:val="24"/>
                <w:szCs w:val="24"/>
              </w:rPr>
            </w:pPr>
            <w:r w:rsidRPr="00327DAE">
              <w:rPr>
                <w:b/>
                <w:sz w:val="24"/>
                <w:szCs w:val="24"/>
              </w:rPr>
              <w:t>18.</w:t>
            </w:r>
          </w:p>
          <w:p w14:paraId="7905EB15" w14:textId="77777777" w:rsidR="00413AC6" w:rsidRPr="00327DAE" w:rsidRDefault="00413AC6" w:rsidP="0025317F">
            <w:pPr>
              <w:spacing w:after="120"/>
              <w:rPr>
                <w:b/>
                <w:sz w:val="24"/>
                <w:szCs w:val="24"/>
              </w:rPr>
            </w:pPr>
          </w:p>
        </w:tc>
        <w:tc>
          <w:tcPr>
            <w:tcW w:w="1701" w:type="dxa"/>
            <w:shd w:val="clear" w:color="auto" w:fill="auto"/>
            <w:noWrap/>
            <w:vAlign w:val="bottom"/>
          </w:tcPr>
          <w:p w14:paraId="73188E32" w14:textId="77777777" w:rsidR="00413AC6" w:rsidRPr="00327DAE" w:rsidRDefault="00413AC6" w:rsidP="0025317F">
            <w:pPr>
              <w:spacing w:after="120"/>
              <w:rPr>
                <w:b/>
                <w:sz w:val="24"/>
                <w:szCs w:val="24"/>
              </w:rPr>
            </w:pPr>
            <w:r w:rsidRPr="00327DAE">
              <w:rPr>
                <w:b/>
                <w:sz w:val="24"/>
                <w:szCs w:val="24"/>
              </w:rPr>
              <w:t>C35072510</w:t>
            </w:r>
            <w:r w:rsidRPr="00327DAE">
              <w:rPr>
                <w:rStyle w:val="FootnoteReference"/>
                <w:b/>
                <w:sz w:val="24"/>
                <w:szCs w:val="24"/>
              </w:rPr>
              <w:footnoteReference w:id="22"/>
            </w:r>
          </w:p>
          <w:p w14:paraId="101400E3" w14:textId="0E94F779" w:rsidR="00413AC6" w:rsidRPr="00327DAE" w:rsidRDefault="00413AC6" w:rsidP="0025317F">
            <w:pPr>
              <w:spacing w:after="120"/>
              <w:rPr>
                <w:b/>
                <w:sz w:val="24"/>
                <w:szCs w:val="24"/>
                <w:u w:val="single"/>
              </w:rPr>
            </w:pPr>
            <w:r w:rsidRPr="00327DAE">
              <w:rPr>
                <w:b/>
                <w:sz w:val="24"/>
                <w:szCs w:val="24"/>
              </w:rPr>
              <w:t xml:space="preserve">SPC2/2011 (25.05.2011. </w:t>
            </w:r>
            <w:r w:rsidRPr="00327DAE">
              <w:rPr>
                <w:b/>
                <w:sz w:val="24"/>
                <w:szCs w:val="24"/>
              </w:rPr>
              <w:lastRenderedPageBreak/>
              <w:t>un 8.06.2011.)</w:t>
            </w:r>
          </w:p>
        </w:tc>
        <w:tc>
          <w:tcPr>
            <w:tcW w:w="2268" w:type="dxa"/>
            <w:shd w:val="clear" w:color="auto" w:fill="auto"/>
            <w:vAlign w:val="bottom"/>
          </w:tcPr>
          <w:p w14:paraId="6A72CD85" w14:textId="77777777" w:rsidR="00413AC6" w:rsidRPr="00327DAE" w:rsidRDefault="00413AC6" w:rsidP="0025317F">
            <w:pPr>
              <w:spacing w:after="120"/>
              <w:rPr>
                <w:b/>
                <w:sz w:val="24"/>
                <w:szCs w:val="24"/>
              </w:rPr>
            </w:pPr>
            <w:r w:rsidRPr="00327DAE">
              <w:rPr>
                <w:b/>
                <w:sz w:val="24"/>
                <w:szCs w:val="24"/>
              </w:rPr>
              <w:lastRenderedPageBreak/>
              <w:t>14.05.2010. lēmums par ĀTAP</w:t>
            </w:r>
          </w:p>
          <w:p w14:paraId="514344FA" w14:textId="77777777" w:rsidR="00413AC6" w:rsidRPr="00327DAE" w:rsidRDefault="00413AC6" w:rsidP="0025317F">
            <w:pPr>
              <w:spacing w:after="120"/>
              <w:rPr>
                <w:b/>
                <w:sz w:val="24"/>
                <w:szCs w:val="24"/>
              </w:rPr>
            </w:pPr>
            <w:r w:rsidRPr="00327DAE">
              <w:rPr>
                <w:b/>
                <w:sz w:val="24"/>
                <w:szCs w:val="24"/>
              </w:rPr>
              <w:t xml:space="preserve">27.10.2010. lēmums par maksātnespējas </w:t>
            </w:r>
            <w:r w:rsidRPr="00327DAE">
              <w:rPr>
                <w:b/>
                <w:sz w:val="24"/>
                <w:szCs w:val="24"/>
              </w:rPr>
              <w:lastRenderedPageBreak/>
              <w:t>pasludināšanu</w:t>
            </w:r>
          </w:p>
        </w:tc>
        <w:tc>
          <w:tcPr>
            <w:tcW w:w="3828" w:type="dxa"/>
            <w:shd w:val="clear" w:color="auto" w:fill="auto"/>
            <w:vAlign w:val="bottom"/>
          </w:tcPr>
          <w:p w14:paraId="1CBA069C" w14:textId="77777777" w:rsidR="00413AC6" w:rsidRPr="00DA5069" w:rsidRDefault="00413AC6" w:rsidP="0025317F">
            <w:pPr>
              <w:pStyle w:val="Heading3"/>
            </w:pPr>
            <w:bookmarkStart w:id="33" w:name="_Toc522527508"/>
            <w:r w:rsidRPr="00DA5069">
              <w:lastRenderedPageBreak/>
              <w:t>SIA „Jurta”: administratora pieteikums par ĀTAP izbeigšanu un maksātnespējas procesa pasludināšanu</w:t>
            </w:r>
            <w:bookmarkEnd w:id="33"/>
          </w:p>
        </w:tc>
      </w:tr>
      <w:tr w:rsidR="00413AC6" w:rsidRPr="00327DAE" w14:paraId="53C18A12" w14:textId="77777777" w:rsidTr="00DA5069">
        <w:trPr>
          <w:trHeight w:val="301"/>
        </w:trPr>
        <w:tc>
          <w:tcPr>
            <w:tcW w:w="562" w:type="dxa"/>
            <w:vMerge/>
          </w:tcPr>
          <w:p w14:paraId="31FD2865" w14:textId="77777777" w:rsidR="00413AC6" w:rsidRPr="00327DAE" w:rsidRDefault="00413AC6"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600D51F" w14:textId="168EE85C" w:rsidR="00413AC6" w:rsidRPr="00DA5069" w:rsidRDefault="00413AC6"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14:paraId="034FE9DA" w14:textId="66C35041" w:rsidR="00413AC6" w:rsidRPr="00DA5069" w:rsidRDefault="00413AC6"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38FCC294" w14:textId="32E32F85" w:rsidR="00413AC6" w:rsidRPr="00DA5069" w:rsidRDefault="00413AC6" w:rsidP="0025317F">
            <w:pPr>
              <w:spacing w:after="120"/>
              <w:rPr>
                <w:b/>
                <w:i/>
              </w:rPr>
            </w:pPr>
            <w:r w:rsidRPr="00DA5069">
              <w:rPr>
                <w:b/>
                <w:bCs/>
                <w:i/>
                <w:color w:val="000000"/>
              </w:rPr>
              <w:t>Lietu sadales veids/iemesls</w:t>
            </w:r>
          </w:p>
        </w:tc>
      </w:tr>
      <w:tr w:rsidR="00413AC6" w:rsidRPr="00327DAE" w14:paraId="157CE715" w14:textId="77777777" w:rsidTr="00DA5069">
        <w:trPr>
          <w:trHeight w:val="301"/>
        </w:trPr>
        <w:tc>
          <w:tcPr>
            <w:tcW w:w="562" w:type="dxa"/>
            <w:vMerge/>
          </w:tcPr>
          <w:p w14:paraId="6A2C4DED" w14:textId="77777777" w:rsidR="00413AC6" w:rsidRPr="00327DAE" w:rsidRDefault="00413AC6"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239F86F" w14:textId="7E9B7C21" w:rsidR="00413AC6" w:rsidRPr="00DA5069" w:rsidRDefault="00413AC6" w:rsidP="0025317F">
            <w:pPr>
              <w:spacing w:after="120"/>
              <w:rPr>
                <w:i/>
              </w:rPr>
            </w:pPr>
            <w:r w:rsidRPr="00DA5069">
              <w:rPr>
                <w:i/>
                <w:color w:val="000000"/>
              </w:rPr>
              <w:t>13.05.2010</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14:paraId="63F46E55" w14:textId="2DF5E9E3" w:rsidR="00413AC6" w:rsidRPr="00DA5069" w:rsidRDefault="00413AC6" w:rsidP="0025317F">
            <w:pPr>
              <w:spacing w:after="120"/>
              <w:rPr>
                <w:i/>
              </w:rPr>
            </w:pPr>
            <w:r w:rsidRPr="00DA5069">
              <w:rPr>
                <w:i/>
                <w:color w:val="000000"/>
              </w:rPr>
              <w:t xml:space="preserve">Valija </w:t>
            </w:r>
            <w:proofErr w:type="spellStart"/>
            <w:r w:rsidRPr="00DA5069">
              <w:rPr>
                <w:i/>
                <w:color w:val="000000"/>
              </w:rPr>
              <w:t>Grebežniece</w:t>
            </w:r>
            <w:proofErr w:type="spellEnd"/>
          </w:p>
        </w:tc>
        <w:tc>
          <w:tcPr>
            <w:tcW w:w="3828" w:type="dxa"/>
            <w:tcBorders>
              <w:top w:val="single" w:sz="4" w:space="0" w:color="auto"/>
              <w:left w:val="nil"/>
              <w:bottom w:val="single" w:sz="4" w:space="0" w:color="auto"/>
              <w:right w:val="single" w:sz="4" w:space="0" w:color="auto"/>
            </w:tcBorders>
            <w:shd w:val="clear" w:color="auto" w:fill="E7E6E6" w:themeFill="background2"/>
          </w:tcPr>
          <w:p w14:paraId="74FC7E0E" w14:textId="4E1A7285" w:rsidR="00413AC6" w:rsidRPr="00DA5069" w:rsidRDefault="00413AC6" w:rsidP="0025317F">
            <w:pPr>
              <w:spacing w:after="120"/>
              <w:rPr>
                <w:i/>
              </w:rPr>
            </w:pPr>
            <w:r w:rsidRPr="00DA5069">
              <w:rPr>
                <w:i/>
                <w:color w:val="000000"/>
              </w:rPr>
              <w:t>Tiesneša nozīmēšana - manuāli</w:t>
            </w:r>
          </w:p>
        </w:tc>
      </w:tr>
      <w:tr w:rsidR="00413AC6" w:rsidRPr="00327DAE" w14:paraId="02298154" w14:textId="77777777" w:rsidTr="00B40DAA">
        <w:trPr>
          <w:trHeight w:val="301"/>
        </w:trPr>
        <w:tc>
          <w:tcPr>
            <w:tcW w:w="562" w:type="dxa"/>
            <w:vMerge/>
          </w:tcPr>
          <w:p w14:paraId="3390BBB9" w14:textId="77777777" w:rsidR="00413AC6" w:rsidRPr="00327DAE" w:rsidRDefault="00413AC6" w:rsidP="0025317F">
            <w:pPr>
              <w:spacing w:after="120"/>
              <w:rPr>
                <w:sz w:val="24"/>
                <w:szCs w:val="24"/>
              </w:rPr>
            </w:pPr>
          </w:p>
        </w:tc>
        <w:tc>
          <w:tcPr>
            <w:tcW w:w="7797" w:type="dxa"/>
            <w:gridSpan w:val="3"/>
            <w:shd w:val="clear" w:color="auto" w:fill="auto"/>
            <w:noWrap/>
            <w:vAlign w:val="bottom"/>
          </w:tcPr>
          <w:p w14:paraId="067E84C4" w14:textId="32CACE30" w:rsidR="00413AC6" w:rsidRPr="00327DAE" w:rsidRDefault="00413AC6" w:rsidP="0025317F">
            <w:pPr>
              <w:spacing w:after="120"/>
              <w:rPr>
                <w:i/>
                <w:sz w:val="24"/>
                <w:szCs w:val="24"/>
              </w:rPr>
            </w:pPr>
            <w:r w:rsidRPr="00327DAE">
              <w:rPr>
                <w:i/>
                <w:sz w:val="24"/>
                <w:szCs w:val="24"/>
              </w:rPr>
              <w:t>Augstākās tiesas norādītais pamats lēmumu atcelšanai</w:t>
            </w:r>
          </w:p>
          <w:p w14:paraId="7F3F2D07" w14:textId="6DC5E12B" w:rsidR="00413AC6" w:rsidRPr="00E27399" w:rsidRDefault="00413AC6" w:rsidP="0025317F">
            <w:pPr>
              <w:spacing w:after="120"/>
              <w:rPr>
                <w:sz w:val="24"/>
                <w:szCs w:val="24"/>
              </w:rPr>
            </w:pPr>
            <w:r w:rsidRPr="00327DAE">
              <w:rPr>
                <w:sz w:val="24"/>
                <w:szCs w:val="24"/>
              </w:rPr>
              <w:t xml:space="preserve">8.06.2011. lēmumā Augstākā tiesa konstatē, ka tiesnese nepamatoti atļāvusi ĀTAP plānā </w:t>
            </w:r>
            <w:r w:rsidRPr="00E27399">
              <w:rPr>
                <w:sz w:val="24"/>
                <w:szCs w:val="24"/>
              </w:rPr>
              <w:t xml:space="preserve">neiekļaut nodrošinātā kreditora prasījumu, jo ar šo kreditoru norit tiesvedība citā lietā, kas varētu ļaut izmantot ieskaitu. Šāda iespēja neatbilda likumam, </w:t>
            </w:r>
            <w:r w:rsidR="00E27399">
              <w:rPr>
                <w:sz w:val="24"/>
                <w:szCs w:val="24"/>
              </w:rPr>
              <w:t>turklāt</w:t>
            </w:r>
            <w:r w:rsidRPr="00E27399">
              <w:rPr>
                <w:sz w:val="24"/>
                <w:szCs w:val="24"/>
              </w:rPr>
              <w:t xml:space="preserve"> ĀTAP plāns arī paredz nodrošinātā kreditora prasījuma neproporcionālu samazinājumu. Tikai maksājumu grafikā nodrošinātā kreditora neiekļaušana nodrošināja Maksātnespējas likuma nosacījumu izpi</w:t>
            </w:r>
            <w:r w:rsidR="00536A07" w:rsidRPr="00E27399">
              <w:rPr>
                <w:sz w:val="24"/>
                <w:szCs w:val="24"/>
              </w:rPr>
              <w:t>ldi par pozitīvu naudas plūsmu.</w:t>
            </w:r>
          </w:p>
          <w:p w14:paraId="21BA4659" w14:textId="3955671B" w:rsidR="00413AC6" w:rsidRPr="00327DAE" w:rsidRDefault="00413AC6" w:rsidP="0025317F">
            <w:pPr>
              <w:spacing w:after="120"/>
              <w:rPr>
                <w:sz w:val="24"/>
                <w:szCs w:val="24"/>
              </w:rPr>
            </w:pPr>
            <w:r w:rsidRPr="00327DAE">
              <w:rPr>
                <w:sz w:val="24"/>
                <w:szCs w:val="24"/>
              </w:rPr>
              <w:t xml:space="preserve">25.05.2011. lēmums </w:t>
            </w:r>
            <w:r w:rsidR="007A2D7F">
              <w:rPr>
                <w:sz w:val="24"/>
                <w:szCs w:val="24"/>
              </w:rPr>
              <w:t>–</w:t>
            </w:r>
            <w:r w:rsidRPr="00327DAE">
              <w:rPr>
                <w:sz w:val="24"/>
                <w:szCs w:val="24"/>
              </w:rPr>
              <w:t xml:space="preserve"> tā kā Augstāk</w:t>
            </w:r>
            <w:r w:rsidR="007A2D7F">
              <w:rPr>
                <w:sz w:val="24"/>
                <w:szCs w:val="24"/>
              </w:rPr>
              <w:t>aj</w:t>
            </w:r>
            <w:r w:rsidRPr="00327DAE">
              <w:rPr>
                <w:sz w:val="24"/>
                <w:szCs w:val="24"/>
              </w:rPr>
              <w:t>ā ties</w:t>
            </w:r>
            <w:r w:rsidR="007A2D7F">
              <w:rPr>
                <w:sz w:val="24"/>
                <w:szCs w:val="24"/>
              </w:rPr>
              <w:t>ā</w:t>
            </w:r>
            <w:r w:rsidRPr="00327DAE">
              <w:rPr>
                <w:sz w:val="24"/>
                <w:szCs w:val="24"/>
              </w:rPr>
              <w:t xml:space="preserve"> jau bija apstrīdēta lēmuma par ĀTAP pasludināšanu likumība, tiesai bija jāņem vērā, ka protesta apmierināšanas gadījumā maksātnespējas pasludināšana nev</w:t>
            </w:r>
            <w:r w:rsidR="00536A07" w:rsidRPr="00327DAE">
              <w:rPr>
                <w:sz w:val="24"/>
                <w:szCs w:val="24"/>
              </w:rPr>
              <w:t>arētu tikt atzīta par tiesisku.</w:t>
            </w:r>
          </w:p>
        </w:tc>
      </w:tr>
      <w:tr w:rsidR="00413AC6" w:rsidRPr="00327DAE" w14:paraId="6AD03001" w14:textId="77777777" w:rsidTr="00B40DAA">
        <w:trPr>
          <w:trHeight w:val="301"/>
        </w:trPr>
        <w:tc>
          <w:tcPr>
            <w:tcW w:w="562" w:type="dxa"/>
            <w:vMerge/>
          </w:tcPr>
          <w:p w14:paraId="0D532173" w14:textId="77777777" w:rsidR="00413AC6" w:rsidRPr="00327DAE" w:rsidRDefault="00413AC6" w:rsidP="0025317F">
            <w:pPr>
              <w:spacing w:after="120"/>
              <w:rPr>
                <w:sz w:val="24"/>
                <w:szCs w:val="24"/>
              </w:rPr>
            </w:pPr>
          </w:p>
        </w:tc>
        <w:tc>
          <w:tcPr>
            <w:tcW w:w="7797" w:type="dxa"/>
            <w:gridSpan w:val="3"/>
            <w:shd w:val="clear" w:color="auto" w:fill="auto"/>
            <w:noWrap/>
            <w:vAlign w:val="bottom"/>
          </w:tcPr>
          <w:p w14:paraId="4936F984" w14:textId="77777777" w:rsidR="00413AC6" w:rsidRPr="00327DAE" w:rsidRDefault="00413AC6" w:rsidP="0025317F">
            <w:pPr>
              <w:spacing w:after="120"/>
              <w:rPr>
                <w:sz w:val="24"/>
                <w:szCs w:val="24"/>
              </w:rPr>
            </w:pPr>
            <w:r w:rsidRPr="00327DAE">
              <w:rPr>
                <w:i/>
                <w:sz w:val="24"/>
                <w:szCs w:val="24"/>
              </w:rPr>
              <w:t>Ekspertu secinājumi</w:t>
            </w:r>
            <w:r w:rsidRPr="00327DAE">
              <w:rPr>
                <w:sz w:val="24"/>
                <w:szCs w:val="24"/>
              </w:rPr>
              <w:t xml:space="preserve"> </w:t>
            </w:r>
          </w:p>
          <w:p w14:paraId="5D0F2B63" w14:textId="50681F58" w:rsidR="00413AC6" w:rsidRPr="00327DAE" w:rsidRDefault="00413AC6" w:rsidP="0025317F">
            <w:pPr>
              <w:spacing w:after="120"/>
              <w:rPr>
                <w:sz w:val="24"/>
                <w:szCs w:val="24"/>
              </w:rPr>
            </w:pPr>
            <w:r w:rsidRPr="00327DAE">
              <w:rPr>
                <w:sz w:val="24"/>
                <w:szCs w:val="24"/>
              </w:rPr>
              <w:t xml:space="preserve">Situācija par apstrīdētu darījumu iekļaušanu kreditoru sarakstā nebija viennozīmīgi regulēta. Šajā lietā, vērtējot parādnieka un administratora rīcību, var saskatīt vēlmi, izmantojot ĀTAP procesu, nodrošināt sev vēlamā administratora iecelšanu maksātnespējas procesā. </w:t>
            </w:r>
          </w:p>
          <w:p w14:paraId="6CDF2815" w14:textId="683BE5D6" w:rsidR="00413AC6" w:rsidRPr="00327DAE" w:rsidRDefault="00413AC6" w:rsidP="0025317F">
            <w:pPr>
              <w:shd w:val="clear" w:color="auto" w:fill="FFFFFF" w:themeFill="background1"/>
              <w:spacing w:after="120"/>
              <w:rPr>
                <w:sz w:val="24"/>
                <w:szCs w:val="24"/>
              </w:rPr>
            </w:pPr>
            <w:r w:rsidRPr="00327DAE">
              <w:rPr>
                <w:sz w:val="24"/>
                <w:szCs w:val="24"/>
              </w:rPr>
              <w:t>2010.</w:t>
            </w:r>
            <w:r w:rsidR="007A2D7F">
              <w:rPr>
                <w:sz w:val="24"/>
                <w:szCs w:val="24"/>
              </w:rPr>
              <w:t> </w:t>
            </w:r>
            <w:r w:rsidRPr="00327DAE">
              <w:rPr>
                <w:sz w:val="24"/>
                <w:szCs w:val="24"/>
              </w:rPr>
              <w:t>gada nolēmumus tiesnese taisījusi</w:t>
            </w:r>
            <w:r w:rsidR="007A2D7F">
              <w:rPr>
                <w:sz w:val="24"/>
                <w:szCs w:val="24"/>
              </w:rPr>
              <w:t>,</w:t>
            </w:r>
            <w:r w:rsidRPr="00327DAE">
              <w:rPr>
                <w:sz w:val="24"/>
                <w:szCs w:val="24"/>
              </w:rPr>
              <w:t xml:space="preserve"> pirms Augstākā tiesa nostiprinājusi atziņas šādu strīdīgu situāciju risināšanā.</w:t>
            </w:r>
          </w:p>
          <w:p w14:paraId="2A005BD8" w14:textId="6C3415D8" w:rsidR="00413AC6" w:rsidRPr="00327DAE" w:rsidRDefault="00413AC6" w:rsidP="00D17CD2">
            <w:pPr>
              <w:shd w:val="clear" w:color="auto" w:fill="FFFFFF" w:themeFill="background1"/>
              <w:spacing w:after="120"/>
              <w:rPr>
                <w:sz w:val="24"/>
                <w:szCs w:val="24"/>
              </w:rPr>
            </w:pPr>
            <w:r w:rsidRPr="00E27399">
              <w:rPr>
                <w:sz w:val="24"/>
                <w:szCs w:val="24"/>
                <w:shd w:val="clear" w:color="auto" w:fill="FFFFFF" w:themeFill="background1"/>
              </w:rPr>
              <w:t>Aizdomas rada šajā un divās citās lietās (</w:t>
            </w:r>
            <w:r w:rsidR="007A2D7F">
              <w:rPr>
                <w:sz w:val="24"/>
                <w:szCs w:val="24"/>
                <w:shd w:val="clear" w:color="auto" w:fill="FFFFFF" w:themeFill="background1"/>
              </w:rPr>
              <w:t>N</w:t>
            </w:r>
            <w:r w:rsidR="007A2D7F" w:rsidRPr="00E27399">
              <w:rPr>
                <w:sz w:val="24"/>
                <w:szCs w:val="24"/>
                <w:shd w:val="clear" w:color="auto" w:fill="FFFFFF" w:themeFill="background1"/>
              </w:rPr>
              <w:t>r</w:t>
            </w:r>
            <w:r w:rsidR="007022EA" w:rsidRPr="00E27399">
              <w:rPr>
                <w:sz w:val="24"/>
                <w:szCs w:val="24"/>
                <w:shd w:val="clear" w:color="auto" w:fill="FFFFFF" w:themeFill="background1"/>
              </w:rPr>
              <w:t>.</w:t>
            </w:r>
            <w:r w:rsidR="007A2D7F">
              <w:rPr>
                <w:sz w:val="24"/>
                <w:szCs w:val="24"/>
                <w:shd w:val="clear" w:color="auto" w:fill="FFFFFF" w:themeFill="background1"/>
              </w:rPr>
              <w:t> </w:t>
            </w:r>
            <w:r w:rsidR="007022EA" w:rsidRPr="00E27399">
              <w:rPr>
                <w:sz w:val="24"/>
                <w:szCs w:val="24"/>
                <w:shd w:val="clear" w:color="auto" w:fill="FFFFFF" w:themeFill="background1"/>
              </w:rPr>
              <w:t xml:space="preserve">C35076014, </w:t>
            </w:r>
            <w:r w:rsidR="00D371C2">
              <w:rPr>
                <w:sz w:val="24"/>
                <w:szCs w:val="24"/>
                <w:shd w:val="clear" w:color="auto" w:fill="FFFFFF" w:themeFill="background1"/>
              </w:rPr>
              <w:t>C35058010</w:t>
            </w:r>
            <w:r w:rsidR="007022EA" w:rsidRPr="00E27399">
              <w:rPr>
                <w:sz w:val="24"/>
                <w:szCs w:val="24"/>
                <w:shd w:val="clear" w:color="auto" w:fill="FFFFFF" w:themeFill="background1"/>
              </w:rPr>
              <w:t xml:space="preserve">) </w:t>
            </w:r>
            <w:r w:rsidRPr="00E27399">
              <w:rPr>
                <w:sz w:val="24"/>
                <w:szCs w:val="24"/>
                <w:shd w:val="clear" w:color="auto" w:fill="FFFFFF" w:themeFill="background1"/>
              </w:rPr>
              <w:t xml:space="preserve">izmantotā vienādā pieeja, kad pēc ĀTAP pasludināšanas tiem mēģināts ātri pāriet uz maksātnespēju, neraugoties uz to, ka lieta atrodas Augstākās tiesas lietvedībā protesta kārtībā. Tas var norādīt uz mēģinājumu izvairīties no protesta skatīšanas, kas </w:t>
            </w:r>
            <w:r w:rsidRPr="00D371C2">
              <w:rPr>
                <w:sz w:val="24"/>
                <w:szCs w:val="24"/>
                <w:shd w:val="clear" w:color="auto" w:fill="FFFFFF" w:themeFill="background1"/>
              </w:rPr>
              <w:t xml:space="preserve">lietā </w:t>
            </w:r>
            <w:r w:rsidR="007A2D7F" w:rsidRPr="00D371C2">
              <w:rPr>
                <w:sz w:val="24"/>
                <w:szCs w:val="24"/>
                <w:shd w:val="clear" w:color="auto" w:fill="FFFFFF" w:themeFill="background1"/>
              </w:rPr>
              <w:t>Nr</w:t>
            </w:r>
            <w:r w:rsidRPr="00D371C2">
              <w:rPr>
                <w:sz w:val="24"/>
                <w:szCs w:val="24"/>
                <w:shd w:val="clear" w:color="auto" w:fill="FFFFFF" w:themeFill="background1"/>
              </w:rPr>
              <w:t>.</w:t>
            </w:r>
            <w:r w:rsidR="00D371C2">
              <w:rPr>
                <w:sz w:val="24"/>
                <w:szCs w:val="24"/>
                <w:shd w:val="clear" w:color="auto" w:fill="FFFFFF" w:themeFill="background1"/>
              </w:rPr>
              <w:t xml:space="preserve"> C35058010 </w:t>
            </w:r>
            <w:r w:rsidRPr="00E27399">
              <w:rPr>
                <w:sz w:val="24"/>
                <w:szCs w:val="24"/>
                <w:shd w:val="clear" w:color="auto" w:fill="FFFFFF" w:themeFill="background1"/>
              </w:rPr>
              <w:t>arī izdevās. Pārējās divās lietās, pateicoties A</w:t>
            </w:r>
            <w:r w:rsidR="00D17CD2">
              <w:rPr>
                <w:sz w:val="24"/>
                <w:szCs w:val="24"/>
                <w:shd w:val="clear" w:color="auto" w:fill="FFFFFF" w:themeFill="background1"/>
              </w:rPr>
              <w:t xml:space="preserve">ugstākās tiesas </w:t>
            </w:r>
            <w:r w:rsidRPr="00E27399">
              <w:rPr>
                <w:sz w:val="24"/>
                <w:szCs w:val="24"/>
                <w:shd w:val="clear" w:color="auto" w:fill="FFFFFF" w:themeFill="background1"/>
              </w:rPr>
              <w:t>lēmumiem, tas vairs neizdevās.</w:t>
            </w:r>
          </w:p>
        </w:tc>
      </w:tr>
      <w:tr w:rsidR="00413AC6" w:rsidRPr="00327DAE" w14:paraId="66CA732F" w14:textId="77777777" w:rsidTr="00B40DAA">
        <w:trPr>
          <w:trHeight w:val="301"/>
        </w:trPr>
        <w:tc>
          <w:tcPr>
            <w:tcW w:w="562" w:type="dxa"/>
            <w:vMerge/>
          </w:tcPr>
          <w:p w14:paraId="67C7D0C2" w14:textId="77777777" w:rsidR="00413AC6" w:rsidRPr="00327DAE" w:rsidRDefault="00413AC6" w:rsidP="0025317F">
            <w:pPr>
              <w:spacing w:after="120"/>
              <w:rPr>
                <w:sz w:val="24"/>
                <w:szCs w:val="24"/>
              </w:rPr>
            </w:pPr>
          </w:p>
        </w:tc>
        <w:tc>
          <w:tcPr>
            <w:tcW w:w="7797" w:type="dxa"/>
            <w:gridSpan w:val="3"/>
            <w:shd w:val="clear" w:color="auto" w:fill="auto"/>
            <w:noWrap/>
            <w:vAlign w:val="bottom"/>
          </w:tcPr>
          <w:p w14:paraId="0078FEDE" w14:textId="0E9746AF" w:rsidR="00413AC6" w:rsidRPr="00327DAE" w:rsidRDefault="00413AC6" w:rsidP="0025317F">
            <w:pPr>
              <w:spacing w:after="120"/>
              <w:rPr>
                <w:i/>
                <w:sz w:val="24"/>
                <w:szCs w:val="24"/>
              </w:rPr>
            </w:pPr>
            <w:r w:rsidRPr="00327DAE">
              <w:rPr>
                <w:i/>
                <w:sz w:val="24"/>
                <w:szCs w:val="24"/>
              </w:rPr>
              <w:t>H. Jaujas atsevišķie secinājumi</w:t>
            </w:r>
          </w:p>
          <w:p w14:paraId="02AF9C94" w14:textId="2536FB1A" w:rsidR="00413AC6" w:rsidRPr="00327DAE" w:rsidRDefault="00413AC6" w:rsidP="0025317F">
            <w:pPr>
              <w:spacing w:after="120"/>
              <w:rPr>
                <w:sz w:val="24"/>
                <w:szCs w:val="24"/>
              </w:rPr>
            </w:pPr>
            <w:r w:rsidRPr="00327DAE">
              <w:rPr>
                <w:sz w:val="24"/>
                <w:szCs w:val="24"/>
              </w:rPr>
              <w:t xml:space="preserve">Var piekrist apgalvojumam, ka laikā, kad tika taisīts aplūkojamais lēmums, jautājums par strīdīgu kreditoru prasījumu iekļaušanu TAP plānā bija neskaidrs, jo likumā tas nebija noregulēts. Jāatzīst, ka arī šobrīd šis jautājums nav viennozīmīgs skaidrs, jo, lai gan likums paredz iekļaut TAP plānā ziņas par prasījumiem, par kuriem ir strīds, nav joprojām precīzi noregulēts strīdus kreditoru statuss. No šāda viedokļa tiesnesei </w:t>
            </w:r>
            <w:r w:rsidR="00D17CD2">
              <w:rPr>
                <w:sz w:val="24"/>
                <w:szCs w:val="24"/>
              </w:rPr>
              <w:t>V. </w:t>
            </w:r>
            <w:proofErr w:type="spellStart"/>
            <w:r w:rsidRPr="00327DAE">
              <w:rPr>
                <w:sz w:val="24"/>
                <w:szCs w:val="24"/>
              </w:rPr>
              <w:t>Grebežniecei</w:t>
            </w:r>
            <w:proofErr w:type="spellEnd"/>
            <w:r w:rsidRPr="00327DAE">
              <w:rPr>
                <w:sz w:val="24"/>
                <w:szCs w:val="24"/>
              </w:rPr>
              <w:t xml:space="preserve"> nevarētu pārmest atkāpšanos no likuma vai pieņemtās prakses</w:t>
            </w:r>
            <w:r w:rsidR="007A2D7F">
              <w:rPr>
                <w:sz w:val="24"/>
                <w:szCs w:val="24"/>
              </w:rPr>
              <w:t>.</w:t>
            </w:r>
          </w:p>
          <w:p w14:paraId="487D88FC" w14:textId="74D7948D" w:rsidR="00413AC6" w:rsidRPr="00327DAE" w:rsidRDefault="00413AC6" w:rsidP="0025317F">
            <w:pPr>
              <w:spacing w:after="120"/>
              <w:rPr>
                <w:sz w:val="24"/>
                <w:szCs w:val="24"/>
              </w:rPr>
            </w:pPr>
            <w:r w:rsidRPr="00327DAE">
              <w:rPr>
                <w:sz w:val="24"/>
                <w:szCs w:val="24"/>
              </w:rPr>
              <w:t>Taču šajā lietā uzmanī</w:t>
            </w:r>
            <w:r w:rsidR="00D17CD2">
              <w:rPr>
                <w:sz w:val="24"/>
                <w:szCs w:val="24"/>
              </w:rPr>
              <w:t>bas vērts ir apstāklis, ka SIA „</w:t>
            </w:r>
            <w:r w:rsidRPr="00327DAE">
              <w:rPr>
                <w:sz w:val="24"/>
                <w:szCs w:val="24"/>
              </w:rPr>
              <w:t xml:space="preserve">Jurta” juridiskā adrese līdz 27.04.2010. bija Rīgā, bet divas nedēļas pirms </w:t>
            </w:r>
            <w:r w:rsidR="00636EFF">
              <w:rPr>
                <w:sz w:val="24"/>
                <w:szCs w:val="24"/>
              </w:rPr>
              <w:t>Ā</w:t>
            </w:r>
            <w:r w:rsidRPr="00327DAE">
              <w:rPr>
                <w:sz w:val="24"/>
                <w:szCs w:val="24"/>
              </w:rPr>
              <w:t>TAP plāna iesniegšana</w:t>
            </w:r>
            <w:r w:rsidR="00D17CD2">
              <w:rPr>
                <w:sz w:val="24"/>
                <w:szCs w:val="24"/>
              </w:rPr>
              <w:t>s tika mainīta uz Siguldu. SIA „</w:t>
            </w:r>
            <w:r w:rsidRPr="00327DAE">
              <w:rPr>
                <w:sz w:val="24"/>
                <w:szCs w:val="24"/>
              </w:rPr>
              <w:t xml:space="preserve">Jurta” ĀTAP administrators, kurš pēc ĀTAP izbeigšanas un maksātnespējas pasludināšanas turpināja vadīt procesu, bija </w:t>
            </w:r>
            <w:r w:rsidRPr="00327DAE">
              <w:rPr>
                <w:sz w:val="24"/>
                <w:szCs w:val="24"/>
              </w:rPr>
              <w:lastRenderedPageBreak/>
              <w:t>Andris Bērziņš. Šī persona bija administrators vēl 12 citos TAP/ĀTAP, kurus laika posmā no 2010.</w:t>
            </w:r>
            <w:r w:rsidR="00636EFF">
              <w:rPr>
                <w:sz w:val="24"/>
                <w:szCs w:val="24"/>
              </w:rPr>
              <w:t>–</w:t>
            </w:r>
            <w:r w:rsidRPr="00327DAE">
              <w:rPr>
                <w:sz w:val="24"/>
                <w:szCs w:val="24"/>
              </w:rPr>
              <w:t>2104.</w:t>
            </w:r>
            <w:r w:rsidR="00636EFF">
              <w:rPr>
                <w:sz w:val="24"/>
                <w:szCs w:val="24"/>
              </w:rPr>
              <w:t> </w:t>
            </w:r>
            <w:r w:rsidRPr="00327DAE">
              <w:rPr>
                <w:sz w:val="24"/>
                <w:szCs w:val="24"/>
              </w:rPr>
              <w:t xml:space="preserve">gadam apstiprināja tiesnese </w:t>
            </w:r>
            <w:r w:rsidR="00D17CD2">
              <w:rPr>
                <w:sz w:val="24"/>
                <w:szCs w:val="24"/>
              </w:rPr>
              <w:t>V. </w:t>
            </w:r>
            <w:proofErr w:type="spellStart"/>
            <w:r w:rsidRPr="00327DAE">
              <w:rPr>
                <w:sz w:val="24"/>
                <w:szCs w:val="24"/>
              </w:rPr>
              <w:t>Grebežniece</w:t>
            </w:r>
            <w:proofErr w:type="spellEnd"/>
            <w:r w:rsidRPr="00327DAE">
              <w:rPr>
                <w:sz w:val="24"/>
                <w:szCs w:val="24"/>
              </w:rPr>
              <w:t>. 7 no 13 A.</w:t>
            </w:r>
            <w:r w:rsidR="00636EFF">
              <w:rPr>
                <w:sz w:val="24"/>
                <w:szCs w:val="24"/>
              </w:rPr>
              <w:t> </w:t>
            </w:r>
            <w:r w:rsidRPr="00327DAE">
              <w:rPr>
                <w:sz w:val="24"/>
                <w:szCs w:val="24"/>
              </w:rPr>
              <w:t>Bērziņa administrētajiem un V. </w:t>
            </w:r>
            <w:proofErr w:type="spellStart"/>
            <w:r w:rsidRPr="00327DAE">
              <w:rPr>
                <w:sz w:val="24"/>
                <w:szCs w:val="24"/>
              </w:rPr>
              <w:t>Grebežnieces</w:t>
            </w:r>
            <w:proofErr w:type="spellEnd"/>
            <w:r w:rsidRPr="00327DAE">
              <w:rPr>
                <w:sz w:val="24"/>
                <w:szCs w:val="24"/>
              </w:rPr>
              <w:t xml:space="preserve"> apstiprinātajiem TAP/ĀTAP gadījumiem parādnieks īsi pirms TAP/ĀTAP pieteikuma bija mainījis juridisko adresi, lai piekritība būtu Siguldas tiesai. </w:t>
            </w:r>
          </w:p>
          <w:p w14:paraId="0FE6F717" w14:textId="5912E255" w:rsidR="00413AC6" w:rsidRPr="00327DAE" w:rsidRDefault="00413AC6" w:rsidP="0025317F">
            <w:pPr>
              <w:spacing w:after="120"/>
              <w:rPr>
                <w:sz w:val="24"/>
                <w:szCs w:val="24"/>
              </w:rPr>
            </w:pPr>
            <w:r w:rsidRPr="00327DAE">
              <w:rPr>
                <w:sz w:val="24"/>
                <w:szCs w:val="24"/>
              </w:rPr>
              <w:t>Zīmīgi, ka vienā gadījumā ĀTAP pieteikumu Siguldas tiesā iesniedza</w:t>
            </w:r>
            <w:proofErr w:type="gramStart"/>
            <w:r w:rsidR="007022EA" w:rsidRPr="00327DAE">
              <w:rPr>
                <w:sz w:val="24"/>
                <w:szCs w:val="24"/>
              </w:rPr>
              <w:t xml:space="preserve"> </w:t>
            </w:r>
            <w:r w:rsidRPr="00327DAE">
              <w:rPr>
                <w:sz w:val="24"/>
                <w:szCs w:val="24"/>
              </w:rPr>
              <w:t xml:space="preserve"> </w:t>
            </w:r>
            <w:proofErr w:type="gramEnd"/>
            <w:r w:rsidRPr="00327DAE">
              <w:rPr>
                <w:sz w:val="24"/>
                <w:szCs w:val="24"/>
              </w:rPr>
              <w:t>parādnieks, kura juridiskā adrese saskaņā ar komercre</w:t>
            </w:r>
            <w:r w:rsidR="00D17CD2">
              <w:rPr>
                <w:sz w:val="24"/>
                <w:szCs w:val="24"/>
              </w:rPr>
              <w:t>ģistra datiem bija Madonā (SIA „</w:t>
            </w:r>
            <w:r w:rsidRPr="00327DAE">
              <w:rPr>
                <w:sz w:val="24"/>
                <w:szCs w:val="24"/>
              </w:rPr>
              <w:t>CPP Finanses”). Arī šis parādnieka pieteikums tika izskatīts un apstiprināts Siguldas tiesā. Lai gan eksperti-tiesneši norādīja, ka tajā laikā tiesās nepastāvēja prakse pārbaudīt pieteicēja adresi komercreģistrā, paļaujoties uz pieteikumā norādītajām ziņām, jāšaubās, vai pieteicēji varēja būt informēti par tiesu iekšējo praksi</w:t>
            </w:r>
            <w:r w:rsidR="00636EFF">
              <w:rPr>
                <w:sz w:val="24"/>
                <w:szCs w:val="24"/>
              </w:rPr>
              <w:t>,</w:t>
            </w:r>
            <w:r w:rsidRPr="00327DAE">
              <w:rPr>
                <w:sz w:val="24"/>
                <w:szCs w:val="24"/>
              </w:rPr>
              <w:t xml:space="preserve"> un šādai pārdrošai pieteicēju rīcībai, iespējams</w:t>
            </w:r>
            <w:r w:rsidR="00636EFF">
              <w:rPr>
                <w:sz w:val="24"/>
                <w:szCs w:val="24"/>
              </w:rPr>
              <w:t>,</w:t>
            </w:r>
            <w:r w:rsidRPr="00327DAE">
              <w:rPr>
                <w:sz w:val="24"/>
                <w:szCs w:val="24"/>
              </w:rPr>
              <w:t xml:space="preserve"> bija pamatā pārliecība, ka Siguldas tiesā šis pieteikums tiks pieņemts un izskatīts. </w:t>
            </w:r>
          </w:p>
          <w:p w14:paraId="77A096E9" w14:textId="2008F714" w:rsidR="00413AC6" w:rsidRPr="00327DAE" w:rsidRDefault="00413AC6" w:rsidP="00D17CD2">
            <w:pPr>
              <w:spacing w:after="120"/>
              <w:rPr>
                <w:sz w:val="24"/>
                <w:szCs w:val="24"/>
              </w:rPr>
            </w:pPr>
            <w:r w:rsidRPr="00327DAE">
              <w:rPr>
                <w:sz w:val="24"/>
                <w:szCs w:val="24"/>
              </w:rPr>
              <w:t xml:space="preserve">Minētie fakti kopsakarā ar tiesneses </w:t>
            </w:r>
            <w:r w:rsidR="00D17CD2">
              <w:rPr>
                <w:sz w:val="24"/>
                <w:szCs w:val="24"/>
              </w:rPr>
              <w:t>V. </w:t>
            </w:r>
            <w:proofErr w:type="spellStart"/>
            <w:r w:rsidR="00D17CD2">
              <w:rPr>
                <w:sz w:val="24"/>
                <w:szCs w:val="24"/>
              </w:rPr>
              <w:t>Grebežnieces</w:t>
            </w:r>
            <w:proofErr w:type="spellEnd"/>
            <w:r w:rsidR="00D17CD2">
              <w:rPr>
                <w:sz w:val="24"/>
                <w:szCs w:val="24"/>
              </w:rPr>
              <w:t xml:space="preserve"> lēmumu SIA „</w:t>
            </w:r>
            <w:r w:rsidRPr="00327DAE">
              <w:rPr>
                <w:sz w:val="24"/>
                <w:szCs w:val="24"/>
              </w:rPr>
              <w:t xml:space="preserve">Jurta” lietā norāda uz to, ka pieteicējiem bija pamats prezumēt, ka Siguldas tiesā to iesniegtie </w:t>
            </w:r>
            <w:r w:rsidR="00636EFF">
              <w:rPr>
                <w:sz w:val="24"/>
                <w:szCs w:val="24"/>
              </w:rPr>
              <w:t>Ā</w:t>
            </w:r>
            <w:r w:rsidRPr="00327DAE">
              <w:rPr>
                <w:sz w:val="24"/>
                <w:szCs w:val="24"/>
              </w:rPr>
              <w:t>TAP/TAP plāni tiks apstiprināti arī tad, ja to saturs būs šaubīgs un prettiesisks (ko apstiprina vairāki A</w:t>
            </w:r>
            <w:r w:rsidR="00D17CD2">
              <w:rPr>
                <w:sz w:val="24"/>
                <w:szCs w:val="24"/>
              </w:rPr>
              <w:t xml:space="preserve">ugstākās tiesas </w:t>
            </w:r>
            <w:r w:rsidRPr="00327DAE">
              <w:rPr>
                <w:sz w:val="24"/>
                <w:szCs w:val="24"/>
              </w:rPr>
              <w:t xml:space="preserve">Senāta nolēmumi).  Lai arī tiesnesei </w:t>
            </w:r>
            <w:proofErr w:type="spellStart"/>
            <w:r w:rsidRPr="00327DAE">
              <w:rPr>
                <w:sz w:val="24"/>
                <w:szCs w:val="24"/>
              </w:rPr>
              <w:t>Grebežniecei</w:t>
            </w:r>
            <w:proofErr w:type="spellEnd"/>
            <w:r w:rsidRPr="00327DAE">
              <w:rPr>
                <w:sz w:val="24"/>
                <w:szCs w:val="24"/>
              </w:rPr>
              <w:t xml:space="preserve"> nevar pārmest nostabilizējušas prakses pārkāpšanu, tiesnesei </w:t>
            </w:r>
            <w:proofErr w:type="spellStart"/>
            <w:r w:rsidRPr="00327DAE">
              <w:rPr>
                <w:sz w:val="24"/>
                <w:szCs w:val="24"/>
              </w:rPr>
              <w:t>Grebežniecei</w:t>
            </w:r>
            <w:proofErr w:type="spellEnd"/>
            <w:r w:rsidRPr="00327DAE">
              <w:rPr>
                <w:sz w:val="24"/>
                <w:szCs w:val="24"/>
              </w:rPr>
              <w:t xml:space="preserve"> izskatāmajā situācijā un citās ĀTAP lietās, kurās pēc tam tika atcelti tiesneses </w:t>
            </w:r>
            <w:proofErr w:type="spellStart"/>
            <w:r w:rsidRPr="00327DAE">
              <w:rPr>
                <w:sz w:val="24"/>
                <w:szCs w:val="24"/>
              </w:rPr>
              <w:t>Grebežnieces</w:t>
            </w:r>
            <w:proofErr w:type="spellEnd"/>
            <w:r w:rsidRPr="00327DAE">
              <w:rPr>
                <w:sz w:val="24"/>
                <w:szCs w:val="24"/>
              </w:rPr>
              <w:t xml:space="preserve"> lēmumi, bija iespēja arī noraidīt ĀTAP pieteikumu (likums pieļāva tādu interpretāciju), taču tiesnese </w:t>
            </w:r>
            <w:proofErr w:type="spellStart"/>
            <w:r w:rsidRPr="00327DAE">
              <w:rPr>
                <w:sz w:val="24"/>
                <w:szCs w:val="24"/>
              </w:rPr>
              <w:t>Grebežniece</w:t>
            </w:r>
            <w:proofErr w:type="spellEnd"/>
            <w:r w:rsidRPr="00327DAE">
              <w:rPr>
                <w:sz w:val="24"/>
                <w:szCs w:val="24"/>
              </w:rPr>
              <w:t xml:space="preserve"> konsekventi šaubīgās/neskaidrās/strīdīgās situācijās lēma par labu parādniekam, kurš bija piesaistījis administratoru A. </w:t>
            </w:r>
            <w:r w:rsidR="00536A07" w:rsidRPr="00327DAE">
              <w:rPr>
                <w:sz w:val="24"/>
                <w:szCs w:val="24"/>
              </w:rPr>
              <w:t>Bērziņu.</w:t>
            </w:r>
          </w:p>
        </w:tc>
      </w:tr>
      <w:tr w:rsidR="008C608B" w:rsidRPr="00327DAE" w14:paraId="5490964B" w14:textId="77777777" w:rsidTr="00917C22">
        <w:trPr>
          <w:trHeight w:val="301"/>
        </w:trPr>
        <w:tc>
          <w:tcPr>
            <w:tcW w:w="562" w:type="dxa"/>
            <w:vMerge w:val="restart"/>
          </w:tcPr>
          <w:p w14:paraId="4FCE7B97" w14:textId="4811A61D" w:rsidR="008C608B" w:rsidRPr="00327DAE" w:rsidRDefault="008C608B" w:rsidP="0025317F">
            <w:pPr>
              <w:spacing w:after="120"/>
              <w:rPr>
                <w:b/>
                <w:sz w:val="24"/>
                <w:szCs w:val="24"/>
              </w:rPr>
            </w:pPr>
            <w:r w:rsidRPr="00327DAE">
              <w:rPr>
                <w:b/>
                <w:sz w:val="24"/>
                <w:szCs w:val="24"/>
              </w:rPr>
              <w:lastRenderedPageBreak/>
              <w:t>19.</w:t>
            </w:r>
          </w:p>
        </w:tc>
        <w:tc>
          <w:tcPr>
            <w:tcW w:w="1701" w:type="dxa"/>
            <w:shd w:val="clear" w:color="auto" w:fill="auto"/>
            <w:noWrap/>
            <w:vAlign w:val="bottom"/>
          </w:tcPr>
          <w:p w14:paraId="3F6838FB" w14:textId="77777777" w:rsidR="008C608B" w:rsidRPr="00327DAE" w:rsidRDefault="008C608B" w:rsidP="0025317F">
            <w:pPr>
              <w:spacing w:after="120"/>
              <w:rPr>
                <w:b/>
                <w:sz w:val="24"/>
                <w:szCs w:val="24"/>
              </w:rPr>
            </w:pPr>
            <w:r w:rsidRPr="00327DAE">
              <w:rPr>
                <w:b/>
                <w:sz w:val="24"/>
                <w:szCs w:val="24"/>
              </w:rPr>
              <w:t>C35063710</w:t>
            </w:r>
            <w:r w:rsidRPr="00327DAE">
              <w:rPr>
                <w:rStyle w:val="FootnoteReference"/>
                <w:b/>
                <w:sz w:val="24"/>
                <w:szCs w:val="24"/>
              </w:rPr>
              <w:footnoteReference w:id="23"/>
            </w:r>
          </w:p>
          <w:p w14:paraId="1C5EC8F5" w14:textId="73F0837A" w:rsidR="008C608B" w:rsidRPr="00327DAE" w:rsidRDefault="008C608B" w:rsidP="0025317F">
            <w:pPr>
              <w:spacing w:after="120"/>
              <w:rPr>
                <w:b/>
                <w:sz w:val="24"/>
                <w:szCs w:val="24"/>
                <w:u w:val="single"/>
              </w:rPr>
            </w:pPr>
            <w:r w:rsidRPr="00327DAE">
              <w:rPr>
                <w:b/>
                <w:sz w:val="24"/>
                <w:szCs w:val="24"/>
              </w:rPr>
              <w:t>SPC</w:t>
            </w:r>
            <w:r w:rsidRPr="00327DAE">
              <w:rPr>
                <w:b/>
                <w:sz w:val="24"/>
                <w:szCs w:val="24"/>
              </w:rPr>
              <w:noBreakHyphen/>
              <w:t>214/2010</w:t>
            </w:r>
          </w:p>
        </w:tc>
        <w:tc>
          <w:tcPr>
            <w:tcW w:w="2268" w:type="dxa"/>
            <w:shd w:val="clear" w:color="auto" w:fill="auto"/>
            <w:vAlign w:val="bottom"/>
          </w:tcPr>
          <w:p w14:paraId="7B501553" w14:textId="77777777" w:rsidR="008C608B" w:rsidRPr="00327DAE" w:rsidRDefault="008C608B" w:rsidP="0025317F">
            <w:pPr>
              <w:spacing w:after="120"/>
              <w:rPr>
                <w:b/>
                <w:sz w:val="24"/>
                <w:szCs w:val="24"/>
              </w:rPr>
            </w:pPr>
            <w:r w:rsidRPr="00327DAE">
              <w:rPr>
                <w:b/>
                <w:sz w:val="24"/>
                <w:szCs w:val="24"/>
              </w:rPr>
              <w:t>09.04.2010. lēmums</w:t>
            </w:r>
          </w:p>
        </w:tc>
        <w:tc>
          <w:tcPr>
            <w:tcW w:w="3828" w:type="dxa"/>
            <w:shd w:val="clear" w:color="auto" w:fill="auto"/>
            <w:vAlign w:val="bottom"/>
          </w:tcPr>
          <w:p w14:paraId="4A4F0571" w14:textId="77777777" w:rsidR="008C608B" w:rsidRPr="00DA5069" w:rsidRDefault="008C608B" w:rsidP="0025317F">
            <w:pPr>
              <w:pStyle w:val="Heading3"/>
            </w:pPr>
            <w:bookmarkStart w:id="34" w:name="_Toc522527509"/>
            <w:r w:rsidRPr="00DA5069">
              <w:t>KS „Abra”: TAP īstenošana ĀTAP gadījumā</w:t>
            </w:r>
            <w:bookmarkEnd w:id="34"/>
          </w:p>
        </w:tc>
      </w:tr>
      <w:tr w:rsidR="008C608B" w:rsidRPr="00327DAE" w14:paraId="055C509F" w14:textId="77777777" w:rsidTr="00DA5069">
        <w:trPr>
          <w:trHeight w:val="301"/>
        </w:trPr>
        <w:tc>
          <w:tcPr>
            <w:tcW w:w="562" w:type="dxa"/>
            <w:vMerge/>
          </w:tcPr>
          <w:p w14:paraId="75124E40"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6A3FD483" w14:textId="47AD0579" w:rsidR="008C608B" w:rsidRPr="00DA5069" w:rsidRDefault="008C608B"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14:paraId="4F94A404" w14:textId="628DAC1D"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2DC8A485" w14:textId="4CF0A304" w:rsidR="008C608B" w:rsidRPr="00DA5069" w:rsidRDefault="008C608B" w:rsidP="0025317F">
            <w:pPr>
              <w:spacing w:after="120"/>
              <w:rPr>
                <w:b/>
                <w:i/>
              </w:rPr>
            </w:pPr>
            <w:r w:rsidRPr="00DA5069">
              <w:rPr>
                <w:b/>
                <w:bCs/>
                <w:i/>
                <w:color w:val="000000"/>
              </w:rPr>
              <w:t>Lietu sadales veids/iemesls</w:t>
            </w:r>
          </w:p>
        </w:tc>
      </w:tr>
      <w:tr w:rsidR="008C608B" w:rsidRPr="00327DAE" w14:paraId="6679B4E7" w14:textId="77777777" w:rsidTr="00DA5069">
        <w:trPr>
          <w:trHeight w:val="301"/>
        </w:trPr>
        <w:tc>
          <w:tcPr>
            <w:tcW w:w="562" w:type="dxa"/>
            <w:vMerge/>
          </w:tcPr>
          <w:p w14:paraId="1DB1F18C"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784DFB90" w14:textId="7C7922FF" w:rsidR="008C608B" w:rsidRPr="00DA5069" w:rsidRDefault="008C608B" w:rsidP="0025317F">
            <w:pPr>
              <w:spacing w:after="120"/>
              <w:rPr>
                <w:i/>
              </w:rPr>
            </w:pPr>
            <w:r w:rsidRPr="00DA5069">
              <w:rPr>
                <w:i/>
                <w:color w:val="000000"/>
              </w:rPr>
              <w:t>06.04.2010</w:t>
            </w:r>
          </w:p>
        </w:tc>
        <w:tc>
          <w:tcPr>
            <w:tcW w:w="2268" w:type="dxa"/>
            <w:tcBorders>
              <w:top w:val="single" w:sz="4" w:space="0" w:color="auto"/>
              <w:left w:val="nil"/>
              <w:bottom w:val="single" w:sz="4" w:space="0" w:color="auto"/>
              <w:right w:val="single" w:sz="4" w:space="0" w:color="auto"/>
            </w:tcBorders>
            <w:shd w:val="clear" w:color="auto" w:fill="E7E6E6" w:themeFill="background2"/>
          </w:tcPr>
          <w:p w14:paraId="62B8AF48" w14:textId="4E40981B" w:rsidR="008C608B" w:rsidRPr="00DA5069" w:rsidRDefault="008C608B" w:rsidP="0025317F">
            <w:pPr>
              <w:spacing w:after="120"/>
              <w:rPr>
                <w:i/>
              </w:rPr>
            </w:pPr>
            <w:r w:rsidRPr="00DA5069">
              <w:rPr>
                <w:i/>
                <w:color w:val="000000"/>
              </w:rPr>
              <w:t xml:space="preserve">Valija </w:t>
            </w:r>
            <w:proofErr w:type="spellStart"/>
            <w:r w:rsidRPr="00DA5069">
              <w:rPr>
                <w:i/>
                <w:color w:val="000000"/>
              </w:rPr>
              <w:t>Grebežniece</w:t>
            </w:r>
            <w:proofErr w:type="spellEnd"/>
          </w:p>
        </w:tc>
        <w:tc>
          <w:tcPr>
            <w:tcW w:w="3828" w:type="dxa"/>
            <w:tcBorders>
              <w:top w:val="single" w:sz="4" w:space="0" w:color="auto"/>
              <w:left w:val="nil"/>
              <w:bottom w:val="single" w:sz="4" w:space="0" w:color="auto"/>
              <w:right w:val="single" w:sz="4" w:space="0" w:color="auto"/>
            </w:tcBorders>
            <w:shd w:val="clear" w:color="auto" w:fill="E7E6E6" w:themeFill="background2"/>
          </w:tcPr>
          <w:p w14:paraId="6229539E" w14:textId="4088D17B" w:rsidR="008C608B" w:rsidRPr="00DA5069" w:rsidRDefault="00F52CE0" w:rsidP="0025317F">
            <w:pPr>
              <w:spacing w:after="120"/>
              <w:rPr>
                <w:i/>
              </w:rPr>
            </w:pPr>
            <w:r w:rsidRPr="00DA5069">
              <w:rPr>
                <w:i/>
                <w:color w:val="000000"/>
              </w:rPr>
              <w:t>Manuāla lietu sadale</w:t>
            </w:r>
          </w:p>
        </w:tc>
      </w:tr>
      <w:tr w:rsidR="008C608B" w:rsidRPr="00327DAE" w14:paraId="42095193" w14:textId="77777777" w:rsidTr="00B40DAA">
        <w:trPr>
          <w:trHeight w:val="301"/>
        </w:trPr>
        <w:tc>
          <w:tcPr>
            <w:tcW w:w="562" w:type="dxa"/>
            <w:vMerge/>
          </w:tcPr>
          <w:p w14:paraId="49E297B5"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2954C5EE" w14:textId="428BBFFA" w:rsidR="008C608B" w:rsidRPr="00327DAE" w:rsidRDefault="008C608B" w:rsidP="0025317F">
            <w:pPr>
              <w:spacing w:after="120"/>
              <w:rPr>
                <w:i/>
                <w:sz w:val="24"/>
                <w:szCs w:val="24"/>
              </w:rPr>
            </w:pPr>
            <w:r w:rsidRPr="00327DAE">
              <w:rPr>
                <w:i/>
                <w:sz w:val="24"/>
                <w:szCs w:val="24"/>
              </w:rPr>
              <w:t>Augstākās tiesas norādītais pamats lēmuma atcelšanai</w:t>
            </w:r>
          </w:p>
          <w:p w14:paraId="28A44C21" w14:textId="3B24B0A1" w:rsidR="008C608B" w:rsidRPr="00327DAE" w:rsidRDefault="008C608B" w:rsidP="0025317F">
            <w:pPr>
              <w:spacing w:after="120"/>
              <w:rPr>
                <w:sz w:val="24"/>
                <w:szCs w:val="24"/>
              </w:rPr>
            </w:pPr>
            <w:r w:rsidRPr="00327DAE">
              <w:rPr>
                <w:sz w:val="24"/>
                <w:szCs w:val="24"/>
              </w:rPr>
              <w:t>Pieteikumā nav paredzēta maksājumu veikšana kreditoriem, proporcionāli apmierinot visus kreditoru prasījumus katru mēnesi. No kreditoru kopskaita izslēgti vairāki kreditori</w:t>
            </w:r>
            <w:r w:rsidR="00636EFF">
              <w:rPr>
                <w:sz w:val="24"/>
                <w:szCs w:val="24"/>
              </w:rPr>
              <w:t>.</w:t>
            </w:r>
            <w:r w:rsidRPr="00327DAE">
              <w:rPr>
                <w:sz w:val="24"/>
                <w:szCs w:val="24"/>
              </w:rPr>
              <w:t xml:space="preserve"> </w:t>
            </w:r>
            <w:r w:rsidR="00636EFF">
              <w:rPr>
                <w:sz w:val="24"/>
                <w:szCs w:val="24"/>
              </w:rPr>
              <w:t>I</w:t>
            </w:r>
            <w:r w:rsidRPr="00327DAE">
              <w:rPr>
                <w:sz w:val="24"/>
                <w:szCs w:val="24"/>
              </w:rPr>
              <w:t>zslēdzot no kopējo prasījumu apjoma šo kreditoru prasījumus, samazināts to kreditoru skaits, kuru piekrišana būtu vajadzīga ĀTAP pasludināšanai.</w:t>
            </w:r>
          </w:p>
        </w:tc>
      </w:tr>
      <w:tr w:rsidR="008C608B" w:rsidRPr="00327DAE" w14:paraId="74907FA2" w14:textId="77777777" w:rsidTr="00B40DAA">
        <w:trPr>
          <w:trHeight w:val="301"/>
        </w:trPr>
        <w:tc>
          <w:tcPr>
            <w:tcW w:w="562" w:type="dxa"/>
            <w:vMerge/>
          </w:tcPr>
          <w:p w14:paraId="7A8B4818"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4C59BCCD" w14:textId="77777777" w:rsidR="008C608B" w:rsidRPr="00327DAE" w:rsidRDefault="008C608B" w:rsidP="0025317F">
            <w:pPr>
              <w:spacing w:after="120"/>
              <w:rPr>
                <w:sz w:val="24"/>
                <w:szCs w:val="24"/>
              </w:rPr>
            </w:pPr>
            <w:r w:rsidRPr="00327DAE">
              <w:rPr>
                <w:i/>
                <w:sz w:val="24"/>
                <w:szCs w:val="24"/>
              </w:rPr>
              <w:t>Ekspertu secinājumi</w:t>
            </w:r>
            <w:r w:rsidRPr="00327DAE">
              <w:rPr>
                <w:sz w:val="24"/>
                <w:szCs w:val="24"/>
              </w:rPr>
              <w:t xml:space="preserve"> </w:t>
            </w:r>
          </w:p>
          <w:p w14:paraId="754324E1" w14:textId="00D99DE0" w:rsidR="008C608B" w:rsidRPr="00327DAE" w:rsidRDefault="009A509F" w:rsidP="0025317F">
            <w:pPr>
              <w:spacing w:after="120"/>
              <w:rPr>
                <w:sz w:val="24"/>
                <w:szCs w:val="24"/>
              </w:rPr>
            </w:pPr>
            <w:r>
              <w:rPr>
                <w:sz w:val="24"/>
                <w:szCs w:val="24"/>
              </w:rPr>
              <w:t>Līdzīgi SIA „</w:t>
            </w:r>
            <w:r w:rsidR="008C608B" w:rsidRPr="00327DAE">
              <w:rPr>
                <w:sz w:val="24"/>
                <w:szCs w:val="24"/>
              </w:rPr>
              <w:t>ZS Veģi” lietai (Nr. C35061410).</w:t>
            </w:r>
          </w:p>
          <w:p w14:paraId="2BEACCFE" w14:textId="51A1BD9C" w:rsidR="008C608B" w:rsidRPr="00327DAE" w:rsidRDefault="008C608B" w:rsidP="0025317F">
            <w:pPr>
              <w:spacing w:after="120"/>
              <w:rPr>
                <w:b/>
                <w:sz w:val="24"/>
                <w:szCs w:val="24"/>
                <w:highlight w:val="yellow"/>
              </w:rPr>
            </w:pPr>
            <w:r w:rsidRPr="00327DAE">
              <w:rPr>
                <w:sz w:val="24"/>
                <w:szCs w:val="24"/>
              </w:rPr>
              <w:t>ĀTAP plāns saskaņots ar banku kā nodrošināto kreditoru ar prasījumu summu 2 miljoni latu, bet nav saskaņots ar vairākiem nenodrošinātajiem kreditoriem ar prasījumiem par gandrīz 3 miljoniem latu.</w:t>
            </w:r>
          </w:p>
          <w:p w14:paraId="69C6EC7C" w14:textId="0998E8D5" w:rsidR="008C608B" w:rsidRPr="00327DAE" w:rsidRDefault="008C608B" w:rsidP="0025317F">
            <w:pPr>
              <w:spacing w:after="120"/>
              <w:rPr>
                <w:sz w:val="24"/>
                <w:szCs w:val="24"/>
              </w:rPr>
            </w:pPr>
            <w:r w:rsidRPr="00327DAE">
              <w:rPr>
                <w:sz w:val="24"/>
                <w:szCs w:val="24"/>
              </w:rPr>
              <w:t>Maksājumu veikšana kreditoriem plānā paredzēta tikai ĀTAP beigās, t.i.</w:t>
            </w:r>
            <w:r w:rsidR="00636EFF">
              <w:rPr>
                <w:sz w:val="24"/>
                <w:szCs w:val="24"/>
              </w:rPr>
              <w:t>,</w:t>
            </w:r>
            <w:r w:rsidRPr="00327DAE">
              <w:rPr>
                <w:sz w:val="24"/>
                <w:szCs w:val="24"/>
              </w:rPr>
              <w:t xml:space="preserve"> pēc diviem gadiem.</w:t>
            </w:r>
          </w:p>
          <w:p w14:paraId="024D6193" w14:textId="77777777" w:rsidR="008C608B" w:rsidRPr="00327DAE" w:rsidRDefault="008C608B" w:rsidP="0025317F">
            <w:pPr>
              <w:spacing w:after="120"/>
              <w:rPr>
                <w:sz w:val="24"/>
                <w:szCs w:val="24"/>
              </w:rPr>
            </w:pPr>
            <w:r w:rsidRPr="00327DAE">
              <w:rPr>
                <w:sz w:val="24"/>
                <w:szCs w:val="24"/>
              </w:rPr>
              <w:lastRenderedPageBreak/>
              <w:t xml:space="preserve">Neatzītais prasījums bija apstrīdēts tiesā. Situācija par apstrīdētu darījumu iekļaušanu kreditoru sarakstā tolaik nebija viennozīmīgi regulēta. </w:t>
            </w:r>
          </w:p>
          <w:p w14:paraId="6DA4F04F" w14:textId="77777777" w:rsidR="008C608B" w:rsidRPr="00327DAE" w:rsidRDefault="008C608B" w:rsidP="0025317F">
            <w:pPr>
              <w:spacing w:after="120"/>
              <w:rPr>
                <w:sz w:val="24"/>
                <w:szCs w:val="24"/>
              </w:rPr>
            </w:pPr>
            <w:r w:rsidRPr="00327DAE">
              <w:rPr>
                <w:sz w:val="24"/>
                <w:szCs w:val="24"/>
              </w:rPr>
              <w:t>Jāatzīmē, ka likumdevēja eksperiments par ĀTAP plāna saskaņošanu kreditoru kopuma vairākumam praksē nebija veiksmīgs.</w:t>
            </w:r>
          </w:p>
          <w:p w14:paraId="6BA3F179" w14:textId="7E7E74B3" w:rsidR="008C608B" w:rsidRPr="00327DAE" w:rsidRDefault="008C608B" w:rsidP="0025317F">
            <w:pPr>
              <w:spacing w:after="120"/>
              <w:rPr>
                <w:sz w:val="24"/>
                <w:szCs w:val="24"/>
              </w:rPr>
            </w:pPr>
            <w:r w:rsidRPr="00327DAE">
              <w:rPr>
                <w:sz w:val="24"/>
                <w:szCs w:val="24"/>
              </w:rPr>
              <w:t>2010.</w:t>
            </w:r>
            <w:r w:rsidR="00636EFF">
              <w:rPr>
                <w:sz w:val="24"/>
                <w:szCs w:val="24"/>
              </w:rPr>
              <w:t> </w:t>
            </w:r>
            <w:r w:rsidRPr="00327DAE">
              <w:rPr>
                <w:sz w:val="24"/>
                <w:szCs w:val="24"/>
              </w:rPr>
              <w:t>gada nolēmumus tiesnese taisījusi</w:t>
            </w:r>
            <w:r w:rsidR="00636EFF">
              <w:rPr>
                <w:sz w:val="24"/>
                <w:szCs w:val="24"/>
              </w:rPr>
              <w:t>,</w:t>
            </w:r>
            <w:r w:rsidRPr="00327DAE">
              <w:rPr>
                <w:sz w:val="24"/>
                <w:szCs w:val="24"/>
              </w:rPr>
              <w:t xml:space="preserve"> pirms Augstākā tiesa nostiprinājusi atziņas šādu strīdīgu situāciju risināšanā.</w:t>
            </w:r>
          </w:p>
          <w:p w14:paraId="592B7E13" w14:textId="4069C85C" w:rsidR="008C608B" w:rsidRPr="00327DAE" w:rsidRDefault="008C608B" w:rsidP="0025317F">
            <w:pPr>
              <w:spacing w:after="120"/>
              <w:rPr>
                <w:sz w:val="24"/>
                <w:szCs w:val="24"/>
              </w:rPr>
            </w:pPr>
            <w:r w:rsidRPr="00327DAE">
              <w:rPr>
                <w:sz w:val="24"/>
                <w:szCs w:val="24"/>
              </w:rPr>
              <w:t xml:space="preserve">Šajā lietā, vērtējot parādnieka un administratora rīcību, var saskatīt vēlmi, izmantojot ĀTAP procesu, nodrošināt sev vēlamā administratora iecelšanu maksātnespējas procesā. </w:t>
            </w:r>
          </w:p>
        </w:tc>
      </w:tr>
      <w:tr w:rsidR="008C608B" w:rsidRPr="00327DAE" w14:paraId="3C4BAF00" w14:textId="77777777" w:rsidTr="00B40DAA">
        <w:trPr>
          <w:trHeight w:val="301"/>
        </w:trPr>
        <w:tc>
          <w:tcPr>
            <w:tcW w:w="562" w:type="dxa"/>
            <w:vMerge/>
          </w:tcPr>
          <w:p w14:paraId="333CD447"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7454A3A1" w14:textId="7BC0042D" w:rsidR="008C608B" w:rsidRPr="00C77017" w:rsidRDefault="008C608B" w:rsidP="0025317F">
            <w:pPr>
              <w:spacing w:after="120"/>
              <w:rPr>
                <w:i/>
                <w:sz w:val="24"/>
                <w:szCs w:val="24"/>
              </w:rPr>
            </w:pPr>
            <w:r w:rsidRPr="00C77017">
              <w:rPr>
                <w:i/>
                <w:sz w:val="24"/>
                <w:szCs w:val="24"/>
              </w:rPr>
              <w:t>H. Jaujas atsevišķie secinājumi</w:t>
            </w:r>
          </w:p>
          <w:p w14:paraId="67495469" w14:textId="4A28ECC6" w:rsidR="008C608B" w:rsidRPr="00327DAE" w:rsidRDefault="008C608B" w:rsidP="0025317F">
            <w:pPr>
              <w:spacing w:after="120"/>
              <w:rPr>
                <w:sz w:val="24"/>
                <w:szCs w:val="24"/>
              </w:rPr>
            </w:pPr>
            <w:r w:rsidRPr="00F5726E">
              <w:rPr>
                <w:sz w:val="24"/>
                <w:szCs w:val="24"/>
              </w:rPr>
              <w:t>Var piekrist apgalvojumam, ka laikā, kad tika taisīts</w:t>
            </w:r>
            <w:r w:rsidRPr="00327DAE">
              <w:rPr>
                <w:sz w:val="24"/>
                <w:szCs w:val="24"/>
              </w:rPr>
              <w:t xml:space="preserve"> aplūkojamais lēmums, jautājums par strīdīgu kreditoru prasījumu iekļaušanu TAP plānā bija neskaidrs, jo likumā tas nebija noregulēts. Jāatzīst, ka arī šobrīd šis jautājums nav viennozīmīgi skaidrs, jo, lai gan likums paredz iekļaut TAP plānā ziņas par prasījumiem, par kuriem ir strīds, joprojām </w:t>
            </w:r>
            <w:r w:rsidR="00C77017" w:rsidRPr="00327DAE">
              <w:rPr>
                <w:sz w:val="24"/>
                <w:szCs w:val="24"/>
              </w:rPr>
              <w:t xml:space="preserve">nav </w:t>
            </w:r>
            <w:r w:rsidRPr="00327DAE">
              <w:rPr>
                <w:sz w:val="24"/>
                <w:szCs w:val="24"/>
              </w:rPr>
              <w:t xml:space="preserve">precīzi noregulēts strīdus kreditoru statuss. No šāda viedokļa tiesnesei </w:t>
            </w:r>
            <w:r w:rsidR="00FD0FC9">
              <w:rPr>
                <w:sz w:val="24"/>
                <w:szCs w:val="24"/>
              </w:rPr>
              <w:t>V. </w:t>
            </w:r>
            <w:proofErr w:type="spellStart"/>
            <w:r w:rsidRPr="00327DAE">
              <w:rPr>
                <w:sz w:val="24"/>
                <w:szCs w:val="24"/>
              </w:rPr>
              <w:t>Grebežniecei</w:t>
            </w:r>
            <w:proofErr w:type="spellEnd"/>
            <w:r w:rsidRPr="00327DAE">
              <w:rPr>
                <w:sz w:val="24"/>
                <w:szCs w:val="24"/>
              </w:rPr>
              <w:t xml:space="preserve"> nevarētu pārmest atkāpšanos no likuma vai pieņemtās prakses</w:t>
            </w:r>
            <w:r w:rsidR="00C77017">
              <w:rPr>
                <w:sz w:val="24"/>
                <w:szCs w:val="24"/>
              </w:rPr>
              <w:t>.</w:t>
            </w:r>
          </w:p>
          <w:p w14:paraId="1F62AF82" w14:textId="18BF67C3" w:rsidR="008C608B" w:rsidRPr="00327DAE" w:rsidRDefault="008C608B" w:rsidP="0025317F">
            <w:pPr>
              <w:spacing w:after="120"/>
              <w:rPr>
                <w:sz w:val="24"/>
                <w:szCs w:val="24"/>
              </w:rPr>
            </w:pPr>
            <w:r w:rsidRPr="00327DAE">
              <w:rPr>
                <w:sz w:val="24"/>
                <w:szCs w:val="24"/>
              </w:rPr>
              <w:t>Taču šajā lietā uzmanības vērts ir apstāklis, ka parādnieks ĀTAP plānā kā strīdīgus bija norādīja nevis vienu, bet gan piecus (!) lielus kreditorus, kuru kopējā prasījumu summa bija 2 983 395,71</w:t>
            </w:r>
            <w:r w:rsidR="00C77017" w:rsidRPr="00327DAE">
              <w:rPr>
                <w:sz w:val="24"/>
                <w:szCs w:val="24"/>
              </w:rPr>
              <w:t xml:space="preserve"> Ls</w:t>
            </w:r>
            <w:r w:rsidRPr="00327DAE">
              <w:rPr>
                <w:sz w:val="24"/>
                <w:szCs w:val="24"/>
              </w:rPr>
              <w:t xml:space="preserve">. Tā </w:t>
            </w:r>
            <w:r w:rsidR="00C77017">
              <w:rPr>
                <w:sz w:val="24"/>
                <w:szCs w:val="24"/>
              </w:rPr>
              <w:t xml:space="preserve">ir </w:t>
            </w:r>
            <w:r w:rsidRPr="00327DAE">
              <w:rPr>
                <w:sz w:val="24"/>
                <w:szCs w:val="24"/>
              </w:rPr>
              <w:t>ļoti neierasta situācija. Neatzīto kreditoru prasījumu apmērs un balsu skaits (51,76</w:t>
            </w:r>
            <w:r w:rsidR="00D17CD2">
              <w:rPr>
                <w:sz w:val="24"/>
                <w:szCs w:val="24"/>
              </w:rPr>
              <w:t xml:space="preserve"> %), ar kuru tika saskaņots KS „</w:t>
            </w:r>
            <w:r w:rsidRPr="00327DAE">
              <w:rPr>
                <w:sz w:val="24"/>
                <w:szCs w:val="24"/>
              </w:rPr>
              <w:t>Abra” ĀTAP plāns</w:t>
            </w:r>
            <w:r w:rsidR="00C77017">
              <w:rPr>
                <w:sz w:val="24"/>
                <w:szCs w:val="24"/>
              </w:rPr>
              <w:t>,</w:t>
            </w:r>
            <w:r w:rsidRPr="00327DAE">
              <w:rPr>
                <w:sz w:val="24"/>
                <w:szCs w:val="24"/>
              </w:rPr>
              <w:t xml:space="preserve"> liek domāt, ka kreditoru prasījumi ir neatzīti mākslīgi, lai nodrošinātu to, ka ĀTAP plāns tiek saskaņots ar vajadzīgo balsu vairākumu. </w:t>
            </w:r>
          </w:p>
          <w:p w14:paraId="4E9CF095" w14:textId="4C6295E5" w:rsidR="008C608B" w:rsidRPr="00327DAE" w:rsidRDefault="008C608B" w:rsidP="0025317F">
            <w:pPr>
              <w:spacing w:after="120"/>
              <w:rPr>
                <w:sz w:val="24"/>
                <w:szCs w:val="24"/>
              </w:rPr>
            </w:pPr>
            <w:r w:rsidRPr="00327DAE">
              <w:rPr>
                <w:sz w:val="24"/>
                <w:szCs w:val="24"/>
              </w:rPr>
              <w:t>Bez šaubām</w:t>
            </w:r>
            <w:r w:rsidR="00C77017">
              <w:rPr>
                <w:sz w:val="24"/>
                <w:szCs w:val="24"/>
              </w:rPr>
              <w:t>,</w:t>
            </w:r>
            <w:r w:rsidRPr="00327DAE">
              <w:rPr>
                <w:sz w:val="24"/>
                <w:szCs w:val="24"/>
              </w:rPr>
              <w:t xml:space="preserve"> galvenā atbildība par šo manipulāciju gulstas uz ĀTAP plāna sastādīt</w:t>
            </w:r>
            <w:r w:rsidR="00C77017">
              <w:rPr>
                <w:sz w:val="24"/>
                <w:szCs w:val="24"/>
              </w:rPr>
              <w:t>ā</w:t>
            </w:r>
            <w:r w:rsidRPr="00327DAE">
              <w:rPr>
                <w:sz w:val="24"/>
                <w:szCs w:val="24"/>
              </w:rPr>
              <w:t>jiem un maksātnespējas administratoru A. Bērziņu (kurš</w:t>
            </w:r>
            <w:r w:rsidR="00C77017">
              <w:rPr>
                <w:sz w:val="24"/>
                <w:szCs w:val="24"/>
              </w:rPr>
              <w:t>,</w:t>
            </w:r>
            <w:r w:rsidRPr="00327DAE">
              <w:rPr>
                <w:sz w:val="24"/>
                <w:szCs w:val="24"/>
              </w:rPr>
              <w:t xml:space="preserve"> iespējams</w:t>
            </w:r>
            <w:r w:rsidR="00C77017">
              <w:rPr>
                <w:sz w:val="24"/>
                <w:szCs w:val="24"/>
              </w:rPr>
              <w:t>,</w:t>
            </w:r>
            <w:r w:rsidRPr="00327DAE">
              <w:rPr>
                <w:sz w:val="24"/>
                <w:szCs w:val="24"/>
              </w:rPr>
              <w:t xml:space="preserve"> arī ir pats piedalījies plāna sastādīšanā). Taču šī rīcība ir vērtējama kā ļoti pārdroša un liecina par to, ka</w:t>
            </w:r>
            <w:r w:rsidR="00C77017">
              <w:rPr>
                <w:sz w:val="24"/>
                <w:szCs w:val="24"/>
              </w:rPr>
              <w:t>,</w:t>
            </w:r>
            <w:r w:rsidRPr="00327DAE">
              <w:rPr>
                <w:sz w:val="24"/>
                <w:szCs w:val="24"/>
              </w:rPr>
              <w:t xml:space="preserve"> iespējams</w:t>
            </w:r>
            <w:r w:rsidR="00C77017">
              <w:rPr>
                <w:sz w:val="24"/>
                <w:szCs w:val="24"/>
              </w:rPr>
              <w:t>,</w:t>
            </w:r>
            <w:r w:rsidRPr="00327DAE">
              <w:rPr>
                <w:sz w:val="24"/>
                <w:szCs w:val="24"/>
              </w:rPr>
              <w:t xml:space="preserve"> ar parādnieku saistītajām personām bija pamats prezumēt, ka Siguldas ties</w:t>
            </w:r>
            <w:r w:rsidR="00C77017">
              <w:rPr>
                <w:sz w:val="24"/>
                <w:szCs w:val="24"/>
              </w:rPr>
              <w:t>ā</w:t>
            </w:r>
            <w:r w:rsidRPr="00327DAE">
              <w:rPr>
                <w:sz w:val="24"/>
                <w:szCs w:val="24"/>
              </w:rPr>
              <w:t xml:space="preserve"> šāds ĀTAP plāns tiks apstiprināts, kas arī notika.</w:t>
            </w:r>
          </w:p>
          <w:p w14:paraId="3FA872DF" w14:textId="7D1D5AA3" w:rsidR="008C608B" w:rsidRPr="00327DAE" w:rsidRDefault="008C608B" w:rsidP="0025317F">
            <w:pPr>
              <w:spacing w:after="120"/>
              <w:rPr>
                <w:sz w:val="24"/>
                <w:szCs w:val="24"/>
              </w:rPr>
            </w:pPr>
            <w:r w:rsidRPr="00327DAE">
              <w:rPr>
                <w:sz w:val="24"/>
                <w:szCs w:val="24"/>
              </w:rPr>
              <w:t>Saprātīgam tiesību piemērot</w:t>
            </w:r>
            <w:r w:rsidR="00C77017">
              <w:rPr>
                <w:sz w:val="24"/>
                <w:szCs w:val="24"/>
              </w:rPr>
              <w:t>ā</w:t>
            </w:r>
            <w:r w:rsidRPr="00327DAE">
              <w:rPr>
                <w:sz w:val="24"/>
                <w:szCs w:val="24"/>
              </w:rPr>
              <w:t>jam, kurš regulāri skata maksātnespējas un TAP lietas</w:t>
            </w:r>
            <w:r w:rsidR="00C77017">
              <w:rPr>
                <w:sz w:val="24"/>
                <w:szCs w:val="24"/>
              </w:rPr>
              <w:t>,</w:t>
            </w:r>
            <w:r w:rsidRPr="00327DAE">
              <w:rPr>
                <w:sz w:val="24"/>
                <w:szCs w:val="24"/>
              </w:rPr>
              <w:t xml:space="preserve"> šāda neparasta situācija nevarēja palikt nepamanīta un neradīt aizdomas. Tiesnese </w:t>
            </w:r>
            <w:r w:rsidR="00FD0FC9">
              <w:rPr>
                <w:sz w:val="24"/>
                <w:szCs w:val="24"/>
              </w:rPr>
              <w:t>V. </w:t>
            </w:r>
            <w:proofErr w:type="spellStart"/>
            <w:r w:rsidRPr="00327DAE">
              <w:rPr>
                <w:sz w:val="24"/>
                <w:szCs w:val="24"/>
              </w:rPr>
              <w:t>Grebežniece</w:t>
            </w:r>
            <w:proofErr w:type="spellEnd"/>
            <w:r w:rsidRPr="00327DAE">
              <w:rPr>
                <w:sz w:val="24"/>
                <w:szCs w:val="24"/>
              </w:rPr>
              <w:t xml:space="preserve"> 2010.</w:t>
            </w:r>
            <w:r w:rsidR="00C77017">
              <w:rPr>
                <w:sz w:val="24"/>
                <w:szCs w:val="24"/>
              </w:rPr>
              <w:t> </w:t>
            </w:r>
            <w:r w:rsidRPr="00327DAE">
              <w:rPr>
                <w:sz w:val="24"/>
                <w:szCs w:val="24"/>
              </w:rPr>
              <w:t>gadā skatīja ļoti daudz TAP un ĀTAP lietu (t.sk. tāpēc, ka daudzi parādnieki speciāli mainīja juridisko adresi pirms TAP/ĀTAP iesniegšanas, lai piekritība būtu Siguldas tiesai), tāpēc šis gadījums vi</w:t>
            </w:r>
            <w:r w:rsidR="00536A07" w:rsidRPr="00327DAE">
              <w:rPr>
                <w:sz w:val="24"/>
                <w:szCs w:val="24"/>
              </w:rPr>
              <w:t xml:space="preserve">ņai nevarēja neradīt aizdomas. </w:t>
            </w:r>
          </w:p>
        </w:tc>
      </w:tr>
      <w:tr w:rsidR="008C608B" w:rsidRPr="00327DAE" w14:paraId="5D19C1E0" w14:textId="77777777" w:rsidTr="00917C22">
        <w:trPr>
          <w:trHeight w:val="301"/>
        </w:trPr>
        <w:tc>
          <w:tcPr>
            <w:tcW w:w="562" w:type="dxa"/>
            <w:vMerge w:val="restart"/>
          </w:tcPr>
          <w:p w14:paraId="667D56CC" w14:textId="27C9D347" w:rsidR="008C608B" w:rsidRPr="00327DAE" w:rsidRDefault="008C608B" w:rsidP="0025317F">
            <w:pPr>
              <w:spacing w:after="120"/>
              <w:rPr>
                <w:b/>
                <w:sz w:val="24"/>
                <w:szCs w:val="24"/>
              </w:rPr>
            </w:pPr>
            <w:r w:rsidRPr="00327DAE">
              <w:rPr>
                <w:b/>
                <w:sz w:val="24"/>
                <w:szCs w:val="24"/>
              </w:rPr>
              <w:t>20.</w:t>
            </w:r>
          </w:p>
        </w:tc>
        <w:tc>
          <w:tcPr>
            <w:tcW w:w="1701" w:type="dxa"/>
            <w:shd w:val="clear" w:color="auto" w:fill="auto"/>
            <w:noWrap/>
            <w:vAlign w:val="bottom"/>
          </w:tcPr>
          <w:p w14:paraId="7177AE24" w14:textId="77777777" w:rsidR="008C608B" w:rsidRPr="00327DAE" w:rsidRDefault="008C608B" w:rsidP="0025317F">
            <w:pPr>
              <w:spacing w:after="120"/>
              <w:rPr>
                <w:b/>
                <w:sz w:val="24"/>
                <w:szCs w:val="24"/>
              </w:rPr>
            </w:pPr>
            <w:r w:rsidRPr="00327DAE">
              <w:rPr>
                <w:b/>
                <w:sz w:val="24"/>
                <w:szCs w:val="24"/>
              </w:rPr>
              <w:t>C35076014</w:t>
            </w:r>
            <w:r w:rsidRPr="00327DAE">
              <w:rPr>
                <w:rStyle w:val="FootnoteReference"/>
                <w:b/>
                <w:sz w:val="24"/>
                <w:szCs w:val="24"/>
              </w:rPr>
              <w:footnoteReference w:id="24"/>
            </w:r>
          </w:p>
          <w:p w14:paraId="176099B6" w14:textId="23896EE2" w:rsidR="008C608B" w:rsidRPr="00327DAE" w:rsidRDefault="008C608B" w:rsidP="0025317F">
            <w:pPr>
              <w:spacing w:after="120"/>
              <w:rPr>
                <w:b/>
                <w:sz w:val="24"/>
                <w:szCs w:val="24"/>
              </w:rPr>
            </w:pPr>
            <w:r w:rsidRPr="00327DAE">
              <w:rPr>
                <w:b/>
                <w:sz w:val="24"/>
                <w:szCs w:val="24"/>
              </w:rPr>
              <w:t>SPC-35/2014</w:t>
            </w:r>
          </w:p>
          <w:p w14:paraId="23CEE8F1" w14:textId="77777777" w:rsidR="008C608B" w:rsidRPr="00327DAE" w:rsidRDefault="008C608B" w:rsidP="0025317F">
            <w:pPr>
              <w:spacing w:after="120"/>
              <w:rPr>
                <w:b/>
                <w:sz w:val="24"/>
                <w:szCs w:val="24"/>
              </w:rPr>
            </w:pPr>
            <w:r w:rsidRPr="00327DAE">
              <w:rPr>
                <w:b/>
                <w:sz w:val="24"/>
                <w:szCs w:val="24"/>
              </w:rPr>
              <w:t xml:space="preserve">(arī </w:t>
            </w:r>
          </w:p>
          <w:p w14:paraId="6FF58DB1" w14:textId="53CB21B8" w:rsidR="008C608B" w:rsidRPr="00327DAE" w:rsidRDefault="008C608B" w:rsidP="0025317F">
            <w:pPr>
              <w:spacing w:after="120"/>
              <w:rPr>
                <w:b/>
                <w:sz w:val="24"/>
                <w:szCs w:val="24"/>
                <w:u w:val="single"/>
              </w:rPr>
            </w:pPr>
            <w:r w:rsidRPr="00327DAE">
              <w:rPr>
                <w:b/>
                <w:sz w:val="24"/>
                <w:szCs w:val="24"/>
              </w:rPr>
              <w:t>SPC-7/2015)</w:t>
            </w:r>
          </w:p>
        </w:tc>
        <w:tc>
          <w:tcPr>
            <w:tcW w:w="2268" w:type="dxa"/>
            <w:shd w:val="clear" w:color="auto" w:fill="auto"/>
            <w:vAlign w:val="bottom"/>
          </w:tcPr>
          <w:p w14:paraId="3A49B071" w14:textId="38BBB5DF" w:rsidR="008C608B" w:rsidRPr="00327DAE" w:rsidRDefault="008C608B" w:rsidP="0025317F">
            <w:pPr>
              <w:spacing w:after="120"/>
              <w:rPr>
                <w:b/>
                <w:sz w:val="24"/>
                <w:szCs w:val="24"/>
              </w:rPr>
            </w:pPr>
            <w:r w:rsidRPr="00327DAE">
              <w:rPr>
                <w:b/>
                <w:sz w:val="24"/>
                <w:szCs w:val="24"/>
              </w:rPr>
              <w:t>03.06.2014. lēmums (arī 8.09.2014. lēmums par maksātnespēju)</w:t>
            </w:r>
          </w:p>
        </w:tc>
        <w:tc>
          <w:tcPr>
            <w:tcW w:w="3828" w:type="dxa"/>
            <w:shd w:val="clear" w:color="auto" w:fill="auto"/>
            <w:vAlign w:val="bottom"/>
          </w:tcPr>
          <w:p w14:paraId="3802C3AE" w14:textId="77777777" w:rsidR="008C608B" w:rsidRPr="00327DAE" w:rsidRDefault="008C608B" w:rsidP="0025317F">
            <w:pPr>
              <w:pStyle w:val="Heading3"/>
            </w:pPr>
            <w:bookmarkStart w:id="35" w:name="_Toc522527510"/>
            <w:r w:rsidRPr="00327DAE">
              <w:t>ZS „Zemzari”: TAP īstenošana ĀTAP gadījumā</w:t>
            </w:r>
            <w:bookmarkEnd w:id="35"/>
          </w:p>
        </w:tc>
      </w:tr>
      <w:tr w:rsidR="008C608B" w:rsidRPr="00327DAE" w14:paraId="43883D5B" w14:textId="77777777" w:rsidTr="00DA5069">
        <w:trPr>
          <w:trHeight w:val="301"/>
        </w:trPr>
        <w:tc>
          <w:tcPr>
            <w:tcW w:w="562" w:type="dxa"/>
            <w:vMerge/>
          </w:tcPr>
          <w:p w14:paraId="2021044F"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2F483FC7" w14:textId="29ABBF6C" w:rsidR="008C608B" w:rsidRPr="00DA5069" w:rsidRDefault="008C608B"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14:paraId="00BCB093" w14:textId="519D4CFA"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01C37C67" w14:textId="4704DB23" w:rsidR="008C608B" w:rsidRPr="00DA5069" w:rsidRDefault="008C608B" w:rsidP="0025317F">
            <w:pPr>
              <w:spacing w:after="120"/>
              <w:rPr>
                <w:b/>
                <w:i/>
              </w:rPr>
            </w:pPr>
            <w:r w:rsidRPr="00DA5069">
              <w:rPr>
                <w:b/>
                <w:bCs/>
                <w:i/>
                <w:color w:val="000000"/>
              </w:rPr>
              <w:t>Lietu sadales veids/iemesls</w:t>
            </w:r>
          </w:p>
        </w:tc>
      </w:tr>
      <w:tr w:rsidR="008C608B" w:rsidRPr="00327DAE" w14:paraId="0F9A5C14" w14:textId="77777777" w:rsidTr="00DA5069">
        <w:trPr>
          <w:trHeight w:val="301"/>
        </w:trPr>
        <w:tc>
          <w:tcPr>
            <w:tcW w:w="562" w:type="dxa"/>
            <w:vMerge/>
          </w:tcPr>
          <w:p w14:paraId="273CF4DC"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1E0EE27A" w14:textId="401CEACA" w:rsidR="008C608B" w:rsidRPr="00DA5069" w:rsidRDefault="008C608B" w:rsidP="0025317F">
            <w:pPr>
              <w:spacing w:after="120"/>
              <w:rPr>
                <w:i/>
              </w:rPr>
            </w:pPr>
            <w:r w:rsidRPr="00DA5069">
              <w:rPr>
                <w:i/>
                <w:color w:val="000000"/>
              </w:rPr>
              <w:t>30.04.2014</w:t>
            </w:r>
          </w:p>
        </w:tc>
        <w:tc>
          <w:tcPr>
            <w:tcW w:w="2268" w:type="dxa"/>
            <w:tcBorders>
              <w:top w:val="single" w:sz="4" w:space="0" w:color="auto"/>
              <w:left w:val="nil"/>
              <w:bottom w:val="single" w:sz="4" w:space="0" w:color="auto"/>
              <w:right w:val="single" w:sz="4" w:space="0" w:color="auto"/>
            </w:tcBorders>
            <w:shd w:val="clear" w:color="auto" w:fill="E7E6E6" w:themeFill="background2"/>
          </w:tcPr>
          <w:p w14:paraId="3C132E73" w14:textId="30682BCA" w:rsidR="008C608B" w:rsidRPr="00DA5069" w:rsidRDefault="008C608B" w:rsidP="0025317F">
            <w:pPr>
              <w:spacing w:after="120"/>
              <w:rPr>
                <w:i/>
              </w:rPr>
            </w:pPr>
            <w:r w:rsidRPr="00DA5069">
              <w:rPr>
                <w:i/>
                <w:color w:val="000000"/>
              </w:rPr>
              <w:t xml:space="preserve">Valija </w:t>
            </w:r>
            <w:proofErr w:type="spellStart"/>
            <w:r w:rsidRPr="00DA5069">
              <w:rPr>
                <w:i/>
                <w:color w:val="000000"/>
              </w:rPr>
              <w:t>Grebežniece</w:t>
            </w:r>
            <w:proofErr w:type="spellEnd"/>
          </w:p>
        </w:tc>
        <w:tc>
          <w:tcPr>
            <w:tcW w:w="3828" w:type="dxa"/>
            <w:tcBorders>
              <w:top w:val="single" w:sz="4" w:space="0" w:color="auto"/>
              <w:left w:val="nil"/>
              <w:bottom w:val="single" w:sz="4" w:space="0" w:color="auto"/>
              <w:right w:val="single" w:sz="4" w:space="0" w:color="auto"/>
            </w:tcBorders>
            <w:shd w:val="clear" w:color="auto" w:fill="E7E6E6" w:themeFill="background2"/>
          </w:tcPr>
          <w:p w14:paraId="46E9BA3C" w14:textId="2764A725" w:rsidR="008C608B" w:rsidRPr="00DA5069" w:rsidRDefault="008C608B" w:rsidP="0025317F">
            <w:pPr>
              <w:spacing w:after="120"/>
              <w:rPr>
                <w:i/>
              </w:rPr>
            </w:pPr>
            <w:r w:rsidRPr="00DA5069">
              <w:rPr>
                <w:i/>
                <w:color w:val="000000"/>
              </w:rPr>
              <w:t>Datorizēta lietu sadale. Tiesneša nozīmēšana.</w:t>
            </w:r>
          </w:p>
        </w:tc>
      </w:tr>
      <w:tr w:rsidR="008C608B" w:rsidRPr="00327DAE" w14:paraId="54734C9F" w14:textId="77777777" w:rsidTr="00B40DAA">
        <w:trPr>
          <w:trHeight w:val="301"/>
        </w:trPr>
        <w:tc>
          <w:tcPr>
            <w:tcW w:w="562" w:type="dxa"/>
            <w:vMerge/>
          </w:tcPr>
          <w:p w14:paraId="402F9C25"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0650B8FC" w14:textId="6A2B275B" w:rsidR="008C608B" w:rsidRPr="00327DAE" w:rsidRDefault="008C608B" w:rsidP="0025317F">
            <w:pPr>
              <w:spacing w:after="120"/>
              <w:rPr>
                <w:i/>
                <w:sz w:val="24"/>
                <w:szCs w:val="24"/>
              </w:rPr>
            </w:pPr>
            <w:r w:rsidRPr="00327DAE">
              <w:rPr>
                <w:i/>
                <w:sz w:val="24"/>
                <w:szCs w:val="24"/>
              </w:rPr>
              <w:t>Augstākās tiesas norādītais lēmum</w:t>
            </w:r>
            <w:r w:rsidR="00C77017">
              <w:rPr>
                <w:i/>
                <w:sz w:val="24"/>
                <w:szCs w:val="24"/>
              </w:rPr>
              <w:t>s</w:t>
            </w:r>
            <w:r w:rsidRPr="00327DAE">
              <w:rPr>
                <w:i/>
                <w:sz w:val="24"/>
                <w:szCs w:val="24"/>
              </w:rPr>
              <w:t xml:space="preserve"> sprieduma atcelšanai</w:t>
            </w:r>
          </w:p>
          <w:p w14:paraId="1BEA21FA" w14:textId="1491CFEA" w:rsidR="008C608B" w:rsidRPr="00327DAE" w:rsidRDefault="008C608B" w:rsidP="0025317F">
            <w:pPr>
              <w:spacing w:after="120"/>
              <w:rPr>
                <w:sz w:val="24"/>
                <w:szCs w:val="24"/>
              </w:rPr>
            </w:pPr>
            <w:r w:rsidRPr="00327DAE">
              <w:rPr>
                <w:sz w:val="24"/>
                <w:szCs w:val="24"/>
              </w:rPr>
              <w:t>Lēmumā nav atrodama uz pierādījumu (dokumentu) izvērtēšanu balstīta analīze, kas dotu pamatu atzīt, ka parādniece nonākusi finansiālās grūtībās un tai nepieciešams īstenot ārpustiesas tiesiskās aizsardzības procesu; kreditors iesniedzis tiesā iebildumus par parādnieces TAP plānu, kurus tiesnese nav izvērtējusi.</w:t>
            </w:r>
          </w:p>
          <w:p w14:paraId="002632B0" w14:textId="544B6BD4" w:rsidR="008C608B" w:rsidRPr="00327DAE" w:rsidRDefault="008C608B" w:rsidP="0025317F">
            <w:pPr>
              <w:spacing w:after="120"/>
              <w:rPr>
                <w:sz w:val="24"/>
                <w:szCs w:val="24"/>
              </w:rPr>
            </w:pPr>
            <w:r w:rsidRPr="00327DAE">
              <w:rPr>
                <w:sz w:val="24"/>
                <w:szCs w:val="24"/>
              </w:rPr>
              <w:t>(SPC-7/2015 lēmumā konstatēts, ka, neskatoties uz to, ka lieta faktiski bija nosūtīta AT protesta izskatīšanai, tiesnese lēmusi par ĀTAP izbeigšanu un maksātnespējas pasludināšanu).</w:t>
            </w:r>
          </w:p>
        </w:tc>
      </w:tr>
      <w:tr w:rsidR="008C608B" w:rsidRPr="00327DAE" w14:paraId="3784DD14" w14:textId="77777777" w:rsidTr="00B40DAA">
        <w:trPr>
          <w:trHeight w:val="301"/>
        </w:trPr>
        <w:tc>
          <w:tcPr>
            <w:tcW w:w="562" w:type="dxa"/>
            <w:vMerge/>
          </w:tcPr>
          <w:p w14:paraId="664F62ED"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0E930D4B" w14:textId="77777777" w:rsidR="008C608B" w:rsidRPr="00327DAE" w:rsidRDefault="008C608B" w:rsidP="0025317F">
            <w:pPr>
              <w:shd w:val="clear" w:color="auto" w:fill="FFFFFF" w:themeFill="background1"/>
              <w:spacing w:after="120"/>
              <w:rPr>
                <w:sz w:val="24"/>
                <w:szCs w:val="24"/>
              </w:rPr>
            </w:pPr>
            <w:r w:rsidRPr="00327DAE">
              <w:rPr>
                <w:i/>
                <w:sz w:val="24"/>
                <w:szCs w:val="24"/>
              </w:rPr>
              <w:t>Ekspertu secinājumi</w:t>
            </w:r>
            <w:r w:rsidRPr="00327DAE">
              <w:rPr>
                <w:sz w:val="24"/>
                <w:szCs w:val="24"/>
              </w:rPr>
              <w:t xml:space="preserve"> </w:t>
            </w:r>
          </w:p>
          <w:p w14:paraId="4299BE9E" w14:textId="6BDA355F" w:rsidR="008C608B" w:rsidRPr="00E27399" w:rsidRDefault="008C608B" w:rsidP="00302854">
            <w:pPr>
              <w:shd w:val="clear" w:color="auto" w:fill="FFFFFF" w:themeFill="background1"/>
              <w:spacing w:after="120"/>
              <w:rPr>
                <w:sz w:val="24"/>
                <w:szCs w:val="24"/>
              </w:rPr>
            </w:pPr>
            <w:r w:rsidRPr="00E27399">
              <w:rPr>
                <w:sz w:val="24"/>
                <w:szCs w:val="24"/>
              </w:rPr>
              <w:t>Apšaubāma ir šajā un lietās Nr. SPC</w:t>
            </w:r>
            <w:r w:rsidRPr="00E27399">
              <w:rPr>
                <w:sz w:val="24"/>
                <w:szCs w:val="24"/>
              </w:rPr>
              <w:noBreakHyphen/>
              <w:t>2/2011 un Nr. SPC</w:t>
            </w:r>
            <w:r w:rsidRPr="00E27399">
              <w:rPr>
                <w:sz w:val="24"/>
                <w:szCs w:val="24"/>
              </w:rPr>
              <w:noBreakHyphen/>
              <w:t>214/10 tiesneses izmantotā vienādā pieeja, kad pēc ĀTAP pasludināšanas tiek mēģināts ātri pāriet uz maksātnespēju, neraugoties uz to, ka lieta atrodas Augstākās tiesas lietvedībā protesta kārtībā. Tas var norādīt uz mēģinājumu izvairīties no protesta skatīšanas un legalizēt procesu ar ĀTAP kārtībā ieceltu administratoru. Turklāt protestu apmierināšana</w:t>
            </w:r>
            <w:r w:rsidR="00302854">
              <w:rPr>
                <w:sz w:val="24"/>
                <w:szCs w:val="24"/>
              </w:rPr>
              <w:t xml:space="preserve"> šajās abās</w:t>
            </w:r>
            <w:r w:rsidRPr="00E27399">
              <w:rPr>
                <w:sz w:val="24"/>
                <w:szCs w:val="24"/>
              </w:rPr>
              <w:t xml:space="preserve"> lietās norāda uz to, ka ĀTAP pasludināšana bija ar juridiskiem defektiem, kas pastiprina aizdomas par vēlmi izvairīties no protestu izskatīšanas.</w:t>
            </w:r>
          </w:p>
          <w:p w14:paraId="1F329688" w14:textId="30A404D9" w:rsidR="008C608B" w:rsidRDefault="008C608B" w:rsidP="0025317F">
            <w:pPr>
              <w:shd w:val="clear" w:color="auto" w:fill="FFFFFF" w:themeFill="background1"/>
              <w:spacing w:after="120"/>
              <w:rPr>
                <w:sz w:val="24"/>
                <w:szCs w:val="24"/>
              </w:rPr>
            </w:pPr>
            <w:r w:rsidRPr="00E27399">
              <w:rPr>
                <w:sz w:val="24"/>
                <w:szCs w:val="24"/>
              </w:rPr>
              <w:t>Ņemot vērā, ka par identisku jautājumu A</w:t>
            </w:r>
            <w:r w:rsidR="00D17CD2">
              <w:rPr>
                <w:sz w:val="24"/>
                <w:szCs w:val="24"/>
              </w:rPr>
              <w:t xml:space="preserve">ugstākā tiesa </w:t>
            </w:r>
            <w:r w:rsidRPr="00E27399">
              <w:rPr>
                <w:sz w:val="24"/>
                <w:szCs w:val="24"/>
              </w:rPr>
              <w:t>lēmusi jau 2010.</w:t>
            </w:r>
            <w:r w:rsidR="00C77017">
              <w:rPr>
                <w:sz w:val="24"/>
                <w:szCs w:val="24"/>
              </w:rPr>
              <w:t> </w:t>
            </w:r>
            <w:r w:rsidRPr="00E27399">
              <w:rPr>
                <w:sz w:val="24"/>
                <w:szCs w:val="24"/>
              </w:rPr>
              <w:t xml:space="preserve">gadā par šīs pašas tiesneses </w:t>
            </w:r>
            <w:r w:rsidRPr="00302854">
              <w:rPr>
                <w:sz w:val="24"/>
                <w:szCs w:val="24"/>
              </w:rPr>
              <w:t>lēmumu (</w:t>
            </w:r>
            <w:r w:rsidR="00302854" w:rsidRPr="00302854">
              <w:rPr>
                <w:sz w:val="24"/>
                <w:szCs w:val="24"/>
              </w:rPr>
              <w:t>Nr. </w:t>
            </w:r>
            <w:r w:rsidRPr="00302854">
              <w:rPr>
                <w:sz w:val="24"/>
                <w:szCs w:val="24"/>
              </w:rPr>
              <w:t>SPC-</w:t>
            </w:r>
            <w:r w:rsidR="00302854" w:rsidRPr="00302854">
              <w:rPr>
                <w:sz w:val="24"/>
                <w:szCs w:val="24"/>
              </w:rPr>
              <w:t>2/2011</w:t>
            </w:r>
            <w:r w:rsidRPr="00302854">
              <w:rPr>
                <w:sz w:val="24"/>
                <w:szCs w:val="24"/>
              </w:rPr>
              <w:t>), tad šāda kļūdas atkārt</w:t>
            </w:r>
            <w:r w:rsidR="00302854">
              <w:rPr>
                <w:sz w:val="24"/>
                <w:szCs w:val="24"/>
              </w:rPr>
              <w:t>ošana vērtējama kā nopietna kļūda.</w:t>
            </w:r>
          </w:p>
          <w:p w14:paraId="570F51B1" w14:textId="6A98E28E" w:rsidR="003007CA" w:rsidRPr="00327DAE" w:rsidRDefault="003007CA" w:rsidP="0025317F">
            <w:pPr>
              <w:shd w:val="clear" w:color="auto" w:fill="FFFFFF" w:themeFill="background1"/>
              <w:spacing w:after="120"/>
              <w:rPr>
                <w:sz w:val="24"/>
                <w:szCs w:val="24"/>
              </w:rPr>
            </w:pPr>
            <w:r w:rsidRPr="00E732C1">
              <w:rPr>
                <w:color w:val="000000"/>
                <w:sz w:val="24"/>
                <w:szCs w:val="24"/>
              </w:rPr>
              <w:t xml:space="preserve">Tomēr, ņemot vērā tiesneša pietiekamo pieredzi un kvalifikāciju šā </w:t>
            </w:r>
            <w:r>
              <w:rPr>
                <w:color w:val="000000"/>
                <w:sz w:val="24"/>
                <w:szCs w:val="24"/>
              </w:rPr>
              <w:t>no</w:t>
            </w:r>
            <w:r w:rsidRPr="00E732C1">
              <w:rPr>
                <w:color w:val="000000"/>
                <w:sz w:val="24"/>
                <w:szCs w:val="24"/>
              </w:rPr>
              <w:t>lēmuma pieņemšanas brīdī</w:t>
            </w:r>
            <w:r>
              <w:rPr>
                <w:color w:val="000000"/>
                <w:sz w:val="24"/>
                <w:szCs w:val="24"/>
              </w:rPr>
              <w:t>,</w:t>
            </w:r>
            <w:r w:rsidRPr="00E732C1">
              <w:rPr>
                <w:color w:val="000000"/>
                <w:sz w:val="24"/>
                <w:szCs w:val="24"/>
              </w:rPr>
              <w:t xml:space="preserve"> lai šādas kļūdas nepieļautu, apstākļu kopsakars norāda uz pietiekami lielu varbūtību, ka šajā lietā tiesnesis varētu būt vai nu pieļāvis rupju nolaidību, vai arī rīkojies ļaunprātīgi.</w:t>
            </w:r>
          </w:p>
          <w:p w14:paraId="38B94B27" w14:textId="1F5AC629" w:rsidR="008C608B" w:rsidRPr="00327DAE" w:rsidRDefault="008C608B" w:rsidP="00D17CD2">
            <w:pPr>
              <w:shd w:val="clear" w:color="auto" w:fill="FFFFFF" w:themeFill="background1"/>
              <w:spacing w:after="120"/>
              <w:rPr>
                <w:sz w:val="24"/>
                <w:szCs w:val="24"/>
              </w:rPr>
            </w:pPr>
            <w:r w:rsidRPr="00327DAE">
              <w:rPr>
                <w:sz w:val="24"/>
                <w:szCs w:val="24"/>
              </w:rPr>
              <w:t>Ņemot vērā, ka abās minētajās lietās kā administrators norādīts A.</w:t>
            </w:r>
            <w:r w:rsidR="00C77017">
              <w:rPr>
                <w:sz w:val="24"/>
                <w:szCs w:val="24"/>
              </w:rPr>
              <w:t> </w:t>
            </w:r>
            <w:r w:rsidRPr="00327DAE">
              <w:rPr>
                <w:sz w:val="24"/>
                <w:szCs w:val="24"/>
              </w:rPr>
              <w:t>Bērziņš, nepieciešams pārbaudīt maksātnespējas procesu, kuros administratora pienākumus pildījis A. Bērziņš, objektīvo pamatotību piekritību Siguldas tiesai, piemēram, SIA „CCP finanses”, SIA „MEŽLEJAS”, SIA „R CASE”, SIA „EKO FORUMS”, SIA „ SERISA” .</w:t>
            </w:r>
          </w:p>
        </w:tc>
      </w:tr>
      <w:tr w:rsidR="008C608B" w:rsidRPr="00327DAE" w14:paraId="0A36A3BB" w14:textId="77777777" w:rsidTr="00B40DAA">
        <w:trPr>
          <w:trHeight w:val="301"/>
        </w:trPr>
        <w:tc>
          <w:tcPr>
            <w:tcW w:w="562" w:type="dxa"/>
            <w:vMerge/>
          </w:tcPr>
          <w:p w14:paraId="79E63AD2"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441FA369" w14:textId="453DB06F" w:rsidR="008C608B" w:rsidRPr="00327DAE" w:rsidRDefault="008C608B" w:rsidP="0025317F">
            <w:pPr>
              <w:spacing w:after="120"/>
              <w:rPr>
                <w:i/>
                <w:sz w:val="24"/>
                <w:szCs w:val="24"/>
              </w:rPr>
            </w:pPr>
            <w:r w:rsidRPr="00327DAE">
              <w:rPr>
                <w:i/>
                <w:sz w:val="24"/>
                <w:szCs w:val="24"/>
              </w:rPr>
              <w:t>H. Jaujas atsevišķie secinājumi</w:t>
            </w:r>
          </w:p>
          <w:p w14:paraId="268AA09C" w14:textId="5E811355" w:rsidR="008C608B" w:rsidRPr="00327DAE" w:rsidRDefault="008C608B" w:rsidP="0025317F">
            <w:pPr>
              <w:spacing w:after="120"/>
              <w:rPr>
                <w:sz w:val="24"/>
                <w:szCs w:val="24"/>
              </w:rPr>
            </w:pPr>
            <w:r w:rsidRPr="00327DAE">
              <w:rPr>
                <w:sz w:val="24"/>
                <w:szCs w:val="24"/>
              </w:rPr>
              <w:t xml:space="preserve">ZS “Zemzari” ĀTAP administrators bija Andris Bērziņš. Šī ir viena no ĀTAP lietām, kurā tiesnese </w:t>
            </w:r>
            <w:r w:rsidR="00FD0FC9">
              <w:rPr>
                <w:sz w:val="24"/>
                <w:szCs w:val="24"/>
              </w:rPr>
              <w:t>V. </w:t>
            </w:r>
            <w:proofErr w:type="spellStart"/>
            <w:r w:rsidRPr="00327DAE">
              <w:rPr>
                <w:sz w:val="24"/>
                <w:szCs w:val="24"/>
              </w:rPr>
              <w:t>Grebežniece</w:t>
            </w:r>
            <w:proofErr w:type="spellEnd"/>
            <w:r w:rsidRPr="00327DAE">
              <w:rPr>
                <w:sz w:val="24"/>
                <w:szCs w:val="24"/>
              </w:rPr>
              <w:t>, neskatoties uz faktiskajiem apstākļiem, kas norādīja uz iespējamu kreditoru tiesību pārkāpšanu un procesa nelabticīgu izmantošanu, konsekventi lēma par labu parādniekam.</w:t>
            </w:r>
          </w:p>
          <w:p w14:paraId="106B94C3" w14:textId="4E0CC41D" w:rsidR="008C608B" w:rsidRPr="00327DAE" w:rsidRDefault="008C608B" w:rsidP="0025317F">
            <w:pPr>
              <w:spacing w:after="120"/>
              <w:rPr>
                <w:sz w:val="24"/>
                <w:szCs w:val="24"/>
              </w:rPr>
            </w:pPr>
            <w:r w:rsidRPr="00327DAE">
              <w:rPr>
                <w:sz w:val="24"/>
                <w:szCs w:val="24"/>
              </w:rPr>
              <w:t xml:space="preserve">Visi apstākļi to kopsakarā liecina, ka ZS ĀTAP, tāpat kā daudzi citi TAP un </w:t>
            </w:r>
            <w:r w:rsidR="00F5726E">
              <w:rPr>
                <w:sz w:val="24"/>
                <w:szCs w:val="24"/>
              </w:rPr>
              <w:t>Ā</w:t>
            </w:r>
            <w:r w:rsidRPr="00327DAE">
              <w:rPr>
                <w:sz w:val="24"/>
                <w:szCs w:val="24"/>
              </w:rPr>
              <w:t>TAP</w:t>
            </w:r>
            <w:r w:rsidR="00F5726E">
              <w:rPr>
                <w:sz w:val="24"/>
                <w:szCs w:val="24"/>
              </w:rPr>
              <w:t>,</w:t>
            </w:r>
            <w:r w:rsidRPr="00327DAE">
              <w:rPr>
                <w:sz w:val="24"/>
                <w:szCs w:val="24"/>
              </w:rPr>
              <w:t xml:space="preserve"> ir bijis līdzeklis, lai ar tā palīdzību parādnieks nonāktu maksātnespējas procesā ar sev vēlamo administratoru. Lai šo nodomu īstenotu, bija nepieciešams vispirms apstiprināt ĀTAP un tad izbeigt ĀTAP un pasludināt maksātnespējas procesu. Tiesnese </w:t>
            </w:r>
            <w:r w:rsidR="00FD0FC9">
              <w:rPr>
                <w:sz w:val="24"/>
                <w:szCs w:val="24"/>
              </w:rPr>
              <w:t>V. </w:t>
            </w:r>
            <w:proofErr w:type="spellStart"/>
            <w:r w:rsidRPr="00327DAE">
              <w:rPr>
                <w:sz w:val="24"/>
                <w:szCs w:val="24"/>
              </w:rPr>
              <w:t>Grebežniece</w:t>
            </w:r>
            <w:proofErr w:type="spellEnd"/>
            <w:r w:rsidRPr="00327DAE">
              <w:rPr>
                <w:sz w:val="24"/>
                <w:szCs w:val="24"/>
              </w:rPr>
              <w:t xml:space="preserve"> no sākuma </w:t>
            </w:r>
            <w:r w:rsidR="00F5726E">
              <w:rPr>
                <w:sz w:val="24"/>
                <w:szCs w:val="24"/>
              </w:rPr>
              <w:t>ap</w:t>
            </w:r>
            <w:r w:rsidR="00F5726E" w:rsidRPr="00327DAE">
              <w:rPr>
                <w:sz w:val="24"/>
                <w:szCs w:val="24"/>
              </w:rPr>
              <w:t xml:space="preserve">stiprināja </w:t>
            </w:r>
            <w:r w:rsidRPr="00327DAE">
              <w:rPr>
                <w:sz w:val="24"/>
                <w:szCs w:val="24"/>
              </w:rPr>
              <w:t xml:space="preserve">šaubīgu </w:t>
            </w:r>
            <w:r w:rsidR="00F5726E">
              <w:rPr>
                <w:sz w:val="24"/>
                <w:szCs w:val="24"/>
              </w:rPr>
              <w:t>Ā</w:t>
            </w:r>
            <w:r w:rsidRPr="00327DAE">
              <w:rPr>
                <w:sz w:val="24"/>
                <w:szCs w:val="24"/>
              </w:rPr>
              <w:t xml:space="preserve">TAP, ignorējot kreditoru iebildumus, bet pēc tam izbeidza </w:t>
            </w:r>
            <w:r w:rsidR="00F5726E">
              <w:rPr>
                <w:sz w:val="24"/>
                <w:szCs w:val="24"/>
              </w:rPr>
              <w:t>Ā</w:t>
            </w:r>
            <w:r w:rsidRPr="00327DAE">
              <w:rPr>
                <w:sz w:val="24"/>
                <w:szCs w:val="24"/>
              </w:rPr>
              <w:t xml:space="preserve">TAP, neskatoties uz to, ka par </w:t>
            </w:r>
            <w:r w:rsidR="00F5726E">
              <w:rPr>
                <w:sz w:val="24"/>
                <w:szCs w:val="24"/>
              </w:rPr>
              <w:t>Ā</w:t>
            </w:r>
            <w:r w:rsidRPr="00327DAE">
              <w:rPr>
                <w:sz w:val="24"/>
                <w:szCs w:val="24"/>
              </w:rPr>
              <w:t>TAP apstiprināšanu bija iesniegts protests un uzsākta tiesvedība AT C</w:t>
            </w:r>
            <w:r w:rsidR="001F01BD" w:rsidRPr="00327DAE">
              <w:rPr>
                <w:sz w:val="24"/>
                <w:szCs w:val="24"/>
              </w:rPr>
              <w:t>L</w:t>
            </w:r>
            <w:r w:rsidRPr="00327DAE">
              <w:rPr>
                <w:sz w:val="24"/>
                <w:szCs w:val="24"/>
              </w:rPr>
              <w:t>D. Šāda rīcība</w:t>
            </w:r>
            <w:r w:rsidR="00F5726E">
              <w:rPr>
                <w:sz w:val="24"/>
                <w:szCs w:val="24"/>
              </w:rPr>
              <w:t>,</w:t>
            </w:r>
            <w:r w:rsidRPr="00327DAE">
              <w:rPr>
                <w:sz w:val="24"/>
                <w:szCs w:val="24"/>
              </w:rPr>
              <w:t xml:space="preserve"> otro reizi izbeidzot ĀTAP brīdī, kad AT C</w:t>
            </w:r>
            <w:r w:rsidR="001F01BD" w:rsidRPr="00327DAE">
              <w:rPr>
                <w:sz w:val="24"/>
                <w:szCs w:val="24"/>
              </w:rPr>
              <w:t>L</w:t>
            </w:r>
            <w:r w:rsidRPr="00327DAE">
              <w:rPr>
                <w:sz w:val="24"/>
                <w:szCs w:val="24"/>
              </w:rPr>
              <w:t xml:space="preserve">D </w:t>
            </w:r>
            <w:r w:rsidRPr="00327DAE">
              <w:rPr>
                <w:sz w:val="24"/>
                <w:szCs w:val="24"/>
              </w:rPr>
              <w:lastRenderedPageBreak/>
              <w:t>tiek vērtēta ĀTAP apstiprināšanas likumība (pirmo reizi AT C</w:t>
            </w:r>
            <w:r w:rsidR="001F01BD" w:rsidRPr="00327DAE">
              <w:rPr>
                <w:sz w:val="24"/>
                <w:szCs w:val="24"/>
              </w:rPr>
              <w:t>L</w:t>
            </w:r>
            <w:r w:rsidRPr="00327DAE">
              <w:rPr>
                <w:sz w:val="24"/>
                <w:szCs w:val="24"/>
              </w:rPr>
              <w:t xml:space="preserve">D šādu </w:t>
            </w:r>
            <w:r w:rsidR="00FD0FC9">
              <w:rPr>
                <w:sz w:val="24"/>
                <w:szCs w:val="24"/>
              </w:rPr>
              <w:t>V. </w:t>
            </w:r>
            <w:proofErr w:type="spellStart"/>
            <w:r w:rsidRPr="00327DAE">
              <w:rPr>
                <w:sz w:val="24"/>
                <w:szCs w:val="24"/>
              </w:rPr>
              <w:t>Grebežnieces</w:t>
            </w:r>
            <w:proofErr w:type="spellEnd"/>
            <w:r w:rsidRPr="00327DAE">
              <w:rPr>
                <w:sz w:val="24"/>
                <w:szCs w:val="24"/>
              </w:rPr>
              <w:t xml:space="preserve"> lēmumu atcēla), ir vērtējama kā klajš pārkāpums, kas izdarīts negodprātīga parādnie</w:t>
            </w:r>
            <w:r w:rsidR="00536A07" w:rsidRPr="00327DAE">
              <w:rPr>
                <w:sz w:val="24"/>
                <w:szCs w:val="24"/>
              </w:rPr>
              <w:t>ka un administratora interesēs.</w:t>
            </w:r>
          </w:p>
        </w:tc>
      </w:tr>
      <w:tr w:rsidR="008C608B" w:rsidRPr="00327DAE" w14:paraId="0966D890" w14:textId="77777777" w:rsidTr="00917C22">
        <w:trPr>
          <w:trHeight w:val="301"/>
        </w:trPr>
        <w:tc>
          <w:tcPr>
            <w:tcW w:w="562" w:type="dxa"/>
            <w:vMerge w:val="restart"/>
          </w:tcPr>
          <w:p w14:paraId="7F220DCC" w14:textId="1A3FAF1D" w:rsidR="008C608B" w:rsidRPr="00327DAE" w:rsidRDefault="008C608B" w:rsidP="0025317F">
            <w:pPr>
              <w:spacing w:after="120"/>
              <w:rPr>
                <w:b/>
                <w:sz w:val="24"/>
                <w:szCs w:val="24"/>
              </w:rPr>
            </w:pPr>
            <w:r w:rsidRPr="00327DAE">
              <w:rPr>
                <w:b/>
                <w:sz w:val="24"/>
                <w:szCs w:val="24"/>
              </w:rPr>
              <w:lastRenderedPageBreak/>
              <w:t>21.</w:t>
            </w:r>
          </w:p>
        </w:tc>
        <w:tc>
          <w:tcPr>
            <w:tcW w:w="1701" w:type="dxa"/>
            <w:shd w:val="clear" w:color="auto" w:fill="auto"/>
            <w:noWrap/>
            <w:vAlign w:val="bottom"/>
          </w:tcPr>
          <w:p w14:paraId="58783A87" w14:textId="77777777" w:rsidR="008C608B" w:rsidRPr="00327DAE" w:rsidRDefault="008C608B" w:rsidP="0025317F">
            <w:pPr>
              <w:spacing w:after="120"/>
              <w:rPr>
                <w:b/>
                <w:sz w:val="24"/>
                <w:szCs w:val="24"/>
              </w:rPr>
            </w:pPr>
            <w:r w:rsidRPr="00327DAE">
              <w:rPr>
                <w:b/>
                <w:sz w:val="24"/>
                <w:szCs w:val="24"/>
              </w:rPr>
              <w:t>C35061410</w:t>
            </w:r>
            <w:r w:rsidRPr="00327DAE">
              <w:rPr>
                <w:rStyle w:val="FootnoteReference"/>
                <w:b/>
                <w:sz w:val="24"/>
                <w:szCs w:val="24"/>
              </w:rPr>
              <w:footnoteReference w:id="25"/>
            </w:r>
          </w:p>
          <w:p w14:paraId="176A2AC8" w14:textId="77777777" w:rsidR="008C608B" w:rsidRPr="00327DAE" w:rsidRDefault="008C608B" w:rsidP="0025317F">
            <w:pPr>
              <w:spacing w:after="120"/>
              <w:rPr>
                <w:b/>
                <w:sz w:val="24"/>
                <w:szCs w:val="24"/>
                <w:u w:val="single"/>
              </w:rPr>
            </w:pPr>
            <w:r w:rsidRPr="00327DAE">
              <w:rPr>
                <w:b/>
                <w:sz w:val="24"/>
                <w:szCs w:val="24"/>
              </w:rPr>
              <w:t>SPC-0213-10</w:t>
            </w:r>
          </w:p>
        </w:tc>
        <w:tc>
          <w:tcPr>
            <w:tcW w:w="2268" w:type="dxa"/>
            <w:shd w:val="clear" w:color="auto" w:fill="auto"/>
            <w:vAlign w:val="bottom"/>
          </w:tcPr>
          <w:p w14:paraId="5EF7F70C" w14:textId="46BB46F3" w:rsidR="008C608B" w:rsidRPr="00327DAE" w:rsidRDefault="008C608B" w:rsidP="0025317F">
            <w:pPr>
              <w:spacing w:after="120"/>
              <w:rPr>
                <w:b/>
                <w:sz w:val="24"/>
                <w:szCs w:val="24"/>
              </w:rPr>
            </w:pPr>
            <w:r w:rsidRPr="00327DAE">
              <w:rPr>
                <w:b/>
                <w:color w:val="000000"/>
                <w:sz w:val="24"/>
                <w:szCs w:val="24"/>
              </w:rPr>
              <w:t>Tiesneses V</w:t>
            </w:r>
            <w:r w:rsidR="00922310">
              <w:rPr>
                <w:b/>
                <w:color w:val="000000"/>
                <w:sz w:val="24"/>
                <w:szCs w:val="24"/>
              </w:rPr>
              <w:t>. </w:t>
            </w:r>
            <w:proofErr w:type="spellStart"/>
            <w:r w:rsidRPr="00327DAE">
              <w:rPr>
                <w:b/>
                <w:color w:val="000000"/>
                <w:sz w:val="24"/>
                <w:szCs w:val="24"/>
              </w:rPr>
              <w:t>Grebežnieces</w:t>
            </w:r>
            <w:proofErr w:type="spellEnd"/>
            <w:r w:rsidRPr="00327DAE">
              <w:rPr>
                <w:b/>
                <w:color w:val="000000"/>
                <w:sz w:val="24"/>
                <w:szCs w:val="24"/>
              </w:rPr>
              <w:t xml:space="preserve"> </w:t>
            </w:r>
            <w:r w:rsidRPr="00327DAE">
              <w:rPr>
                <w:b/>
                <w:sz w:val="24"/>
                <w:szCs w:val="24"/>
              </w:rPr>
              <w:t>31.03.2010. lēmums</w:t>
            </w:r>
          </w:p>
        </w:tc>
        <w:tc>
          <w:tcPr>
            <w:tcW w:w="3828" w:type="dxa"/>
            <w:shd w:val="clear" w:color="auto" w:fill="auto"/>
            <w:vAlign w:val="bottom"/>
          </w:tcPr>
          <w:p w14:paraId="69CD70A2" w14:textId="77777777" w:rsidR="008C608B" w:rsidRPr="00DA5069" w:rsidRDefault="008C608B" w:rsidP="0025317F">
            <w:pPr>
              <w:pStyle w:val="Heading3"/>
            </w:pPr>
            <w:bookmarkStart w:id="36" w:name="_Toc522527511"/>
            <w:r w:rsidRPr="00DA5069">
              <w:t>SIA „ZS VEĢI”: TAP īstenošana ĀTAP gadījumā</w:t>
            </w:r>
            <w:bookmarkEnd w:id="36"/>
          </w:p>
        </w:tc>
      </w:tr>
      <w:tr w:rsidR="008C608B" w:rsidRPr="00327DAE" w14:paraId="7530FFFE" w14:textId="77777777" w:rsidTr="00DA5069">
        <w:trPr>
          <w:trHeight w:val="301"/>
        </w:trPr>
        <w:tc>
          <w:tcPr>
            <w:tcW w:w="562" w:type="dxa"/>
            <w:vMerge/>
          </w:tcPr>
          <w:p w14:paraId="066FA80B"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63BFE1D4" w14:textId="2695FDEB" w:rsidR="008C608B" w:rsidRPr="00DA5069" w:rsidRDefault="008C608B" w:rsidP="0025317F">
            <w:pPr>
              <w:spacing w:after="120"/>
              <w:rPr>
                <w:b/>
                <w:i/>
                <w:color w:val="000000"/>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14:paraId="56E70272" w14:textId="60A461A3"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14:paraId="5347666B" w14:textId="67F1430C" w:rsidR="008C608B" w:rsidRPr="00DA5069" w:rsidRDefault="008C608B" w:rsidP="0025317F">
            <w:pPr>
              <w:spacing w:after="120"/>
              <w:rPr>
                <w:b/>
                <w:i/>
              </w:rPr>
            </w:pPr>
            <w:r w:rsidRPr="00DA5069">
              <w:rPr>
                <w:b/>
                <w:bCs/>
                <w:i/>
                <w:color w:val="000000"/>
              </w:rPr>
              <w:t>Lietu sadales veids/iemesls</w:t>
            </w:r>
          </w:p>
        </w:tc>
      </w:tr>
      <w:tr w:rsidR="008C608B" w:rsidRPr="00327DAE" w14:paraId="7D5E8759" w14:textId="77777777" w:rsidTr="00DA5069">
        <w:trPr>
          <w:trHeight w:val="301"/>
        </w:trPr>
        <w:tc>
          <w:tcPr>
            <w:tcW w:w="562" w:type="dxa"/>
            <w:vMerge/>
          </w:tcPr>
          <w:p w14:paraId="4480DC3F" w14:textId="77777777"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5082F2FE" w14:textId="6CE67360" w:rsidR="008C608B" w:rsidRPr="00DA5069" w:rsidRDefault="008C608B" w:rsidP="0025317F">
            <w:pPr>
              <w:spacing w:after="120"/>
              <w:rPr>
                <w:i/>
                <w:color w:val="000000"/>
              </w:rPr>
            </w:pPr>
            <w:r w:rsidRPr="00DA5069">
              <w:rPr>
                <w:i/>
                <w:color w:val="000000"/>
              </w:rPr>
              <w:t>26.03.2010</w:t>
            </w:r>
          </w:p>
        </w:tc>
        <w:tc>
          <w:tcPr>
            <w:tcW w:w="2268" w:type="dxa"/>
            <w:tcBorders>
              <w:top w:val="single" w:sz="4" w:space="0" w:color="auto"/>
              <w:left w:val="nil"/>
              <w:bottom w:val="single" w:sz="4" w:space="0" w:color="auto"/>
              <w:right w:val="single" w:sz="4" w:space="0" w:color="auto"/>
            </w:tcBorders>
            <w:shd w:val="clear" w:color="auto" w:fill="E7E6E6" w:themeFill="background2"/>
          </w:tcPr>
          <w:p w14:paraId="74CCD361" w14:textId="5FE5280D" w:rsidR="008C608B" w:rsidRPr="00DA5069" w:rsidRDefault="008C608B" w:rsidP="0025317F">
            <w:pPr>
              <w:spacing w:after="120"/>
              <w:rPr>
                <w:i/>
              </w:rPr>
            </w:pPr>
            <w:r w:rsidRPr="00DA5069">
              <w:rPr>
                <w:i/>
                <w:color w:val="000000"/>
              </w:rPr>
              <w:t xml:space="preserve">Valija </w:t>
            </w:r>
            <w:proofErr w:type="spellStart"/>
            <w:r w:rsidRPr="00DA5069">
              <w:rPr>
                <w:i/>
                <w:color w:val="000000"/>
              </w:rPr>
              <w:t>Grebežniece</w:t>
            </w:r>
            <w:proofErr w:type="spellEnd"/>
          </w:p>
        </w:tc>
        <w:tc>
          <w:tcPr>
            <w:tcW w:w="3828" w:type="dxa"/>
            <w:tcBorders>
              <w:top w:val="single" w:sz="4" w:space="0" w:color="auto"/>
              <w:left w:val="nil"/>
              <w:bottom w:val="single" w:sz="4" w:space="0" w:color="auto"/>
              <w:right w:val="single" w:sz="4" w:space="0" w:color="auto"/>
            </w:tcBorders>
            <w:shd w:val="clear" w:color="auto" w:fill="E7E6E6" w:themeFill="background2"/>
          </w:tcPr>
          <w:p w14:paraId="4AB0D815" w14:textId="753E766D" w:rsidR="008C608B" w:rsidRPr="00DA5069" w:rsidRDefault="008C608B" w:rsidP="0025317F">
            <w:pPr>
              <w:spacing w:after="120"/>
              <w:rPr>
                <w:i/>
              </w:rPr>
            </w:pPr>
            <w:r w:rsidRPr="00DA5069">
              <w:rPr>
                <w:i/>
                <w:color w:val="000000"/>
              </w:rPr>
              <w:t xml:space="preserve">Datorizēta lietu sadale. </w:t>
            </w:r>
          </w:p>
        </w:tc>
      </w:tr>
      <w:tr w:rsidR="008C608B" w:rsidRPr="00327DAE" w14:paraId="0E0C960D" w14:textId="77777777" w:rsidTr="00B40DAA">
        <w:trPr>
          <w:trHeight w:val="301"/>
        </w:trPr>
        <w:tc>
          <w:tcPr>
            <w:tcW w:w="562" w:type="dxa"/>
            <w:vMerge/>
          </w:tcPr>
          <w:p w14:paraId="498EBA65"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143CF2F9" w14:textId="337FB5C3" w:rsidR="008C608B" w:rsidRPr="00327DAE" w:rsidRDefault="008C608B" w:rsidP="0025317F">
            <w:pPr>
              <w:spacing w:after="120"/>
              <w:rPr>
                <w:i/>
                <w:sz w:val="24"/>
                <w:szCs w:val="24"/>
              </w:rPr>
            </w:pPr>
            <w:r w:rsidRPr="00327DAE">
              <w:rPr>
                <w:i/>
                <w:sz w:val="24"/>
                <w:szCs w:val="24"/>
              </w:rPr>
              <w:t>Augstākās tiesas norādītais pamats lēmuma atcelšanai</w:t>
            </w:r>
          </w:p>
          <w:p w14:paraId="69D43BF2" w14:textId="2613105E" w:rsidR="008C608B" w:rsidRPr="00327DAE" w:rsidRDefault="008C608B" w:rsidP="0025317F">
            <w:pPr>
              <w:spacing w:after="120"/>
              <w:rPr>
                <w:sz w:val="24"/>
                <w:szCs w:val="24"/>
              </w:rPr>
            </w:pPr>
            <w:r w:rsidRPr="00327DAE">
              <w:rPr>
                <w:sz w:val="24"/>
                <w:szCs w:val="24"/>
              </w:rPr>
              <w:t>ĀTAP ir izstrādāts,</w:t>
            </w:r>
            <w:r w:rsidR="00536A07" w:rsidRPr="00327DAE">
              <w:rPr>
                <w:sz w:val="24"/>
                <w:szCs w:val="24"/>
              </w:rPr>
              <w:t xml:space="preserve"> neņemot vērā visus kreditorus.</w:t>
            </w:r>
          </w:p>
        </w:tc>
      </w:tr>
      <w:tr w:rsidR="008C608B" w:rsidRPr="00327DAE" w14:paraId="418C21F8" w14:textId="77777777" w:rsidTr="00B40DAA">
        <w:trPr>
          <w:trHeight w:val="301"/>
        </w:trPr>
        <w:tc>
          <w:tcPr>
            <w:tcW w:w="562" w:type="dxa"/>
            <w:vMerge/>
          </w:tcPr>
          <w:p w14:paraId="13E51823"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56DBBF05" w14:textId="77777777" w:rsidR="008C608B" w:rsidRPr="00327DAE" w:rsidRDefault="008C608B" w:rsidP="0025317F">
            <w:pPr>
              <w:spacing w:after="120"/>
              <w:rPr>
                <w:sz w:val="24"/>
                <w:szCs w:val="24"/>
              </w:rPr>
            </w:pPr>
            <w:r w:rsidRPr="00327DAE">
              <w:rPr>
                <w:i/>
                <w:sz w:val="24"/>
                <w:szCs w:val="24"/>
              </w:rPr>
              <w:t>Ekspertu secinājumi</w:t>
            </w:r>
            <w:r w:rsidRPr="00327DAE">
              <w:rPr>
                <w:sz w:val="24"/>
                <w:szCs w:val="24"/>
              </w:rPr>
              <w:t xml:space="preserve"> </w:t>
            </w:r>
          </w:p>
          <w:p w14:paraId="2FCAE41E" w14:textId="1C11DE2F" w:rsidR="008C608B" w:rsidRPr="00327DAE" w:rsidRDefault="00D17CD2" w:rsidP="0025317F">
            <w:pPr>
              <w:spacing w:after="120"/>
              <w:rPr>
                <w:sz w:val="24"/>
                <w:szCs w:val="24"/>
              </w:rPr>
            </w:pPr>
            <w:r>
              <w:rPr>
                <w:sz w:val="24"/>
                <w:szCs w:val="24"/>
              </w:rPr>
              <w:t>Līdzīga „</w:t>
            </w:r>
            <w:r w:rsidR="008C608B" w:rsidRPr="00327DAE">
              <w:rPr>
                <w:sz w:val="24"/>
                <w:szCs w:val="24"/>
              </w:rPr>
              <w:t>Abra” lietai (Nr. C35063710). Administrators nav iekļāvis saskaņošanā kreditoru, kura prasījumu viņš nebija atzinis.</w:t>
            </w:r>
          </w:p>
          <w:p w14:paraId="473C0785" w14:textId="77777777" w:rsidR="008C608B" w:rsidRPr="00327DAE" w:rsidRDefault="008C608B" w:rsidP="0025317F">
            <w:pPr>
              <w:spacing w:after="120"/>
              <w:rPr>
                <w:sz w:val="24"/>
                <w:szCs w:val="24"/>
              </w:rPr>
            </w:pPr>
            <w:r w:rsidRPr="00327DAE">
              <w:rPr>
                <w:sz w:val="24"/>
                <w:szCs w:val="24"/>
              </w:rPr>
              <w:t xml:space="preserve">Situācija par apstrīdētu darījumu iekļaušanu kreditoru sarakstā nebija viennozīmīgi regulēta. </w:t>
            </w:r>
          </w:p>
          <w:p w14:paraId="64F957F3" w14:textId="50A50D01" w:rsidR="008C608B" w:rsidRPr="00327DAE" w:rsidRDefault="008C608B" w:rsidP="0025317F">
            <w:pPr>
              <w:spacing w:after="120"/>
              <w:rPr>
                <w:sz w:val="24"/>
                <w:szCs w:val="24"/>
              </w:rPr>
            </w:pPr>
            <w:r w:rsidRPr="00327DAE">
              <w:rPr>
                <w:sz w:val="24"/>
                <w:szCs w:val="24"/>
              </w:rPr>
              <w:t xml:space="preserve">Likumdevēja eksperiments par ĀTAP plāna saskaņošanu kreditoru kopuma vairākumam praksē nebija veiksmīgs. Problēmu radīja likumā lietotais nosacījums, ka tikai pēc saskaņošanas ĀTAP tiek „nosūtīts visiem kreditoriem”, kas nenodrošināja informētību par tā izstrādes procesu un saskaņošanu. </w:t>
            </w:r>
          </w:p>
          <w:p w14:paraId="4CAFEEED" w14:textId="2D9B9323" w:rsidR="008C608B" w:rsidRPr="00327DAE" w:rsidRDefault="008C608B" w:rsidP="0025317F">
            <w:pPr>
              <w:spacing w:after="120"/>
              <w:rPr>
                <w:sz w:val="24"/>
                <w:szCs w:val="24"/>
              </w:rPr>
            </w:pPr>
            <w:r w:rsidRPr="00327DAE">
              <w:rPr>
                <w:sz w:val="24"/>
                <w:szCs w:val="24"/>
              </w:rPr>
              <w:t>Tikai Senāta tulkojums veidoja izpratni, ka Maksātnespējas likuma 38.</w:t>
            </w:r>
            <w:r w:rsidR="00F5726E">
              <w:rPr>
                <w:sz w:val="24"/>
                <w:szCs w:val="24"/>
              </w:rPr>
              <w:t> </w:t>
            </w:r>
            <w:r w:rsidRPr="00327DAE">
              <w:rPr>
                <w:sz w:val="24"/>
                <w:szCs w:val="24"/>
              </w:rPr>
              <w:t>panta pirmajā daļā lasāms, ka „nosūtīts visiem” nozīmē visiem kreditoriem, kas norādīti grāmatvedības dokumentos un kuriem ir atzīts prasījums. Pirms tam faktiski praksē, ja neatzina, tad nepaziņoja.</w:t>
            </w:r>
          </w:p>
          <w:p w14:paraId="550F285C" w14:textId="5DFF14FE" w:rsidR="008C608B" w:rsidRPr="00327DAE" w:rsidRDefault="008C608B" w:rsidP="0025317F">
            <w:pPr>
              <w:spacing w:after="120"/>
              <w:rPr>
                <w:sz w:val="24"/>
                <w:szCs w:val="24"/>
              </w:rPr>
            </w:pPr>
            <w:r w:rsidRPr="00327DAE">
              <w:rPr>
                <w:sz w:val="24"/>
                <w:szCs w:val="24"/>
              </w:rPr>
              <w:t>2010. gada nolēmumus tiesnese taisījusi</w:t>
            </w:r>
            <w:r w:rsidR="00F5726E">
              <w:rPr>
                <w:sz w:val="24"/>
                <w:szCs w:val="24"/>
              </w:rPr>
              <w:t>,</w:t>
            </w:r>
            <w:r w:rsidRPr="00327DAE">
              <w:rPr>
                <w:sz w:val="24"/>
                <w:szCs w:val="24"/>
              </w:rPr>
              <w:t xml:space="preserve"> pirms Augstākā tiesa nostiprinājusi atziņas šādu</w:t>
            </w:r>
            <w:r w:rsidR="00536A07" w:rsidRPr="00327DAE">
              <w:rPr>
                <w:sz w:val="24"/>
                <w:szCs w:val="24"/>
              </w:rPr>
              <w:t xml:space="preserve"> strīdīgu situāciju risināšanā.</w:t>
            </w:r>
          </w:p>
        </w:tc>
      </w:tr>
      <w:tr w:rsidR="008C608B" w:rsidRPr="00327DAE" w14:paraId="015A19E3" w14:textId="77777777" w:rsidTr="00B40DAA">
        <w:trPr>
          <w:trHeight w:val="301"/>
        </w:trPr>
        <w:tc>
          <w:tcPr>
            <w:tcW w:w="562" w:type="dxa"/>
            <w:vMerge/>
          </w:tcPr>
          <w:p w14:paraId="11D0EE3D"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25E7C6D4" w14:textId="7A1D8580" w:rsidR="008C608B" w:rsidRPr="00327DAE" w:rsidRDefault="008C608B" w:rsidP="0025317F">
            <w:pPr>
              <w:spacing w:after="120"/>
              <w:rPr>
                <w:i/>
                <w:sz w:val="24"/>
                <w:szCs w:val="24"/>
              </w:rPr>
            </w:pPr>
            <w:r w:rsidRPr="00327DAE">
              <w:rPr>
                <w:i/>
                <w:sz w:val="24"/>
                <w:szCs w:val="24"/>
              </w:rPr>
              <w:t>H. Jaujas atsevišķie secinājumi</w:t>
            </w:r>
          </w:p>
          <w:p w14:paraId="17505F06" w14:textId="5ACC65D9" w:rsidR="008C608B" w:rsidRPr="00327DAE" w:rsidRDefault="008C608B" w:rsidP="0025317F">
            <w:pPr>
              <w:spacing w:after="120"/>
              <w:rPr>
                <w:sz w:val="24"/>
                <w:szCs w:val="24"/>
              </w:rPr>
            </w:pPr>
            <w:r w:rsidRPr="00327DAE">
              <w:rPr>
                <w:sz w:val="24"/>
                <w:szCs w:val="24"/>
              </w:rPr>
              <w:t>ĀTAP lietā administrators bija Aigars Lūsis, kurš praktizēja vienā birojā ar Andri Bērziņu. Respektīvi</w:t>
            </w:r>
            <w:r w:rsidR="00F5726E">
              <w:rPr>
                <w:sz w:val="24"/>
                <w:szCs w:val="24"/>
              </w:rPr>
              <w:t>,</w:t>
            </w:r>
            <w:r w:rsidRPr="00327DAE">
              <w:rPr>
                <w:sz w:val="24"/>
                <w:szCs w:val="24"/>
              </w:rPr>
              <w:t xml:space="preserve"> šo lietu var pieska</w:t>
            </w:r>
            <w:r w:rsidR="00F5726E">
              <w:rPr>
                <w:sz w:val="24"/>
                <w:szCs w:val="24"/>
              </w:rPr>
              <w:t>i</w:t>
            </w:r>
            <w:r w:rsidRPr="00327DAE">
              <w:rPr>
                <w:sz w:val="24"/>
                <w:szCs w:val="24"/>
              </w:rPr>
              <w:t>tīt pie pārējām 13 ĀTAP lietām, kurās administrators bija A.</w:t>
            </w:r>
            <w:r w:rsidR="00F5726E">
              <w:rPr>
                <w:sz w:val="24"/>
                <w:szCs w:val="24"/>
              </w:rPr>
              <w:t> </w:t>
            </w:r>
            <w:r w:rsidRPr="00327DAE">
              <w:rPr>
                <w:sz w:val="24"/>
                <w:szCs w:val="24"/>
              </w:rPr>
              <w:t>Bērziņš u</w:t>
            </w:r>
            <w:r w:rsidR="00536A07" w:rsidRPr="00327DAE">
              <w:rPr>
                <w:sz w:val="24"/>
                <w:szCs w:val="24"/>
              </w:rPr>
              <w:t>n kuras nonāca Siguldas tiesā.</w:t>
            </w:r>
          </w:p>
        </w:tc>
      </w:tr>
      <w:tr w:rsidR="008C2218" w:rsidRPr="00327DAE" w14:paraId="54E6CDA2" w14:textId="77777777" w:rsidTr="00917C22">
        <w:trPr>
          <w:trHeight w:val="416"/>
        </w:trPr>
        <w:tc>
          <w:tcPr>
            <w:tcW w:w="562" w:type="dxa"/>
            <w:vMerge w:val="restart"/>
          </w:tcPr>
          <w:p w14:paraId="38000B0D" w14:textId="2A033EB6" w:rsidR="008C2218" w:rsidRPr="00327DAE" w:rsidRDefault="008C2218" w:rsidP="0025317F">
            <w:pPr>
              <w:spacing w:after="120"/>
              <w:rPr>
                <w:b/>
                <w:sz w:val="24"/>
                <w:szCs w:val="24"/>
              </w:rPr>
            </w:pPr>
            <w:r w:rsidRPr="00327DAE">
              <w:rPr>
                <w:b/>
                <w:sz w:val="24"/>
                <w:szCs w:val="24"/>
              </w:rPr>
              <w:t>22.</w:t>
            </w:r>
          </w:p>
        </w:tc>
        <w:tc>
          <w:tcPr>
            <w:tcW w:w="1701" w:type="dxa"/>
            <w:shd w:val="clear" w:color="auto" w:fill="auto"/>
            <w:noWrap/>
            <w:vAlign w:val="bottom"/>
            <w:hideMark/>
          </w:tcPr>
          <w:p w14:paraId="74B4B109" w14:textId="77777777" w:rsidR="008C2218" w:rsidRPr="00327DAE" w:rsidRDefault="008C2218" w:rsidP="0025317F">
            <w:pPr>
              <w:spacing w:after="120"/>
              <w:rPr>
                <w:b/>
                <w:sz w:val="24"/>
                <w:szCs w:val="24"/>
              </w:rPr>
            </w:pPr>
            <w:r w:rsidRPr="00327DAE">
              <w:rPr>
                <w:b/>
                <w:sz w:val="24"/>
                <w:szCs w:val="24"/>
              </w:rPr>
              <w:t>C35062610</w:t>
            </w:r>
            <w:r w:rsidRPr="00327DAE">
              <w:rPr>
                <w:rStyle w:val="FootnoteReference"/>
                <w:b/>
                <w:sz w:val="24"/>
                <w:szCs w:val="24"/>
              </w:rPr>
              <w:footnoteReference w:id="26"/>
            </w:r>
          </w:p>
        </w:tc>
        <w:tc>
          <w:tcPr>
            <w:tcW w:w="2268" w:type="dxa"/>
            <w:shd w:val="clear" w:color="auto" w:fill="auto"/>
            <w:vAlign w:val="bottom"/>
            <w:hideMark/>
          </w:tcPr>
          <w:p w14:paraId="52F892C4" w14:textId="77777777" w:rsidR="008C2218" w:rsidRPr="00327DAE" w:rsidRDefault="008C2218" w:rsidP="0025317F">
            <w:pPr>
              <w:spacing w:after="120"/>
              <w:rPr>
                <w:b/>
                <w:sz w:val="24"/>
                <w:szCs w:val="24"/>
              </w:rPr>
            </w:pPr>
          </w:p>
        </w:tc>
        <w:tc>
          <w:tcPr>
            <w:tcW w:w="3828" w:type="dxa"/>
            <w:shd w:val="clear" w:color="auto" w:fill="auto"/>
            <w:vAlign w:val="bottom"/>
            <w:hideMark/>
          </w:tcPr>
          <w:p w14:paraId="252343A5" w14:textId="77777777" w:rsidR="008C2218" w:rsidRPr="00327DAE" w:rsidRDefault="008C2218" w:rsidP="0025317F">
            <w:pPr>
              <w:pStyle w:val="Heading3"/>
            </w:pPr>
            <w:bookmarkStart w:id="37" w:name="_Toc522527512"/>
            <w:r w:rsidRPr="00327DAE">
              <w:t>SIA „BLC”: TAP pieteikums</w:t>
            </w:r>
            <w:bookmarkEnd w:id="37"/>
          </w:p>
        </w:tc>
      </w:tr>
      <w:tr w:rsidR="00F52CE0" w:rsidRPr="00327DAE" w14:paraId="762FC8A9" w14:textId="77777777" w:rsidTr="00DA5069">
        <w:trPr>
          <w:trHeight w:val="416"/>
        </w:trPr>
        <w:tc>
          <w:tcPr>
            <w:tcW w:w="562" w:type="dxa"/>
            <w:vMerge/>
          </w:tcPr>
          <w:p w14:paraId="77CA6247" w14:textId="77777777" w:rsidR="00F52CE0" w:rsidRPr="00327DAE" w:rsidRDefault="00F52CE0" w:rsidP="0025317F">
            <w:pPr>
              <w:spacing w:after="120"/>
              <w:rPr>
                <w:b/>
                <w:sz w:val="24"/>
                <w:szCs w:val="24"/>
              </w:rPr>
            </w:pPr>
          </w:p>
        </w:tc>
        <w:tc>
          <w:tcPr>
            <w:tcW w:w="1701" w:type="dxa"/>
            <w:shd w:val="clear" w:color="auto" w:fill="E7E6E6" w:themeFill="background2"/>
            <w:noWrap/>
            <w:vAlign w:val="center"/>
          </w:tcPr>
          <w:p w14:paraId="2A29306F" w14:textId="096789FB" w:rsidR="00F52CE0" w:rsidRPr="009D11F9" w:rsidRDefault="00F52CE0" w:rsidP="0025317F">
            <w:pPr>
              <w:spacing w:after="120"/>
              <w:rPr>
                <w:b/>
                <w:i/>
              </w:rPr>
            </w:pPr>
            <w:r w:rsidRPr="009D11F9">
              <w:rPr>
                <w:b/>
                <w:i/>
              </w:rPr>
              <w:t>Sadales datums</w:t>
            </w:r>
          </w:p>
        </w:tc>
        <w:tc>
          <w:tcPr>
            <w:tcW w:w="2268" w:type="dxa"/>
            <w:shd w:val="clear" w:color="auto" w:fill="E7E6E6" w:themeFill="background2"/>
            <w:vAlign w:val="center"/>
          </w:tcPr>
          <w:p w14:paraId="0933E8DF" w14:textId="64250F83" w:rsidR="00F52CE0" w:rsidRPr="009D11F9" w:rsidRDefault="00F52CE0" w:rsidP="0025317F">
            <w:pPr>
              <w:spacing w:after="120"/>
              <w:rPr>
                <w:b/>
                <w:i/>
              </w:rPr>
            </w:pPr>
            <w:r w:rsidRPr="009D11F9">
              <w:rPr>
                <w:b/>
                <w:i/>
              </w:rPr>
              <w:t>Tiesnesis pēc sadales</w:t>
            </w:r>
          </w:p>
        </w:tc>
        <w:tc>
          <w:tcPr>
            <w:tcW w:w="3828" w:type="dxa"/>
            <w:shd w:val="clear" w:color="auto" w:fill="E7E6E6" w:themeFill="background2"/>
            <w:vAlign w:val="bottom"/>
          </w:tcPr>
          <w:p w14:paraId="27795E9F" w14:textId="7CD110AB" w:rsidR="00F52CE0" w:rsidRPr="009D11F9" w:rsidRDefault="00F52CE0" w:rsidP="0025317F">
            <w:pPr>
              <w:spacing w:after="120"/>
              <w:rPr>
                <w:b/>
                <w:i/>
              </w:rPr>
            </w:pPr>
            <w:r w:rsidRPr="009D11F9">
              <w:rPr>
                <w:b/>
                <w:i/>
              </w:rPr>
              <w:t>Lietu sadales veids/iemesls</w:t>
            </w:r>
          </w:p>
        </w:tc>
      </w:tr>
      <w:tr w:rsidR="00F52CE0" w:rsidRPr="00327DAE" w14:paraId="43EE1537" w14:textId="77777777" w:rsidTr="00DA5069">
        <w:trPr>
          <w:trHeight w:val="416"/>
        </w:trPr>
        <w:tc>
          <w:tcPr>
            <w:tcW w:w="562" w:type="dxa"/>
            <w:vMerge/>
          </w:tcPr>
          <w:p w14:paraId="6940206F" w14:textId="77777777" w:rsidR="00F52CE0" w:rsidRPr="00327DAE" w:rsidRDefault="00F52CE0" w:rsidP="0025317F">
            <w:pPr>
              <w:spacing w:after="120"/>
              <w:rPr>
                <w:b/>
                <w:sz w:val="24"/>
                <w:szCs w:val="24"/>
              </w:rPr>
            </w:pPr>
          </w:p>
        </w:tc>
        <w:tc>
          <w:tcPr>
            <w:tcW w:w="1701" w:type="dxa"/>
            <w:shd w:val="clear" w:color="auto" w:fill="E7E6E6" w:themeFill="background2"/>
            <w:noWrap/>
            <w:vAlign w:val="bottom"/>
          </w:tcPr>
          <w:p w14:paraId="5C2926CD" w14:textId="52133C7E" w:rsidR="00F52CE0" w:rsidRPr="009D11F9" w:rsidRDefault="00F52CE0" w:rsidP="0025317F">
            <w:pPr>
              <w:spacing w:after="120"/>
              <w:rPr>
                <w:i/>
              </w:rPr>
            </w:pPr>
            <w:r w:rsidRPr="009D11F9">
              <w:rPr>
                <w:i/>
              </w:rPr>
              <w:t>25.03.2010</w:t>
            </w:r>
          </w:p>
        </w:tc>
        <w:tc>
          <w:tcPr>
            <w:tcW w:w="2268" w:type="dxa"/>
            <w:shd w:val="clear" w:color="auto" w:fill="E7E6E6" w:themeFill="background2"/>
            <w:vAlign w:val="bottom"/>
          </w:tcPr>
          <w:p w14:paraId="31C27691" w14:textId="12EA8E2F" w:rsidR="00F52CE0" w:rsidRPr="009D11F9" w:rsidRDefault="00F52CE0" w:rsidP="0025317F">
            <w:pPr>
              <w:spacing w:after="120"/>
              <w:rPr>
                <w:i/>
              </w:rPr>
            </w:pPr>
            <w:r w:rsidRPr="009D11F9">
              <w:rPr>
                <w:i/>
              </w:rPr>
              <w:t>Ineta Riekstiņa</w:t>
            </w:r>
          </w:p>
        </w:tc>
        <w:tc>
          <w:tcPr>
            <w:tcW w:w="3828" w:type="dxa"/>
            <w:shd w:val="clear" w:color="auto" w:fill="E7E6E6" w:themeFill="background2"/>
            <w:vAlign w:val="bottom"/>
          </w:tcPr>
          <w:p w14:paraId="0C4B6854" w14:textId="5A78293E" w:rsidR="00F52CE0" w:rsidRPr="009D11F9" w:rsidRDefault="00F52CE0" w:rsidP="0025317F">
            <w:pPr>
              <w:spacing w:after="120"/>
              <w:rPr>
                <w:i/>
              </w:rPr>
            </w:pPr>
            <w:r w:rsidRPr="009D11F9">
              <w:rPr>
                <w:i/>
              </w:rPr>
              <w:t>Datorizēta lietu sadale</w:t>
            </w:r>
          </w:p>
        </w:tc>
      </w:tr>
      <w:tr w:rsidR="00F52CE0" w:rsidRPr="00327DAE" w14:paraId="19780AA2" w14:textId="77777777" w:rsidTr="00DA5069">
        <w:trPr>
          <w:trHeight w:val="416"/>
        </w:trPr>
        <w:tc>
          <w:tcPr>
            <w:tcW w:w="562" w:type="dxa"/>
            <w:vMerge/>
          </w:tcPr>
          <w:p w14:paraId="34CD9BA5" w14:textId="77777777" w:rsidR="00F52CE0" w:rsidRPr="00327DAE" w:rsidRDefault="00F52CE0" w:rsidP="0025317F">
            <w:pPr>
              <w:spacing w:after="120"/>
              <w:rPr>
                <w:b/>
                <w:sz w:val="24"/>
                <w:szCs w:val="24"/>
              </w:rPr>
            </w:pPr>
          </w:p>
        </w:tc>
        <w:tc>
          <w:tcPr>
            <w:tcW w:w="1701" w:type="dxa"/>
            <w:shd w:val="clear" w:color="auto" w:fill="E7E6E6" w:themeFill="background2"/>
            <w:noWrap/>
            <w:vAlign w:val="bottom"/>
          </w:tcPr>
          <w:p w14:paraId="4ED8C5A2" w14:textId="4ED30BFC" w:rsidR="00F52CE0" w:rsidRPr="009D11F9" w:rsidRDefault="00F52CE0" w:rsidP="0025317F">
            <w:pPr>
              <w:spacing w:after="120"/>
              <w:rPr>
                <w:i/>
              </w:rPr>
            </w:pPr>
            <w:r w:rsidRPr="009D11F9">
              <w:rPr>
                <w:i/>
              </w:rPr>
              <w:t>26.03.2010</w:t>
            </w:r>
          </w:p>
        </w:tc>
        <w:tc>
          <w:tcPr>
            <w:tcW w:w="2268" w:type="dxa"/>
            <w:shd w:val="clear" w:color="auto" w:fill="E7E6E6" w:themeFill="background2"/>
            <w:vAlign w:val="bottom"/>
          </w:tcPr>
          <w:p w14:paraId="6D22B6A2" w14:textId="117FA1EF" w:rsidR="00F52CE0" w:rsidRPr="009D11F9" w:rsidRDefault="00F52CE0" w:rsidP="0025317F">
            <w:pPr>
              <w:spacing w:after="120"/>
              <w:rPr>
                <w:i/>
              </w:rPr>
            </w:pPr>
            <w:r w:rsidRPr="009D11F9">
              <w:rPr>
                <w:i/>
              </w:rPr>
              <w:t xml:space="preserve">Valija </w:t>
            </w:r>
            <w:proofErr w:type="spellStart"/>
            <w:r w:rsidRPr="009D11F9">
              <w:rPr>
                <w:i/>
              </w:rPr>
              <w:t>Grebežniece</w:t>
            </w:r>
            <w:proofErr w:type="spellEnd"/>
          </w:p>
        </w:tc>
        <w:tc>
          <w:tcPr>
            <w:tcW w:w="3828" w:type="dxa"/>
            <w:shd w:val="clear" w:color="auto" w:fill="E7E6E6" w:themeFill="background2"/>
            <w:vAlign w:val="bottom"/>
          </w:tcPr>
          <w:p w14:paraId="67C55C6F" w14:textId="6D68153F" w:rsidR="00F52CE0" w:rsidRPr="009D11F9" w:rsidRDefault="00F52CE0" w:rsidP="0025317F">
            <w:pPr>
              <w:spacing w:after="120"/>
              <w:rPr>
                <w:i/>
              </w:rPr>
            </w:pPr>
            <w:r w:rsidRPr="009D11F9">
              <w:rPr>
                <w:i/>
              </w:rPr>
              <w:t>Manuāla lietu sadale – pēc priekšsēdētāja norādījuma</w:t>
            </w:r>
          </w:p>
        </w:tc>
      </w:tr>
      <w:tr w:rsidR="008C2218" w:rsidRPr="00327DAE" w14:paraId="43E93184" w14:textId="77777777" w:rsidTr="00B40DAA">
        <w:trPr>
          <w:trHeight w:val="416"/>
        </w:trPr>
        <w:tc>
          <w:tcPr>
            <w:tcW w:w="562" w:type="dxa"/>
            <w:vMerge/>
          </w:tcPr>
          <w:p w14:paraId="356B9EA3" w14:textId="77777777" w:rsidR="008C2218" w:rsidRPr="00327DAE" w:rsidRDefault="008C2218" w:rsidP="0025317F">
            <w:pPr>
              <w:spacing w:after="120"/>
              <w:rPr>
                <w:sz w:val="24"/>
                <w:szCs w:val="24"/>
              </w:rPr>
            </w:pPr>
          </w:p>
        </w:tc>
        <w:tc>
          <w:tcPr>
            <w:tcW w:w="7797" w:type="dxa"/>
            <w:gridSpan w:val="3"/>
            <w:shd w:val="clear" w:color="auto" w:fill="auto"/>
            <w:noWrap/>
            <w:vAlign w:val="bottom"/>
          </w:tcPr>
          <w:p w14:paraId="7CB1A46F" w14:textId="77777777" w:rsidR="008C2218" w:rsidRPr="00327DAE" w:rsidRDefault="008C2218" w:rsidP="0025317F">
            <w:pPr>
              <w:spacing w:after="120"/>
              <w:rPr>
                <w:sz w:val="24"/>
                <w:szCs w:val="24"/>
              </w:rPr>
            </w:pPr>
            <w:r w:rsidRPr="00327DAE">
              <w:rPr>
                <w:sz w:val="24"/>
                <w:szCs w:val="24"/>
              </w:rPr>
              <w:t>Protests par tiesneses pieņemtajiem lēmumiem Augstākajā tiesā nav iesniegts.</w:t>
            </w:r>
          </w:p>
          <w:p w14:paraId="45FE32A1" w14:textId="77777777" w:rsidR="008C2218" w:rsidRPr="00327DAE" w:rsidRDefault="008C2218" w:rsidP="0025317F">
            <w:pPr>
              <w:spacing w:after="120"/>
              <w:rPr>
                <w:sz w:val="24"/>
                <w:szCs w:val="24"/>
              </w:rPr>
            </w:pPr>
          </w:p>
        </w:tc>
      </w:tr>
      <w:tr w:rsidR="008C2218" w:rsidRPr="00327DAE" w14:paraId="2906CF82" w14:textId="77777777" w:rsidTr="00B40DAA">
        <w:trPr>
          <w:trHeight w:val="301"/>
        </w:trPr>
        <w:tc>
          <w:tcPr>
            <w:tcW w:w="562" w:type="dxa"/>
            <w:vMerge/>
          </w:tcPr>
          <w:p w14:paraId="641D656D" w14:textId="77777777" w:rsidR="008C2218" w:rsidRPr="00327DAE" w:rsidRDefault="008C2218" w:rsidP="0025317F">
            <w:pPr>
              <w:spacing w:after="120"/>
              <w:rPr>
                <w:sz w:val="24"/>
                <w:szCs w:val="24"/>
              </w:rPr>
            </w:pPr>
          </w:p>
        </w:tc>
        <w:tc>
          <w:tcPr>
            <w:tcW w:w="7797" w:type="dxa"/>
            <w:gridSpan w:val="3"/>
            <w:shd w:val="clear" w:color="auto" w:fill="auto"/>
            <w:noWrap/>
            <w:vAlign w:val="bottom"/>
          </w:tcPr>
          <w:p w14:paraId="56C8E395" w14:textId="77777777" w:rsidR="008C2218" w:rsidRPr="00327DAE" w:rsidRDefault="008C2218" w:rsidP="0025317F">
            <w:pPr>
              <w:spacing w:after="120"/>
              <w:rPr>
                <w:sz w:val="24"/>
                <w:szCs w:val="24"/>
              </w:rPr>
            </w:pPr>
            <w:r w:rsidRPr="00327DAE">
              <w:rPr>
                <w:i/>
                <w:sz w:val="24"/>
                <w:szCs w:val="24"/>
              </w:rPr>
              <w:t>Ekspertu secinājumi</w:t>
            </w:r>
            <w:r w:rsidRPr="00327DAE">
              <w:rPr>
                <w:sz w:val="24"/>
                <w:szCs w:val="24"/>
              </w:rPr>
              <w:t xml:space="preserve"> </w:t>
            </w:r>
          </w:p>
          <w:p w14:paraId="4666E329" w14:textId="785F2797" w:rsidR="00A91491" w:rsidRPr="00327DAE" w:rsidRDefault="00A91491" w:rsidP="0025317F">
            <w:pPr>
              <w:shd w:val="clear" w:color="auto" w:fill="FFFFFF" w:themeFill="background1"/>
              <w:spacing w:after="120"/>
              <w:rPr>
                <w:sz w:val="24"/>
                <w:szCs w:val="24"/>
              </w:rPr>
            </w:pPr>
            <w:r w:rsidRPr="00327DAE">
              <w:rPr>
                <w:sz w:val="24"/>
                <w:szCs w:val="24"/>
              </w:rPr>
              <w:lastRenderedPageBreak/>
              <w:t>Publikācijā nepareizi norādīts, ka bija trīs maksātnespējas procesu mēģinājumi, jo pēc satura bija trīs dažādi pie</w:t>
            </w:r>
            <w:r w:rsidR="00F52CE0" w:rsidRPr="00327DAE">
              <w:rPr>
                <w:sz w:val="24"/>
                <w:szCs w:val="24"/>
              </w:rPr>
              <w:t>teik</w:t>
            </w:r>
            <w:r w:rsidRPr="00327DAE">
              <w:rPr>
                <w:sz w:val="24"/>
                <w:szCs w:val="24"/>
              </w:rPr>
              <w:t xml:space="preserve">umi, kuros </w:t>
            </w:r>
            <w:r w:rsidRPr="00327DAE">
              <w:rPr>
                <w:sz w:val="24"/>
                <w:szCs w:val="24"/>
                <w:shd w:val="clear" w:color="auto" w:fill="FFFFFF" w:themeFill="background1"/>
              </w:rPr>
              <w:t xml:space="preserve">norādīti trīs dažādi administratori. </w:t>
            </w:r>
            <w:r w:rsidRPr="00E27399">
              <w:rPr>
                <w:sz w:val="24"/>
                <w:szCs w:val="24"/>
                <w:shd w:val="clear" w:color="auto" w:fill="FFFFFF" w:themeFill="background1"/>
              </w:rPr>
              <w:t>No tiem viens ir ĀTAP pieteikums, kurš noraidīts tādēļ, ka VID prasījumi</w:t>
            </w:r>
            <w:r w:rsidRPr="00E27399">
              <w:rPr>
                <w:sz w:val="24"/>
                <w:szCs w:val="24"/>
              </w:rPr>
              <w:t xml:space="preserve"> nav samazināmi ĀTAP kārtībā. Otrs ir TAP pieteikums, kurš noraidīts, jo nav saskaņots ar vienu konkrētu kreditoru. Trešais ir TAP pieteikums, kurā novērsta otrā pieteikuma nepilnība (ir saskaņojums ar attiecīgo kreditoru).</w:t>
            </w:r>
          </w:p>
          <w:p w14:paraId="3E464661" w14:textId="4D1A47CC" w:rsidR="008C2218" w:rsidRPr="00327DAE" w:rsidRDefault="008C2218" w:rsidP="0025317F">
            <w:pPr>
              <w:spacing w:after="120"/>
              <w:rPr>
                <w:sz w:val="24"/>
                <w:szCs w:val="24"/>
              </w:rPr>
            </w:pPr>
            <w:r w:rsidRPr="00327DAE">
              <w:rPr>
                <w:sz w:val="24"/>
                <w:szCs w:val="24"/>
              </w:rPr>
              <w:t>Izvērtējot visus trīs pieteikumus, secināms, ka pirmajos divos tiesa konstatēja divus dažādus likumā noteiktus šķēršļus pieteikumu apmierināšanai, bet trešajā šie šķēršļi bija novērsti – pareizi sagatavojot un saskaņojot TAP plān</w:t>
            </w:r>
            <w:r w:rsidR="00536A07" w:rsidRPr="00327DAE">
              <w:rPr>
                <w:sz w:val="24"/>
                <w:szCs w:val="24"/>
              </w:rPr>
              <w:t>u. TAP pasludināts.</w:t>
            </w:r>
          </w:p>
        </w:tc>
      </w:tr>
      <w:tr w:rsidR="008C2218" w:rsidRPr="00327DAE" w14:paraId="589E9F34" w14:textId="77777777" w:rsidTr="00917C22">
        <w:trPr>
          <w:trHeight w:val="416"/>
        </w:trPr>
        <w:tc>
          <w:tcPr>
            <w:tcW w:w="562" w:type="dxa"/>
            <w:vMerge w:val="restart"/>
          </w:tcPr>
          <w:p w14:paraId="53717135" w14:textId="07970077" w:rsidR="008C2218" w:rsidRPr="00327DAE" w:rsidRDefault="008C2218" w:rsidP="0025317F">
            <w:pPr>
              <w:spacing w:after="120"/>
              <w:rPr>
                <w:b/>
                <w:sz w:val="24"/>
                <w:szCs w:val="24"/>
              </w:rPr>
            </w:pPr>
            <w:r w:rsidRPr="00327DAE">
              <w:rPr>
                <w:b/>
                <w:sz w:val="24"/>
                <w:szCs w:val="24"/>
              </w:rPr>
              <w:lastRenderedPageBreak/>
              <w:t>23.</w:t>
            </w:r>
          </w:p>
          <w:p w14:paraId="4210D3E6" w14:textId="77777777" w:rsidR="008C2218" w:rsidRPr="00327DAE" w:rsidRDefault="008C2218" w:rsidP="0025317F">
            <w:pPr>
              <w:spacing w:after="120"/>
              <w:rPr>
                <w:b/>
                <w:sz w:val="24"/>
                <w:szCs w:val="24"/>
              </w:rPr>
            </w:pPr>
            <w:r w:rsidRPr="00327DAE">
              <w:rPr>
                <w:b/>
                <w:sz w:val="24"/>
                <w:szCs w:val="24"/>
              </w:rPr>
              <w:t>24.</w:t>
            </w:r>
          </w:p>
          <w:p w14:paraId="3718C5D7" w14:textId="77777777" w:rsidR="008C2218" w:rsidRPr="00327DAE" w:rsidRDefault="008C2218" w:rsidP="0025317F">
            <w:pPr>
              <w:spacing w:after="120"/>
              <w:rPr>
                <w:b/>
                <w:sz w:val="24"/>
                <w:szCs w:val="24"/>
              </w:rPr>
            </w:pPr>
            <w:r w:rsidRPr="00327DAE">
              <w:rPr>
                <w:b/>
                <w:sz w:val="24"/>
                <w:szCs w:val="24"/>
              </w:rPr>
              <w:t>25.</w:t>
            </w:r>
          </w:p>
          <w:p w14:paraId="32D745A1" w14:textId="77777777" w:rsidR="008C2218" w:rsidRPr="00327DAE" w:rsidRDefault="008C2218" w:rsidP="0025317F">
            <w:pPr>
              <w:spacing w:after="120"/>
              <w:rPr>
                <w:b/>
                <w:sz w:val="24"/>
                <w:szCs w:val="24"/>
              </w:rPr>
            </w:pPr>
            <w:r w:rsidRPr="00327DAE">
              <w:rPr>
                <w:b/>
                <w:sz w:val="24"/>
                <w:szCs w:val="24"/>
              </w:rPr>
              <w:t>26.</w:t>
            </w:r>
          </w:p>
          <w:p w14:paraId="055377A9" w14:textId="46F999F1" w:rsidR="008C2218" w:rsidRPr="00327DAE" w:rsidRDefault="008C2218" w:rsidP="0025317F">
            <w:pPr>
              <w:spacing w:after="120"/>
              <w:rPr>
                <w:b/>
                <w:sz w:val="24"/>
                <w:szCs w:val="24"/>
              </w:rPr>
            </w:pPr>
            <w:r w:rsidRPr="00327DAE">
              <w:rPr>
                <w:b/>
                <w:sz w:val="24"/>
                <w:szCs w:val="24"/>
              </w:rPr>
              <w:t>27.</w:t>
            </w:r>
          </w:p>
        </w:tc>
        <w:tc>
          <w:tcPr>
            <w:tcW w:w="1701" w:type="dxa"/>
            <w:shd w:val="clear" w:color="auto" w:fill="auto"/>
            <w:noWrap/>
            <w:vAlign w:val="bottom"/>
            <w:hideMark/>
          </w:tcPr>
          <w:p w14:paraId="6E22422B" w14:textId="77777777" w:rsidR="008C2218" w:rsidRPr="00327DAE" w:rsidRDefault="008C2218" w:rsidP="0025317F">
            <w:pPr>
              <w:spacing w:after="120"/>
              <w:rPr>
                <w:b/>
                <w:sz w:val="24"/>
                <w:szCs w:val="24"/>
              </w:rPr>
            </w:pPr>
          </w:p>
        </w:tc>
        <w:tc>
          <w:tcPr>
            <w:tcW w:w="2268" w:type="dxa"/>
            <w:shd w:val="clear" w:color="auto" w:fill="auto"/>
            <w:vAlign w:val="bottom"/>
            <w:hideMark/>
          </w:tcPr>
          <w:p w14:paraId="3351592B" w14:textId="77777777" w:rsidR="008C2218" w:rsidRPr="00327DAE" w:rsidRDefault="008C2218" w:rsidP="0025317F">
            <w:pPr>
              <w:pStyle w:val="Heading4"/>
            </w:pPr>
          </w:p>
        </w:tc>
        <w:tc>
          <w:tcPr>
            <w:tcW w:w="3828" w:type="dxa"/>
            <w:shd w:val="clear" w:color="auto" w:fill="auto"/>
            <w:vAlign w:val="bottom"/>
            <w:hideMark/>
          </w:tcPr>
          <w:p w14:paraId="29205661" w14:textId="7BF3527E" w:rsidR="008C2218" w:rsidRPr="00DA5069" w:rsidRDefault="008C2218" w:rsidP="0025317F">
            <w:pPr>
              <w:pStyle w:val="Heading3"/>
            </w:pPr>
            <w:bookmarkStart w:id="38" w:name="_Toc522527513"/>
            <w:r w:rsidRPr="00E732C1">
              <w:t>SIA „CCP finanses”</w:t>
            </w:r>
            <w:r w:rsidR="001E268C" w:rsidRPr="00E732C1">
              <w:t xml:space="preserve">; </w:t>
            </w:r>
            <w:r w:rsidRPr="00E732C1">
              <w:t>SIA „MEŽLEJAS”</w:t>
            </w:r>
            <w:r w:rsidR="00F5726E">
              <w:t>;</w:t>
            </w:r>
            <w:r w:rsidR="001E268C" w:rsidRPr="00E732C1">
              <w:t xml:space="preserve"> </w:t>
            </w:r>
            <w:r w:rsidRPr="00E732C1">
              <w:t>SIA „R CASE”</w:t>
            </w:r>
            <w:r w:rsidR="001E268C" w:rsidRPr="00E732C1">
              <w:t xml:space="preserve">; </w:t>
            </w:r>
            <w:r w:rsidRPr="00E732C1">
              <w:t>SIA „EKO FORUMS”</w:t>
            </w:r>
            <w:r w:rsidR="001E268C" w:rsidRPr="00E732C1">
              <w:t xml:space="preserve">; </w:t>
            </w:r>
            <w:r w:rsidRPr="00E732C1">
              <w:t>SIA „SERISA</w:t>
            </w:r>
            <w:r w:rsidRPr="00DA5069">
              <w:t>”</w:t>
            </w:r>
            <w:bookmarkEnd w:id="38"/>
          </w:p>
        </w:tc>
      </w:tr>
      <w:tr w:rsidR="00980956" w:rsidRPr="00327DAE" w14:paraId="336FD3CD" w14:textId="77777777" w:rsidTr="00B40DAA">
        <w:trPr>
          <w:trHeight w:val="416"/>
        </w:trPr>
        <w:tc>
          <w:tcPr>
            <w:tcW w:w="562" w:type="dxa"/>
            <w:vMerge/>
          </w:tcPr>
          <w:p w14:paraId="584E712B" w14:textId="77777777" w:rsidR="00980956" w:rsidRPr="00327DAE" w:rsidRDefault="00980956" w:rsidP="0025317F">
            <w:pPr>
              <w:spacing w:after="120"/>
              <w:rPr>
                <w:sz w:val="24"/>
                <w:szCs w:val="24"/>
              </w:rPr>
            </w:pPr>
          </w:p>
        </w:tc>
        <w:tc>
          <w:tcPr>
            <w:tcW w:w="7797" w:type="dxa"/>
            <w:gridSpan w:val="3"/>
            <w:shd w:val="clear" w:color="auto" w:fill="auto"/>
            <w:noWrap/>
            <w:vAlign w:val="bottom"/>
          </w:tcPr>
          <w:p w14:paraId="60262BEC" w14:textId="3CD6C23D" w:rsidR="00980956" w:rsidRPr="00327DAE" w:rsidRDefault="00980956" w:rsidP="00D17CD2">
            <w:pPr>
              <w:spacing w:after="120"/>
              <w:rPr>
                <w:sz w:val="24"/>
                <w:szCs w:val="24"/>
              </w:rPr>
            </w:pPr>
            <w:r w:rsidRPr="00327DAE">
              <w:rPr>
                <w:sz w:val="24"/>
                <w:szCs w:val="24"/>
              </w:rPr>
              <w:t xml:space="preserve">Lietas izprasītas pēc ekspertu lūguma, lai noskaidrotu to objektīvās piekritības Siguldas tiesai, kur strādā tiesnese </w:t>
            </w:r>
            <w:r w:rsidR="00922310">
              <w:rPr>
                <w:sz w:val="24"/>
                <w:szCs w:val="24"/>
              </w:rPr>
              <w:t>V. </w:t>
            </w:r>
            <w:proofErr w:type="spellStart"/>
            <w:r w:rsidRPr="00327DAE">
              <w:rPr>
                <w:sz w:val="24"/>
                <w:szCs w:val="24"/>
              </w:rPr>
              <w:t>Grebežniece</w:t>
            </w:r>
            <w:proofErr w:type="spellEnd"/>
            <w:r w:rsidRPr="00327DAE">
              <w:rPr>
                <w:sz w:val="24"/>
                <w:szCs w:val="24"/>
              </w:rPr>
              <w:t>, pamatotību un iespējamās izsk</w:t>
            </w:r>
            <w:r w:rsidR="00D17CD2">
              <w:rPr>
                <w:sz w:val="24"/>
                <w:szCs w:val="24"/>
              </w:rPr>
              <w:t>a</w:t>
            </w:r>
            <w:r w:rsidRPr="00327DAE">
              <w:rPr>
                <w:sz w:val="24"/>
                <w:szCs w:val="24"/>
              </w:rPr>
              <w:t>tīšanas īpatnības (viens no ekspertiem vērš uzmanību, ka to izskatīšanas laiks dienās ir netipiski īss – mazāk nekā 10, turklāt vērojamas “ceļošanas” pazīmes), un administrators v</w:t>
            </w:r>
            <w:r w:rsidR="00536A07" w:rsidRPr="00327DAE">
              <w:rPr>
                <w:sz w:val="24"/>
                <w:szCs w:val="24"/>
              </w:rPr>
              <w:t xml:space="preserve">isās lietās ir Andris Bērziņš. </w:t>
            </w:r>
          </w:p>
        </w:tc>
      </w:tr>
      <w:tr w:rsidR="00980956" w:rsidRPr="00327DAE" w14:paraId="647B66A0" w14:textId="77777777" w:rsidTr="00B40DAA">
        <w:trPr>
          <w:trHeight w:val="301"/>
        </w:trPr>
        <w:tc>
          <w:tcPr>
            <w:tcW w:w="562" w:type="dxa"/>
            <w:vMerge/>
          </w:tcPr>
          <w:p w14:paraId="641D3BDB" w14:textId="77777777" w:rsidR="00980956" w:rsidRPr="00327DAE" w:rsidRDefault="00980956" w:rsidP="0025317F">
            <w:pPr>
              <w:spacing w:after="120"/>
              <w:rPr>
                <w:sz w:val="24"/>
                <w:szCs w:val="24"/>
              </w:rPr>
            </w:pPr>
          </w:p>
        </w:tc>
        <w:tc>
          <w:tcPr>
            <w:tcW w:w="7797" w:type="dxa"/>
            <w:gridSpan w:val="3"/>
            <w:shd w:val="clear" w:color="auto" w:fill="auto"/>
            <w:noWrap/>
            <w:vAlign w:val="bottom"/>
          </w:tcPr>
          <w:p w14:paraId="508E3F56" w14:textId="77777777"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14:paraId="6BA6AE26" w14:textId="77777777" w:rsidR="00980956" w:rsidRPr="00327DAE" w:rsidRDefault="00980956" w:rsidP="0025317F">
            <w:pPr>
              <w:spacing w:after="120"/>
              <w:rPr>
                <w:sz w:val="24"/>
                <w:szCs w:val="24"/>
              </w:rPr>
            </w:pPr>
            <w:r w:rsidRPr="00327DAE">
              <w:rPr>
                <w:sz w:val="24"/>
                <w:szCs w:val="24"/>
              </w:rPr>
              <w:t xml:space="preserve">SIA „SERISA”: iepriekšējā ĀTAP lieta arī bija Siguldas tiesā (administratore Marija Kaņepe). </w:t>
            </w:r>
          </w:p>
          <w:p w14:paraId="519BE3B5" w14:textId="3ADAE56A" w:rsidR="00980956" w:rsidRPr="00327DAE" w:rsidRDefault="00980956" w:rsidP="0025317F">
            <w:pPr>
              <w:spacing w:after="120"/>
              <w:rPr>
                <w:sz w:val="24"/>
                <w:szCs w:val="24"/>
              </w:rPr>
            </w:pPr>
            <w:r w:rsidRPr="00327DAE">
              <w:rPr>
                <w:sz w:val="24"/>
                <w:szCs w:val="24"/>
              </w:rPr>
              <w:t>Lēmums par ĀTAP pieņemts 16 dienās (jo jāskaita no pieteikuma iesniegšanas, nevis lietas ierosināšanas dienas). Šajā lietā kreditoru prasījumu kopsumma</w:t>
            </w:r>
            <w:r w:rsidR="00F5726E">
              <w:rPr>
                <w:sz w:val="24"/>
                <w:szCs w:val="24"/>
              </w:rPr>
              <w:t xml:space="preserve"> ir</w:t>
            </w:r>
            <w:r w:rsidRPr="00327DAE">
              <w:rPr>
                <w:sz w:val="24"/>
                <w:szCs w:val="24"/>
              </w:rPr>
              <w:t xml:space="preserve"> 1 miljons latu. Visi kreditori saskaņo plānu, ĀTAP plāns tiek izbeigts kā izpildīts, neviens nav sūdzējies</w:t>
            </w:r>
            <w:r w:rsidR="00536A07" w:rsidRPr="00327DAE">
              <w:rPr>
                <w:sz w:val="24"/>
                <w:szCs w:val="24"/>
              </w:rPr>
              <w:t xml:space="preserve">. </w:t>
            </w:r>
          </w:p>
        </w:tc>
      </w:tr>
      <w:tr w:rsidR="00980956" w:rsidRPr="00327DAE" w14:paraId="31375A63" w14:textId="77777777" w:rsidTr="00B40DAA">
        <w:trPr>
          <w:trHeight w:val="301"/>
        </w:trPr>
        <w:tc>
          <w:tcPr>
            <w:tcW w:w="562" w:type="dxa"/>
            <w:vMerge/>
          </w:tcPr>
          <w:p w14:paraId="6D1CFA17" w14:textId="77777777" w:rsidR="00980956" w:rsidRPr="00327DAE" w:rsidRDefault="00980956" w:rsidP="0025317F">
            <w:pPr>
              <w:spacing w:after="120"/>
              <w:rPr>
                <w:sz w:val="24"/>
                <w:szCs w:val="24"/>
              </w:rPr>
            </w:pPr>
          </w:p>
        </w:tc>
        <w:tc>
          <w:tcPr>
            <w:tcW w:w="7797" w:type="dxa"/>
            <w:gridSpan w:val="3"/>
            <w:shd w:val="clear" w:color="auto" w:fill="auto"/>
            <w:noWrap/>
            <w:vAlign w:val="bottom"/>
          </w:tcPr>
          <w:p w14:paraId="0BB328C3" w14:textId="77777777"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14:paraId="732F8399" w14:textId="09B42F01" w:rsidR="00980956" w:rsidRPr="00327DAE" w:rsidRDefault="00980956" w:rsidP="0025317F">
            <w:pPr>
              <w:spacing w:after="120"/>
              <w:rPr>
                <w:sz w:val="24"/>
                <w:szCs w:val="24"/>
              </w:rPr>
            </w:pPr>
            <w:r w:rsidRPr="00327DAE">
              <w:rPr>
                <w:sz w:val="24"/>
                <w:szCs w:val="24"/>
              </w:rPr>
              <w:t>SIA „EKO FORUMS”</w:t>
            </w:r>
          </w:p>
          <w:p w14:paraId="1522DF32" w14:textId="77777777" w:rsidR="00980956" w:rsidRPr="00327DAE" w:rsidRDefault="00980956" w:rsidP="0025317F">
            <w:pPr>
              <w:spacing w:after="120"/>
              <w:rPr>
                <w:sz w:val="24"/>
                <w:szCs w:val="24"/>
              </w:rPr>
            </w:pPr>
            <w:r w:rsidRPr="00327DAE">
              <w:rPr>
                <w:sz w:val="24"/>
                <w:szCs w:val="24"/>
              </w:rPr>
              <w:t>Pieteikums izskatīts 12 dienās.</w:t>
            </w:r>
          </w:p>
          <w:p w14:paraId="75D9475E" w14:textId="607BF621" w:rsidR="00980956" w:rsidRPr="00327DAE" w:rsidRDefault="00980956" w:rsidP="0025317F">
            <w:pPr>
              <w:spacing w:after="120"/>
              <w:rPr>
                <w:sz w:val="24"/>
                <w:szCs w:val="24"/>
              </w:rPr>
            </w:pPr>
            <w:r w:rsidRPr="00327DAE">
              <w:rPr>
                <w:sz w:val="24"/>
                <w:szCs w:val="24"/>
              </w:rPr>
              <w:t xml:space="preserve">Centra rajona tiesā bija kreditoru pieteikums, šajā lietā parādnieka ĀTAP pieteikums (dažādi procesi). 5 mēnešus pēc ĀTAP iesniegšanas tiek lūgts pasludināt maksātnespēju. Šādā veidā likumā bija paredzēta iespēja, kuru aktīvi izmantoja komercdarbības vidē, ka ĀTAP procesā izvēlētais procesu uzraugošais administrators turpina arī vadīt maksātnespējas procesu. Šajā lietā sūdzības nav iesniegtas, izpildot plānu, maksātnespēja tiek izbeigta. </w:t>
            </w:r>
          </w:p>
          <w:p w14:paraId="74927249" w14:textId="5918F7D1" w:rsidR="00980956" w:rsidRPr="00327DAE" w:rsidRDefault="00980956" w:rsidP="0025317F">
            <w:pPr>
              <w:spacing w:after="120"/>
              <w:rPr>
                <w:sz w:val="24"/>
                <w:szCs w:val="24"/>
              </w:rPr>
            </w:pPr>
            <w:r w:rsidRPr="00327DAE">
              <w:rPr>
                <w:sz w:val="24"/>
                <w:szCs w:val="24"/>
              </w:rPr>
              <w:t>Maksātnespēja tiek pabeigta bez cesijām, lai gan tiesās izskatīšanā ir prasības pieteikuma kārtībā iesniegtas lietas. Maksātnespējas administrācija sniegusi atzinumu, ka nav liegts izbeigt maksātnespēju, ja nav pabeigtas prasības tiesvedības.</w:t>
            </w:r>
          </w:p>
        </w:tc>
      </w:tr>
      <w:tr w:rsidR="00980956" w:rsidRPr="00327DAE" w14:paraId="4AAD6411" w14:textId="77777777" w:rsidTr="00B40DAA">
        <w:trPr>
          <w:trHeight w:val="301"/>
        </w:trPr>
        <w:tc>
          <w:tcPr>
            <w:tcW w:w="562" w:type="dxa"/>
            <w:vMerge/>
          </w:tcPr>
          <w:p w14:paraId="33934D93" w14:textId="72E74444" w:rsidR="00980956" w:rsidRPr="00327DAE" w:rsidRDefault="00980956" w:rsidP="0025317F">
            <w:pPr>
              <w:spacing w:after="120"/>
              <w:rPr>
                <w:sz w:val="24"/>
                <w:szCs w:val="24"/>
              </w:rPr>
            </w:pPr>
          </w:p>
        </w:tc>
        <w:tc>
          <w:tcPr>
            <w:tcW w:w="7797" w:type="dxa"/>
            <w:gridSpan w:val="3"/>
            <w:shd w:val="clear" w:color="auto" w:fill="auto"/>
            <w:noWrap/>
            <w:vAlign w:val="bottom"/>
          </w:tcPr>
          <w:p w14:paraId="3513D06D" w14:textId="77777777"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14:paraId="542FBF23" w14:textId="0E9E35BF" w:rsidR="00980956" w:rsidRPr="00327DAE" w:rsidRDefault="00980956" w:rsidP="0025317F">
            <w:pPr>
              <w:spacing w:after="120"/>
              <w:rPr>
                <w:sz w:val="24"/>
                <w:szCs w:val="24"/>
              </w:rPr>
            </w:pPr>
            <w:r w:rsidRPr="00327DAE">
              <w:rPr>
                <w:sz w:val="24"/>
                <w:szCs w:val="24"/>
              </w:rPr>
              <w:t>SIA „R CASE”</w:t>
            </w:r>
          </w:p>
          <w:p w14:paraId="60DB6F6D" w14:textId="77777777" w:rsidR="00980956" w:rsidRPr="00327DAE" w:rsidRDefault="00980956" w:rsidP="0025317F">
            <w:pPr>
              <w:spacing w:after="120"/>
              <w:rPr>
                <w:sz w:val="24"/>
                <w:szCs w:val="24"/>
              </w:rPr>
            </w:pPr>
            <w:r w:rsidRPr="00327DAE">
              <w:rPr>
                <w:sz w:val="24"/>
                <w:szCs w:val="24"/>
              </w:rPr>
              <w:t>Pieteikums izskatīts 14 dienās.</w:t>
            </w:r>
          </w:p>
          <w:p w14:paraId="7A6896D6" w14:textId="15E67CCC" w:rsidR="00980956" w:rsidRPr="00327DAE" w:rsidRDefault="00980956" w:rsidP="0025317F">
            <w:pPr>
              <w:spacing w:after="120"/>
              <w:rPr>
                <w:sz w:val="24"/>
                <w:szCs w:val="24"/>
              </w:rPr>
            </w:pPr>
            <w:r w:rsidRPr="00E27399">
              <w:rPr>
                <w:sz w:val="24"/>
                <w:szCs w:val="24"/>
              </w:rPr>
              <w:lastRenderedPageBreak/>
              <w:t xml:space="preserve">Pārbaudot TIS, redzams, </w:t>
            </w:r>
            <w:proofErr w:type="gramStart"/>
            <w:r w:rsidRPr="00E27399">
              <w:rPr>
                <w:sz w:val="24"/>
                <w:szCs w:val="24"/>
              </w:rPr>
              <w:t>ka Valmieras tiesā</w:t>
            </w:r>
            <w:proofErr w:type="gramEnd"/>
            <w:r w:rsidRPr="00E27399">
              <w:rPr>
                <w:sz w:val="24"/>
                <w:szCs w:val="24"/>
              </w:rPr>
              <w:t xml:space="preserve"> pirms tam ir bijis iesniegts kreditora pieteikums. Tas nav redzams no lietas materiāliem. No procesa viedokļa tas ir no parādnieka pieteikuma atšķirīgs pieteikums, tāpēc šī nav uzskatāma par “ceļotāju” lietu.</w:t>
            </w:r>
            <w:r w:rsidRPr="00327DAE">
              <w:rPr>
                <w:sz w:val="24"/>
                <w:szCs w:val="24"/>
              </w:rPr>
              <w:t xml:space="preserve"> </w:t>
            </w:r>
          </w:p>
          <w:p w14:paraId="7B1DE43F" w14:textId="77777777" w:rsidR="00980956" w:rsidRPr="00327DAE" w:rsidRDefault="00980956" w:rsidP="0025317F">
            <w:pPr>
              <w:spacing w:after="120"/>
              <w:rPr>
                <w:sz w:val="24"/>
                <w:szCs w:val="24"/>
              </w:rPr>
            </w:pPr>
            <w:r w:rsidRPr="00327DAE">
              <w:rPr>
                <w:sz w:val="24"/>
                <w:szCs w:val="24"/>
              </w:rPr>
              <w:t>ĀTAP saskaņo kreditoru vairākums (50+%), pēc 6 mēnešiem tiek lūgts izbeigt ĀTAP un pasludināt maksātnespēju. Šādā veidā ĀTAP procesā izvēlētais procesu uzraugošais administrators turpina arī vadīt maksātnespējas procesu.</w:t>
            </w:r>
          </w:p>
          <w:p w14:paraId="1CD24BA9" w14:textId="33E60660" w:rsidR="00980956" w:rsidRPr="00327DAE" w:rsidRDefault="00980956" w:rsidP="0025317F">
            <w:pPr>
              <w:spacing w:after="120"/>
              <w:rPr>
                <w:sz w:val="24"/>
                <w:szCs w:val="24"/>
              </w:rPr>
            </w:pPr>
            <w:r w:rsidRPr="00327DAE">
              <w:rPr>
                <w:sz w:val="24"/>
                <w:szCs w:val="24"/>
              </w:rPr>
              <w:t>Lietā izskatītas arī sūdzības par administrat</w:t>
            </w:r>
            <w:r w:rsidR="00536A07" w:rsidRPr="00327DAE">
              <w:rPr>
                <w:sz w:val="24"/>
                <w:szCs w:val="24"/>
              </w:rPr>
              <w:t>ora rīcību, kuras apmierinātas.</w:t>
            </w:r>
          </w:p>
        </w:tc>
      </w:tr>
      <w:tr w:rsidR="00980956" w:rsidRPr="00327DAE" w14:paraId="445D7590" w14:textId="77777777" w:rsidTr="00B40DAA">
        <w:trPr>
          <w:trHeight w:val="301"/>
        </w:trPr>
        <w:tc>
          <w:tcPr>
            <w:tcW w:w="562" w:type="dxa"/>
            <w:vMerge/>
          </w:tcPr>
          <w:p w14:paraId="78E4B990" w14:textId="5D4EA5CD" w:rsidR="00980956" w:rsidRPr="00327DAE" w:rsidRDefault="00980956" w:rsidP="0025317F">
            <w:pPr>
              <w:spacing w:after="120"/>
              <w:rPr>
                <w:sz w:val="24"/>
                <w:szCs w:val="24"/>
              </w:rPr>
            </w:pPr>
          </w:p>
        </w:tc>
        <w:tc>
          <w:tcPr>
            <w:tcW w:w="7797" w:type="dxa"/>
            <w:gridSpan w:val="3"/>
            <w:shd w:val="clear" w:color="auto" w:fill="auto"/>
            <w:noWrap/>
            <w:vAlign w:val="bottom"/>
          </w:tcPr>
          <w:p w14:paraId="79AFBDE6" w14:textId="77777777"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14:paraId="661512AB" w14:textId="77777777" w:rsidR="00980956" w:rsidRPr="00327DAE" w:rsidRDefault="00980956" w:rsidP="0025317F">
            <w:pPr>
              <w:spacing w:after="120"/>
              <w:rPr>
                <w:sz w:val="24"/>
                <w:szCs w:val="24"/>
              </w:rPr>
            </w:pPr>
            <w:r w:rsidRPr="00327DAE">
              <w:rPr>
                <w:sz w:val="24"/>
                <w:szCs w:val="24"/>
              </w:rPr>
              <w:t>SIA „MEŽLEJAS”</w:t>
            </w:r>
          </w:p>
          <w:p w14:paraId="517A1C89" w14:textId="77777777" w:rsidR="00980956" w:rsidRPr="00327DAE" w:rsidRDefault="00980956" w:rsidP="0025317F">
            <w:pPr>
              <w:spacing w:after="120"/>
              <w:rPr>
                <w:sz w:val="24"/>
                <w:szCs w:val="24"/>
              </w:rPr>
            </w:pPr>
            <w:r w:rsidRPr="00327DAE">
              <w:rPr>
                <w:sz w:val="24"/>
                <w:szCs w:val="24"/>
              </w:rPr>
              <w:t xml:space="preserve">Pieteikums izskatīts 7 dienās, ĀTAP saskaņo 97 % kreditoru, pēc 2 mēnešiem tiek lūgts izbeigt ĀTAP un pasludināt maksātnespēju. </w:t>
            </w:r>
          </w:p>
          <w:p w14:paraId="54A59B9F" w14:textId="6BCCACF1" w:rsidR="00980956" w:rsidRPr="00327DAE" w:rsidRDefault="00980956" w:rsidP="0025317F">
            <w:pPr>
              <w:spacing w:after="120"/>
              <w:rPr>
                <w:sz w:val="24"/>
                <w:szCs w:val="24"/>
              </w:rPr>
            </w:pPr>
            <w:r w:rsidRPr="00327DAE">
              <w:rPr>
                <w:sz w:val="24"/>
                <w:szCs w:val="24"/>
              </w:rPr>
              <w:t>Maksātnespējas administrācija iesniedz pieteikumu par administratora atcelšanu, jo ĀTAP saskaņošanas laikā administrators Andris Bērziņš bija viena no kreditoriem vienīgais īpašnieks. Kapitāldaļas A. Bērziņš atsavinājis 5. oktobrī, kas ir neilgi pirms maksātnespējas pasludināšanas – 27. oktobrī. Tiesa neatbild uz jautājumu par iespējamo interešu konfliktu, norādot, ka nav konstatēti objektīvi pamatoti iemesli atcelšanai, jo uz maksātnespējas pasludināšanas dienu kapitāldaļas jau atsavinātas. Nolēmumā norādīts uz citu tiesas nolēmumu, kuru TIS datubāzē neizdodas atrast.</w:t>
            </w:r>
          </w:p>
          <w:p w14:paraId="704FF328" w14:textId="77777777" w:rsidR="00980956" w:rsidRPr="00327DAE" w:rsidRDefault="00980956" w:rsidP="0025317F">
            <w:pPr>
              <w:spacing w:after="120"/>
              <w:rPr>
                <w:sz w:val="24"/>
                <w:szCs w:val="24"/>
              </w:rPr>
            </w:pPr>
            <w:r w:rsidRPr="00327DAE">
              <w:rPr>
                <w:sz w:val="24"/>
                <w:szCs w:val="24"/>
              </w:rPr>
              <w:t>Šajā lietā administrators ir atradies interešu konflikta situācijā.</w:t>
            </w:r>
          </w:p>
          <w:p w14:paraId="463041EA" w14:textId="446F0DE5" w:rsidR="00980956" w:rsidRPr="00327DAE" w:rsidRDefault="00980956" w:rsidP="0025317F">
            <w:pPr>
              <w:spacing w:after="120"/>
              <w:rPr>
                <w:sz w:val="24"/>
                <w:szCs w:val="24"/>
              </w:rPr>
            </w:pPr>
            <w:r w:rsidRPr="00E27399">
              <w:rPr>
                <w:sz w:val="24"/>
                <w:szCs w:val="24"/>
              </w:rPr>
              <w:t>Lietā ir materiāli, kuri norāda uz administratora interešu konfliktu ĀTAP pasludināšanas brīdī, un tiesnese, lemjot par labu administratoram, ir izvairījusies sniegt tiem vērtējumu, kas vērtējams kā rupjš pārkāpums.</w:t>
            </w:r>
          </w:p>
        </w:tc>
      </w:tr>
      <w:tr w:rsidR="008C608B" w:rsidRPr="00327DAE" w14:paraId="3328F31F" w14:textId="77777777" w:rsidTr="00B40DAA">
        <w:trPr>
          <w:trHeight w:val="301"/>
        </w:trPr>
        <w:tc>
          <w:tcPr>
            <w:tcW w:w="562" w:type="dxa"/>
            <w:vMerge/>
          </w:tcPr>
          <w:p w14:paraId="46B7027A"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7246F37F" w14:textId="4477703E" w:rsidR="008C608B" w:rsidRPr="00327DAE" w:rsidRDefault="008C608B" w:rsidP="0025317F">
            <w:pPr>
              <w:spacing w:after="120"/>
              <w:rPr>
                <w:i/>
                <w:sz w:val="24"/>
                <w:szCs w:val="24"/>
              </w:rPr>
            </w:pPr>
            <w:r w:rsidRPr="00327DAE">
              <w:rPr>
                <w:i/>
                <w:sz w:val="24"/>
                <w:szCs w:val="24"/>
              </w:rPr>
              <w:t>H. Jaujas a</w:t>
            </w:r>
            <w:r w:rsidR="002763E6" w:rsidRPr="00327DAE">
              <w:rPr>
                <w:i/>
                <w:sz w:val="24"/>
                <w:szCs w:val="24"/>
              </w:rPr>
              <w:t>ts</w:t>
            </w:r>
            <w:r w:rsidRPr="00327DAE">
              <w:rPr>
                <w:i/>
                <w:sz w:val="24"/>
                <w:szCs w:val="24"/>
              </w:rPr>
              <w:t>evišķie secinājumi</w:t>
            </w:r>
          </w:p>
          <w:p w14:paraId="75E6D291" w14:textId="26137CFC" w:rsidR="008C608B" w:rsidRPr="00327DAE" w:rsidRDefault="008C608B" w:rsidP="0025317F">
            <w:pPr>
              <w:spacing w:after="120"/>
              <w:rPr>
                <w:sz w:val="24"/>
                <w:szCs w:val="24"/>
              </w:rPr>
            </w:pPr>
            <w:r w:rsidRPr="00327DAE">
              <w:rPr>
                <w:sz w:val="24"/>
                <w:szCs w:val="24"/>
              </w:rPr>
              <w:t xml:space="preserve">Šī lieta kopsakarā ar pārējām 13 Andra Bērziņa vai ar viņu saistīto administratoru administrētajām </w:t>
            </w:r>
            <w:r w:rsidR="00E732C1">
              <w:rPr>
                <w:sz w:val="24"/>
                <w:szCs w:val="24"/>
              </w:rPr>
              <w:t>Ā</w:t>
            </w:r>
            <w:r w:rsidRPr="00327DAE">
              <w:rPr>
                <w:sz w:val="24"/>
                <w:szCs w:val="24"/>
              </w:rPr>
              <w:t>TAP lietām</w:t>
            </w:r>
            <w:r w:rsidR="000416BC">
              <w:rPr>
                <w:sz w:val="24"/>
                <w:szCs w:val="24"/>
              </w:rPr>
              <w:t>,</w:t>
            </w:r>
            <w:r w:rsidRPr="00327DAE">
              <w:rPr>
                <w:sz w:val="24"/>
                <w:szCs w:val="24"/>
              </w:rPr>
              <w:t xml:space="preserve"> kuras skatīja ties</w:t>
            </w:r>
            <w:r w:rsidR="000416BC">
              <w:rPr>
                <w:sz w:val="24"/>
                <w:szCs w:val="24"/>
              </w:rPr>
              <w:t>n</w:t>
            </w:r>
            <w:r w:rsidRPr="00327DAE">
              <w:rPr>
                <w:sz w:val="24"/>
                <w:szCs w:val="24"/>
              </w:rPr>
              <w:t xml:space="preserve">ese </w:t>
            </w:r>
            <w:r w:rsidR="00FD0FC9">
              <w:rPr>
                <w:sz w:val="24"/>
                <w:szCs w:val="24"/>
              </w:rPr>
              <w:t>V. </w:t>
            </w:r>
            <w:proofErr w:type="spellStart"/>
            <w:r w:rsidRPr="00327DAE">
              <w:rPr>
                <w:sz w:val="24"/>
                <w:szCs w:val="24"/>
              </w:rPr>
              <w:t>Grebežniece</w:t>
            </w:r>
            <w:proofErr w:type="spellEnd"/>
            <w:r w:rsidRPr="00327DAE">
              <w:rPr>
                <w:sz w:val="24"/>
                <w:szCs w:val="24"/>
              </w:rPr>
              <w:t xml:space="preserve">, norāda uz tiesneses īpašu </w:t>
            </w:r>
            <w:proofErr w:type="spellStart"/>
            <w:r w:rsidRPr="00327DAE">
              <w:rPr>
                <w:sz w:val="24"/>
                <w:szCs w:val="24"/>
              </w:rPr>
              <w:t>bezkritisku</w:t>
            </w:r>
            <w:proofErr w:type="spellEnd"/>
            <w:r w:rsidRPr="00327DAE">
              <w:rPr>
                <w:sz w:val="24"/>
                <w:szCs w:val="24"/>
              </w:rPr>
              <w:t xml:space="preserve"> iecietību pret A.</w:t>
            </w:r>
            <w:r w:rsidR="000416BC">
              <w:rPr>
                <w:sz w:val="24"/>
                <w:szCs w:val="24"/>
              </w:rPr>
              <w:t> </w:t>
            </w:r>
            <w:r w:rsidRPr="00327DAE">
              <w:rPr>
                <w:sz w:val="24"/>
                <w:szCs w:val="24"/>
              </w:rPr>
              <w:t xml:space="preserve">Bērziņu un ar </w:t>
            </w:r>
            <w:r w:rsidR="00536A07" w:rsidRPr="00327DAE">
              <w:rPr>
                <w:sz w:val="24"/>
                <w:szCs w:val="24"/>
              </w:rPr>
              <w:t>viņu saistītajiem parādniekiem.</w:t>
            </w:r>
          </w:p>
        </w:tc>
      </w:tr>
      <w:tr w:rsidR="00980956" w:rsidRPr="00327DAE" w14:paraId="7517836E" w14:textId="77777777" w:rsidTr="00B40DAA">
        <w:trPr>
          <w:trHeight w:val="301"/>
        </w:trPr>
        <w:tc>
          <w:tcPr>
            <w:tcW w:w="562" w:type="dxa"/>
            <w:vMerge/>
            <w:tcBorders>
              <w:bottom w:val="single" w:sz="4" w:space="0" w:color="auto"/>
            </w:tcBorders>
          </w:tcPr>
          <w:p w14:paraId="5074010F" w14:textId="77777777" w:rsidR="00980956" w:rsidRPr="00327DAE" w:rsidRDefault="00980956" w:rsidP="0025317F">
            <w:pPr>
              <w:spacing w:after="120"/>
              <w:rPr>
                <w:sz w:val="24"/>
                <w:szCs w:val="24"/>
              </w:rPr>
            </w:pPr>
          </w:p>
        </w:tc>
        <w:tc>
          <w:tcPr>
            <w:tcW w:w="7797" w:type="dxa"/>
            <w:gridSpan w:val="3"/>
            <w:tcBorders>
              <w:bottom w:val="single" w:sz="4" w:space="0" w:color="auto"/>
            </w:tcBorders>
            <w:shd w:val="clear" w:color="auto" w:fill="auto"/>
            <w:noWrap/>
            <w:vAlign w:val="bottom"/>
          </w:tcPr>
          <w:p w14:paraId="0D597DEF" w14:textId="77777777"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14:paraId="3D40F95D" w14:textId="77777777" w:rsidR="00980956" w:rsidRPr="00327DAE" w:rsidRDefault="00980956" w:rsidP="0025317F">
            <w:pPr>
              <w:spacing w:after="120"/>
              <w:rPr>
                <w:sz w:val="24"/>
                <w:szCs w:val="24"/>
              </w:rPr>
            </w:pPr>
            <w:r w:rsidRPr="00327DAE">
              <w:rPr>
                <w:sz w:val="24"/>
                <w:szCs w:val="24"/>
              </w:rPr>
              <w:t>SIA „CCP finanses”</w:t>
            </w:r>
          </w:p>
          <w:p w14:paraId="00AB3FD4" w14:textId="6228E334" w:rsidR="00980956" w:rsidRPr="00327DAE" w:rsidRDefault="00980956" w:rsidP="0025317F">
            <w:pPr>
              <w:spacing w:after="120"/>
              <w:rPr>
                <w:sz w:val="24"/>
                <w:szCs w:val="24"/>
              </w:rPr>
            </w:pPr>
            <w:r w:rsidRPr="00327DAE">
              <w:rPr>
                <w:sz w:val="24"/>
                <w:szCs w:val="24"/>
              </w:rPr>
              <w:t xml:space="preserve">Pieteikums izskatīts 12 dienās. No lietas materiāliem nav secināms par piekritības izlemšanu, tomēr šo aspektu tiesas tajā laikā nepārbaudīja. </w:t>
            </w:r>
          </w:p>
          <w:p w14:paraId="5E0C3751" w14:textId="461ECC44" w:rsidR="00974B71" w:rsidRPr="00E27399" w:rsidRDefault="00980956" w:rsidP="0025317F">
            <w:pPr>
              <w:spacing w:after="120"/>
              <w:rPr>
                <w:sz w:val="24"/>
                <w:szCs w:val="24"/>
              </w:rPr>
            </w:pPr>
            <w:r w:rsidRPr="00327DAE">
              <w:rPr>
                <w:sz w:val="24"/>
                <w:szCs w:val="24"/>
              </w:rPr>
              <w:t>Šajā lietā esošā sarakste norāda, ka Augstākā tiesa bija izprasījusi šo lietu, savukārt tiesnese lūgusi to nosūtīt atpakaļ pieteikuma izlemšanai. Tād</w:t>
            </w:r>
            <w:r w:rsidR="000416BC">
              <w:rPr>
                <w:sz w:val="24"/>
                <w:szCs w:val="24"/>
              </w:rPr>
              <w:t>ē</w:t>
            </w:r>
            <w:r w:rsidRPr="00327DAE">
              <w:rPr>
                <w:sz w:val="24"/>
                <w:szCs w:val="24"/>
              </w:rPr>
              <w:t>jādi tikai 1,5 mēnešus pirms Augstākās tiesas Senāta nolēmuma SIA „Jurta” lietā tiesnese jau pēc protesta iesniegšanas izprasa lietu atpakaļ no Senāta, pieņem lēmumu par ĀTAP izbeigšanu un maksātnespējas pasludināšanu. Augstāk</w:t>
            </w:r>
            <w:r w:rsidR="000416BC">
              <w:rPr>
                <w:sz w:val="24"/>
                <w:szCs w:val="24"/>
              </w:rPr>
              <w:t>ā</w:t>
            </w:r>
            <w:r w:rsidRPr="00327DAE">
              <w:rPr>
                <w:sz w:val="24"/>
                <w:szCs w:val="24"/>
              </w:rPr>
              <w:t>s tiesas Senāts pēc tam protesta izskatīšanu izbeidz, jo protesta iesniedzējs atsauc protestu (</w:t>
            </w:r>
            <w:r w:rsidRPr="00E27399">
              <w:rPr>
                <w:sz w:val="24"/>
                <w:szCs w:val="24"/>
              </w:rPr>
              <w:t>faktiski ĀTAP nolēmums vairs nav aktuāls, jo jau pasludināta maksātnespēja).</w:t>
            </w:r>
          </w:p>
          <w:p w14:paraId="074B76C1" w14:textId="0C81A095" w:rsidR="00980956" w:rsidRPr="00327DAE" w:rsidRDefault="00974B71" w:rsidP="00D17CD2">
            <w:pPr>
              <w:spacing w:after="120"/>
              <w:rPr>
                <w:sz w:val="24"/>
                <w:szCs w:val="24"/>
              </w:rPr>
            </w:pPr>
            <w:r w:rsidRPr="00E27399">
              <w:rPr>
                <w:sz w:val="24"/>
                <w:szCs w:val="24"/>
              </w:rPr>
              <w:t>Šī pati metode vēlāk tika izmantota vēl divās lietās (sk. iepriekš, lieta</w:t>
            </w:r>
            <w:r w:rsidR="00D17CD2">
              <w:rPr>
                <w:sz w:val="24"/>
                <w:szCs w:val="24"/>
              </w:rPr>
              <w:t>s Nr. C35072510, Nr. C35076014)</w:t>
            </w:r>
            <w:r w:rsidRPr="00E27399">
              <w:rPr>
                <w:sz w:val="24"/>
                <w:szCs w:val="24"/>
              </w:rPr>
              <w:t>.</w:t>
            </w:r>
          </w:p>
        </w:tc>
      </w:tr>
      <w:tr w:rsidR="008C608B" w:rsidRPr="00327DAE" w14:paraId="576B36C1" w14:textId="77777777" w:rsidTr="008C608B">
        <w:trPr>
          <w:trHeight w:val="301"/>
        </w:trPr>
        <w:tc>
          <w:tcPr>
            <w:tcW w:w="562" w:type="dxa"/>
            <w:vMerge w:val="restart"/>
          </w:tcPr>
          <w:p w14:paraId="221A1171" w14:textId="77777777" w:rsidR="008C608B" w:rsidRPr="00327DAE" w:rsidRDefault="008C608B" w:rsidP="0025317F">
            <w:pPr>
              <w:spacing w:after="120"/>
              <w:rPr>
                <w:sz w:val="24"/>
                <w:szCs w:val="24"/>
              </w:rPr>
            </w:pPr>
          </w:p>
        </w:tc>
        <w:tc>
          <w:tcPr>
            <w:tcW w:w="7797" w:type="dxa"/>
            <w:gridSpan w:val="3"/>
            <w:shd w:val="clear" w:color="auto" w:fill="auto"/>
            <w:noWrap/>
            <w:vAlign w:val="bottom"/>
          </w:tcPr>
          <w:p w14:paraId="76EF1050" w14:textId="268F2066" w:rsidR="008C608B" w:rsidRPr="00327DAE" w:rsidRDefault="008C608B" w:rsidP="0025317F">
            <w:pPr>
              <w:shd w:val="clear" w:color="auto" w:fill="FFFFFF" w:themeFill="background1"/>
              <w:spacing w:after="120"/>
              <w:rPr>
                <w:i/>
                <w:sz w:val="24"/>
                <w:szCs w:val="24"/>
              </w:rPr>
            </w:pPr>
            <w:r w:rsidRPr="00E732C1">
              <w:rPr>
                <w:i/>
                <w:sz w:val="24"/>
                <w:szCs w:val="24"/>
              </w:rPr>
              <w:t xml:space="preserve">Apkopojoši ekspertu secinājumi par tiesneses </w:t>
            </w:r>
            <w:r w:rsidR="00E732C1">
              <w:rPr>
                <w:i/>
                <w:sz w:val="24"/>
                <w:szCs w:val="24"/>
              </w:rPr>
              <w:t>V. </w:t>
            </w:r>
            <w:proofErr w:type="spellStart"/>
            <w:r w:rsidRPr="00E732C1">
              <w:rPr>
                <w:i/>
                <w:sz w:val="24"/>
                <w:szCs w:val="24"/>
              </w:rPr>
              <w:t>Grebežnieces</w:t>
            </w:r>
            <w:proofErr w:type="spellEnd"/>
            <w:r w:rsidRPr="00E732C1">
              <w:rPr>
                <w:i/>
                <w:sz w:val="24"/>
                <w:szCs w:val="24"/>
              </w:rPr>
              <w:t xml:space="preserve"> nolēmumiem</w:t>
            </w:r>
          </w:p>
          <w:p w14:paraId="1276175E" w14:textId="330FB712" w:rsidR="0073320A" w:rsidRPr="00E732C1" w:rsidRDefault="0073320A" w:rsidP="0025317F">
            <w:pPr>
              <w:spacing w:after="120"/>
              <w:rPr>
                <w:sz w:val="24"/>
                <w:szCs w:val="24"/>
              </w:rPr>
            </w:pPr>
            <w:r w:rsidRPr="00E732C1">
              <w:rPr>
                <w:sz w:val="24"/>
                <w:szCs w:val="24"/>
              </w:rPr>
              <w:t xml:space="preserve">Tiesnese </w:t>
            </w:r>
            <w:r w:rsidR="00FD0FC9">
              <w:rPr>
                <w:sz w:val="24"/>
                <w:szCs w:val="24"/>
              </w:rPr>
              <w:t>V. </w:t>
            </w:r>
            <w:proofErr w:type="spellStart"/>
            <w:r w:rsidRPr="00E732C1">
              <w:rPr>
                <w:sz w:val="24"/>
                <w:szCs w:val="24"/>
              </w:rPr>
              <w:t>Grebežniece</w:t>
            </w:r>
            <w:proofErr w:type="spellEnd"/>
            <w:r w:rsidRPr="00E732C1">
              <w:rPr>
                <w:sz w:val="24"/>
                <w:szCs w:val="24"/>
              </w:rPr>
              <w:t xml:space="preserve"> 2008.</w:t>
            </w:r>
            <w:r w:rsidR="000416BC">
              <w:rPr>
                <w:sz w:val="24"/>
                <w:szCs w:val="24"/>
              </w:rPr>
              <w:t>–</w:t>
            </w:r>
            <w:proofErr w:type="gramStart"/>
            <w:r w:rsidRPr="00E732C1">
              <w:rPr>
                <w:sz w:val="24"/>
                <w:szCs w:val="24"/>
              </w:rPr>
              <w:t>2014.</w:t>
            </w:r>
            <w:r w:rsidR="000416BC">
              <w:rPr>
                <w:sz w:val="24"/>
                <w:szCs w:val="24"/>
              </w:rPr>
              <w:t> </w:t>
            </w:r>
            <w:r w:rsidRPr="00E732C1">
              <w:rPr>
                <w:sz w:val="24"/>
                <w:szCs w:val="24"/>
              </w:rPr>
              <w:t>gad</w:t>
            </w:r>
            <w:r w:rsidR="000416BC">
              <w:rPr>
                <w:sz w:val="24"/>
                <w:szCs w:val="24"/>
              </w:rPr>
              <w:t>ā</w:t>
            </w:r>
            <w:r w:rsidRPr="00E732C1">
              <w:rPr>
                <w:sz w:val="24"/>
                <w:szCs w:val="24"/>
              </w:rPr>
              <w:t xml:space="preserve"> izskatījusi 1680</w:t>
            </w:r>
            <w:proofErr w:type="gramEnd"/>
            <w:r w:rsidRPr="00E732C1">
              <w:rPr>
                <w:sz w:val="24"/>
                <w:szCs w:val="24"/>
              </w:rPr>
              <w:t xml:space="preserve"> lietu, no tām 1360 civillietas. TIS šajā laika posmā civillietās pievienoti 7972 nolēmumi. Kasācijas instancē saņemti protesti par 11 nolēmumiem, no tiem 7 nolēmumi atcelti pilnīgi vai daļēji un jautājumi nosūtīti jaunai izskatīšanai.</w:t>
            </w:r>
            <w:r w:rsidR="00504EDD" w:rsidRPr="00E732C1">
              <w:rPr>
                <w:sz w:val="24"/>
                <w:szCs w:val="24"/>
              </w:rPr>
              <w:t xml:space="preserve"> No 10 lietām 4 konstatējamas nopietnas kļūdas, tajā skaitā 3 sist</w:t>
            </w:r>
            <w:r w:rsidR="000416BC">
              <w:rPr>
                <w:sz w:val="24"/>
                <w:szCs w:val="24"/>
              </w:rPr>
              <w:t>e</w:t>
            </w:r>
            <w:r w:rsidR="00504EDD" w:rsidRPr="00E732C1">
              <w:rPr>
                <w:sz w:val="24"/>
                <w:szCs w:val="24"/>
              </w:rPr>
              <w:t>mātiski viena veida pārkāpumi.</w:t>
            </w:r>
          </w:p>
        </w:tc>
      </w:tr>
      <w:tr w:rsidR="008C608B" w:rsidRPr="00327DAE" w14:paraId="67E7E6BB" w14:textId="77777777" w:rsidTr="00B40DAA">
        <w:trPr>
          <w:trHeight w:val="301"/>
        </w:trPr>
        <w:tc>
          <w:tcPr>
            <w:tcW w:w="562" w:type="dxa"/>
            <w:vMerge/>
            <w:tcBorders>
              <w:bottom w:val="single" w:sz="4" w:space="0" w:color="auto"/>
            </w:tcBorders>
          </w:tcPr>
          <w:p w14:paraId="59718FA9" w14:textId="77777777" w:rsidR="008C608B" w:rsidRPr="00327DAE" w:rsidRDefault="008C608B" w:rsidP="0025317F">
            <w:pPr>
              <w:spacing w:after="120"/>
              <w:rPr>
                <w:sz w:val="24"/>
                <w:szCs w:val="24"/>
              </w:rPr>
            </w:pPr>
          </w:p>
        </w:tc>
        <w:tc>
          <w:tcPr>
            <w:tcW w:w="7797" w:type="dxa"/>
            <w:gridSpan w:val="3"/>
            <w:tcBorders>
              <w:bottom w:val="single" w:sz="4" w:space="0" w:color="auto"/>
            </w:tcBorders>
            <w:shd w:val="clear" w:color="auto" w:fill="auto"/>
            <w:noWrap/>
            <w:vAlign w:val="bottom"/>
          </w:tcPr>
          <w:p w14:paraId="7110C9E6" w14:textId="2B25DC8C" w:rsidR="008C608B" w:rsidRPr="00327DAE" w:rsidRDefault="008C608B" w:rsidP="0025317F">
            <w:pPr>
              <w:spacing w:after="120"/>
              <w:rPr>
                <w:i/>
                <w:sz w:val="24"/>
                <w:szCs w:val="24"/>
              </w:rPr>
            </w:pPr>
            <w:r w:rsidRPr="00327DAE">
              <w:rPr>
                <w:i/>
                <w:sz w:val="24"/>
                <w:szCs w:val="24"/>
              </w:rPr>
              <w:t>H. Jaujas atsevišķie secinājumi par tiesneses V. </w:t>
            </w:r>
            <w:proofErr w:type="spellStart"/>
            <w:r w:rsidRPr="00327DAE">
              <w:rPr>
                <w:i/>
                <w:sz w:val="24"/>
                <w:szCs w:val="24"/>
              </w:rPr>
              <w:t>Grebežnieces</w:t>
            </w:r>
            <w:proofErr w:type="spellEnd"/>
            <w:r w:rsidRPr="00327DAE">
              <w:rPr>
                <w:i/>
                <w:sz w:val="24"/>
                <w:szCs w:val="24"/>
              </w:rPr>
              <w:t xml:space="preserve"> nolēmumiem</w:t>
            </w:r>
          </w:p>
          <w:p w14:paraId="2C1E7CD6" w14:textId="34A67898" w:rsidR="008C608B" w:rsidRPr="00327DAE" w:rsidRDefault="008C608B" w:rsidP="0025317F">
            <w:pPr>
              <w:spacing w:after="120"/>
              <w:rPr>
                <w:sz w:val="24"/>
                <w:szCs w:val="24"/>
              </w:rPr>
            </w:pPr>
            <w:r w:rsidRPr="00327DAE">
              <w:rPr>
                <w:sz w:val="24"/>
                <w:szCs w:val="24"/>
              </w:rPr>
              <w:t>Uzkrītoša ir tiesneses V. </w:t>
            </w:r>
            <w:proofErr w:type="spellStart"/>
            <w:r w:rsidRPr="00327DAE">
              <w:rPr>
                <w:sz w:val="24"/>
                <w:szCs w:val="24"/>
              </w:rPr>
              <w:t>Grebežnieces</w:t>
            </w:r>
            <w:proofErr w:type="spellEnd"/>
            <w:r w:rsidRPr="00327DAE">
              <w:rPr>
                <w:sz w:val="24"/>
                <w:szCs w:val="24"/>
              </w:rPr>
              <w:t xml:space="preserve"> saikne ar maksātnespējas administratoru A. Bērziņu. Tiesnese ir skatījusi kopā 13 ĀTAP un TAP lietas, kurās administrators bija A.</w:t>
            </w:r>
            <w:r w:rsidR="000416BC">
              <w:rPr>
                <w:sz w:val="24"/>
                <w:szCs w:val="24"/>
              </w:rPr>
              <w:t> </w:t>
            </w:r>
            <w:r w:rsidRPr="00327DAE">
              <w:rPr>
                <w:sz w:val="24"/>
                <w:szCs w:val="24"/>
              </w:rPr>
              <w:t>Bērziņš, vēl vienā lietā administrators bija A.</w:t>
            </w:r>
            <w:r w:rsidR="000416BC">
              <w:rPr>
                <w:sz w:val="24"/>
                <w:szCs w:val="24"/>
              </w:rPr>
              <w:t> </w:t>
            </w:r>
            <w:r w:rsidRPr="00327DAE">
              <w:rPr>
                <w:sz w:val="24"/>
                <w:szCs w:val="24"/>
              </w:rPr>
              <w:t>Lūsis, kurš praktizēja vienā birojā ar A. Bērziņu. Kā nejaušu sakritību nav iespējams vērtēt apstākli, ka 7 no 14 lietām TAP/ĀTAP parādnieks pirms pieteikuma sniegšanas bija mainījis juridisko adresi uz tādu, kas ir piekritīga Siguldas tiesai. Sistemātiskums, adrešu maiņas skaits un vienojošais administrators neatstāj nekādus citus skaidrojumus k</w:t>
            </w:r>
            <w:r w:rsidR="000416BC">
              <w:rPr>
                <w:sz w:val="24"/>
                <w:szCs w:val="24"/>
              </w:rPr>
              <w:t>ā</w:t>
            </w:r>
            <w:r w:rsidRPr="00327DAE">
              <w:rPr>
                <w:sz w:val="24"/>
                <w:szCs w:val="24"/>
              </w:rPr>
              <w:t xml:space="preserve"> tikai to, ka tas ir bijis darīts ar mērķi panākt, lai lietu skata Siguldas tiesa. Ņemot vērā to, ka Siguldas tiesā, iespējams</w:t>
            </w:r>
            <w:r w:rsidR="000416BC">
              <w:rPr>
                <w:sz w:val="24"/>
                <w:szCs w:val="24"/>
              </w:rPr>
              <w:t>,</w:t>
            </w:r>
            <w:r w:rsidRPr="00327DAE">
              <w:rPr>
                <w:sz w:val="24"/>
                <w:szCs w:val="24"/>
              </w:rPr>
              <w:t xml:space="preserve"> </w:t>
            </w:r>
            <w:r w:rsidR="00FD0FC9">
              <w:rPr>
                <w:sz w:val="24"/>
                <w:szCs w:val="24"/>
              </w:rPr>
              <w:t>V. </w:t>
            </w:r>
            <w:proofErr w:type="spellStart"/>
            <w:r w:rsidRPr="00327DAE">
              <w:rPr>
                <w:sz w:val="24"/>
                <w:szCs w:val="24"/>
              </w:rPr>
              <w:t>Grebežniece</w:t>
            </w:r>
            <w:proofErr w:type="spellEnd"/>
            <w:r w:rsidRPr="00327DAE">
              <w:rPr>
                <w:sz w:val="24"/>
                <w:szCs w:val="24"/>
              </w:rPr>
              <w:t xml:space="preserve"> bija specializējusies maksātnespējas lietu skatīšanā, mērķis bija panākt lietas izskatīšanu tieši pie tiesneses </w:t>
            </w:r>
            <w:r w:rsidR="000416BC">
              <w:rPr>
                <w:sz w:val="24"/>
                <w:szCs w:val="24"/>
              </w:rPr>
              <w:t>V</w:t>
            </w:r>
            <w:r w:rsidR="00FD0FC9">
              <w:rPr>
                <w:sz w:val="24"/>
                <w:szCs w:val="24"/>
              </w:rPr>
              <w:t>. </w:t>
            </w:r>
            <w:proofErr w:type="spellStart"/>
            <w:r w:rsidRPr="00327DAE">
              <w:rPr>
                <w:sz w:val="24"/>
                <w:szCs w:val="24"/>
              </w:rPr>
              <w:t>Grebežnieces</w:t>
            </w:r>
            <w:proofErr w:type="spellEnd"/>
            <w:r w:rsidRPr="00327DAE">
              <w:rPr>
                <w:sz w:val="24"/>
                <w:szCs w:val="24"/>
              </w:rPr>
              <w:t>. Kas faktiski arī piepildījās.</w:t>
            </w:r>
          </w:p>
          <w:p w14:paraId="28A7E719" w14:textId="33403C63" w:rsidR="008C608B" w:rsidRPr="00327DAE" w:rsidRDefault="008C608B" w:rsidP="0025317F">
            <w:pPr>
              <w:spacing w:after="120"/>
              <w:rPr>
                <w:sz w:val="24"/>
                <w:szCs w:val="24"/>
              </w:rPr>
            </w:pPr>
            <w:r w:rsidRPr="00327DAE">
              <w:rPr>
                <w:sz w:val="24"/>
                <w:szCs w:val="24"/>
              </w:rPr>
              <w:t>Iemesli, kāpēc A.</w:t>
            </w:r>
            <w:r w:rsidR="000416BC">
              <w:rPr>
                <w:sz w:val="24"/>
                <w:szCs w:val="24"/>
              </w:rPr>
              <w:t> </w:t>
            </w:r>
            <w:r w:rsidRPr="00327DAE">
              <w:rPr>
                <w:sz w:val="24"/>
                <w:szCs w:val="24"/>
              </w:rPr>
              <w:t>Bērziņa administrētie parādnieki centās nokļūt pie tiesneses V. </w:t>
            </w:r>
            <w:proofErr w:type="spellStart"/>
            <w:r w:rsidRPr="00327DAE">
              <w:rPr>
                <w:sz w:val="24"/>
                <w:szCs w:val="24"/>
              </w:rPr>
              <w:t>Grebežnieces</w:t>
            </w:r>
            <w:proofErr w:type="spellEnd"/>
            <w:r w:rsidRPr="00327DAE">
              <w:rPr>
                <w:sz w:val="24"/>
                <w:szCs w:val="24"/>
              </w:rPr>
              <w:t>, protams, var būt dažādi. Piemēram, viens no skaidrojumiem varētu būt, ka tiesneses izpratne un pārliecība par maksātnespējas tiesību institūtiem ir vairāk orientēta uz parādnieka interešu aizsardzību. Šāda tendence nebūtu vērtējama kā kaut kas ārkārtējs, jo maksātnespējas ties</w:t>
            </w:r>
            <w:r w:rsidR="00D17CD2">
              <w:rPr>
                <w:sz w:val="24"/>
                <w:szCs w:val="24"/>
              </w:rPr>
              <w:t>ību nozarē pat pastāv dalījums „kreditoriem” un „</w:t>
            </w:r>
            <w:r w:rsidRPr="00327DAE">
              <w:rPr>
                <w:sz w:val="24"/>
                <w:szCs w:val="24"/>
              </w:rPr>
              <w:t>parādniekiem” draudzīgākos tiesību režīmos, tāpat kā nozares teorētiķu un praktiķu vidū var pastāvēt dažādi konceptuāli uzskati. Šāda viedokļu polarizēšanās ir novērojama, piemēram</w:t>
            </w:r>
            <w:r w:rsidR="00D17CD2">
              <w:rPr>
                <w:sz w:val="24"/>
                <w:szCs w:val="24"/>
              </w:rPr>
              <w:t>,</w:t>
            </w:r>
            <w:r w:rsidRPr="00327DAE">
              <w:rPr>
                <w:sz w:val="24"/>
                <w:szCs w:val="24"/>
              </w:rPr>
              <w:t xml:space="preserve"> Latvijas tiesnešu vidū attiecībā uz fiziskās personas maksātnespējas procesu</w:t>
            </w:r>
            <w:r w:rsidR="000416BC">
              <w:rPr>
                <w:sz w:val="24"/>
                <w:szCs w:val="24"/>
              </w:rPr>
              <w:t xml:space="preserve"> –</w:t>
            </w:r>
            <w:r w:rsidRPr="00327DAE">
              <w:rPr>
                <w:sz w:val="24"/>
                <w:szCs w:val="24"/>
              </w:rPr>
              <w:t xml:space="preserve"> ir tiesneši, kuri ir iecietīgāki pret parādnieku</w:t>
            </w:r>
            <w:r w:rsidR="000416BC">
              <w:rPr>
                <w:sz w:val="24"/>
                <w:szCs w:val="24"/>
              </w:rPr>
              <w:t>,</w:t>
            </w:r>
            <w:r w:rsidRPr="00327DAE">
              <w:rPr>
                <w:sz w:val="24"/>
                <w:szCs w:val="24"/>
              </w:rPr>
              <w:t xml:space="preserve"> un tādi, kuri ir mazāk iecietīgi un pievērš lielāku uzmanību kreditoru interesēm. Uzskatāms piemērs 2008.</w:t>
            </w:r>
            <w:r w:rsidR="000416BC">
              <w:rPr>
                <w:sz w:val="24"/>
                <w:szCs w:val="24"/>
              </w:rPr>
              <w:t>–</w:t>
            </w:r>
            <w:r w:rsidRPr="00327DAE">
              <w:rPr>
                <w:sz w:val="24"/>
                <w:szCs w:val="24"/>
              </w:rPr>
              <w:t>2011.</w:t>
            </w:r>
            <w:r w:rsidR="000416BC">
              <w:rPr>
                <w:sz w:val="24"/>
                <w:szCs w:val="24"/>
              </w:rPr>
              <w:t> </w:t>
            </w:r>
            <w:r w:rsidR="00D17CD2">
              <w:rPr>
                <w:sz w:val="24"/>
                <w:szCs w:val="24"/>
              </w:rPr>
              <w:t>gadā bija fizisko personu „</w:t>
            </w:r>
            <w:r w:rsidRPr="00327DAE">
              <w:rPr>
                <w:sz w:val="24"/>
                <w:szCs w:val="24"/>
              </w:rPr>
              <w:t>migrācija” uz Ogres rajona tiesu, kur tiesnesis</w:t>
            </w:r>
            <w:r w:rsidR="00D17CD2">
              <w:rPr>
                <w:sz w:val="24"/>
                <w:szCs w:val="24"/>
              </w:rPr>
              <w:t xml:space="preserve"> D. </w:t>
            </w:r>
            <w:r w:rsidRPr="00327DAE">
              <w:rPr>
                <w:sz w:val="24"/>
                <w:szCs w:val="24"/>
              </w:rPr>
              <w:t>Plaudis, lemjot fizisko personu maksātnespējas procesa lietas</w:t>
            </w:r>
            <w:r w:rsidR="000416BC">
              <w:rPr>
                <w:sz w:val="24"/>
                <w:szCs w:val="24"/>
              </w:rPr>
              <w:t>,</w:t>
            </w:r>
            <w:r w:rsidRPr="00327DAE">
              <w:rPr>
                <w:sz w:val="24"/>
                <w:szCs w:val="24"/>
              </w:rPr>
              <w:t xml:space="preserve"> tulkoja likuma normas labvēlīgāk fiziskajām personām nekā citās tiesās.</w:t>
            </w:r>
          </w:p>
          <w:p w14:paraId="4C597D41" w14:textId="1C24A22E" w:rsidR="008C608B" w:rsidRPr="00327DAE" w:rsidRDefault="008C608B" w:rsidP="0025317F">
            <w:pPr>
              <w:spacing w:after="120"/>
              <w:rPr>
                <w:sz w:val="24"/>
                <w:szCs w:val="24"/>
              </w:rPr>
            </w:pPr>
            <w:r w:rsidRPr="00327DAE">
              <w:rPr>
                <w:sz w:val="24"/>
                <w:szCs w:val="24"/>
              </w:rPr>
              <w:t>Tomēr</w:t>
            </w:r>
            <w:r w:rsidR="000416BC">
              <w:rPr>
                <w:sz w:val="24"/>
                <w:szCs w:val="24"/>
              </w:rPr>
              <w:t>,</w:t>
            </w:r>
            <w:r w:rsidRPr="00327DAE">
              <w:rPr>
                <w:sz w:val="24"/>
                <w:szCs w:val="24"/>
              </w:rPr>
              <w:t xml:space="preserve"> analizējot V. </w:t>
            </w:r>
            <w:proofErr w:type="spellStart"/>
            <w:r w:rsidRPr="00327DAE">
              <w:rPr>
                <w:sz w:val="24"/>
                <w:szCs w:val="24"/>
              </w:rPr>
              <w:t>Grebežnieces</w:t>
            </w:r>
            <w:proofErr w:type="spellEnd"/>
            <w:r w:rsidRPr="00327DAE">
              <w:rPr>
                <w:sz w:val="24"/>
                <w:szCs w:val="24"/>
              </w:rPr>
              <w:t xml:space="preserve"> nolēmumus, diemžēl jāsecina, ka tos nevar izskaidrot ar V. </w:t>
            </w:r>
            <w:proofErr w:type="spellStart"/>
            <w:r w:rsidRPr="00327DAE">
              <w:rPr>
                <w:sz w:val="24"/>
                <w:szCs w:val="24"/>
              </w:rPr>
              <w:t>Grebežnieces</w:t>
            </w:r>
            <w:proofErr w:type="spellEnd"/>
            <w:r w:rsidRPr="00327DAE">
              <w:rPr>
                <w:sz w:val="24"/>
                <w:szCs w:val="24"/>
              </w:rPr>
              <w:t xml:space="preserve"> pārliecību, jo vairākās lietās pieteicējam labvēlīgi nolēmumi ir pieņemti par katru cenu, pārkāpjot veselā saprāta robežas. V. </w:t>
            </w:r>
            <w:proofErr w:type="spellStart"/>
            <w:r w:rsidRPr="00327DAE">
              <w:rPr>
                <w:sz w:val="24"/>
                <w:szCs w:val="24"/>
              </w:rPr>
              <w:t>Grebežniece</w:t>
            </w:r>
            <w:proofErr w:type="spellEnd"/>
            <w:r w:rsidRPr="00327DAE">
              <w:rPr>
                <w:sz w:val="24"/>
                <w:szCs w:val="24"/>
              </w:rPr>
              <w:t xml:space="preserve"> ir ignorējusi acīmredzamas pazīmes, ka ĀTAP tiek </w:t>
            </w:r>
            <w:r w:rsidR="00D17CD2">
              <w:rPr>
                <w:sz w:val="24"/>
                <w:szCs w:val="24"/>
              </w:rPr>
              <w:t>izmantots ļaunprātīgi, atklāti „</w:t>
            </w:r>
            <w:r w:rsidRPr="00327DAE">
              <w:rPr>
                <w:sz w:val="24"/>
                <w:szCs w:val="24"/>
              </w:rPr>
              <w:t>atstumjot” no TAP apstiprināšanas lielu skaitu kreditoru (KS “Abra” lietā), tāpat tiesnese ir ignorējusi AT C</w:t>
            </w:r>
            <w:r w:rsidR="001F01BD" w:rsidRPr="00327DAE">
              <w:rPr>
                <w:sz w:val="24"/>
                <w:szCs w:val="24"/>
              </w:rPr>
              <w:t>L</w:t>
            </w:r>
            <w:r w:rsidRPr="00327DAE">
              <w:rPr>
                <w:sz w:val="24"/>
                <w:szCs w:val="24"/>
              </w:rPr>
              <w:t>D iepriekš pieņemtu nolēmumu, ar kuru bija atcelts analoģi</w:t>
            </w:r>
            <w:r w:rsidR="00D17CD2">
              <w:rPr>
                <w:sz w:val="24"/>
                <w:szCs w:val="24"/>
              </w:rPr>
              <w:t>sks V. </w:t>
            </w:r>
            <w:proofErr w:type="spellStart"/>
            <w:r w:rsidR="00D17CD2">
              <w:rPr>
                <w:sz w:val="24"/>
                <w:szCs w:val="24"/>
              </w:rPr>
              <w:t>Grebežnieces</w:t>
            </w:r>
            <w:proofErr w:type="spellEnd"/>
            <w:r w:rsidR="00D17CD2">
              <w:rPr>
                <w:sz w:val="24"/>
                <w:szCs w:val="24"/>
              </w:rPr>
              <w:t xml:space="preserve"> lēmums (ZS „</w:t>
            </w:r>
            <w:r w:rsidRPr="00327DAE">
              <w:rPr>
                <w:sz w:val="24"/>
                <w:szCs w:val="24"/>
              </w:rPr>
              <w:t>Zemzari”). Tāpat ir bijuši tiesneses lēmumi par labu parādniekam neviennozīmīgi vērtētās situācijās un nekritiski vērtēju</w:t>
            </w:r>
            <w:r w:rsidR="00D17CD2">
              <w:rPr>
                <w:sz w:val="24"/>
                <w:szCs w:val="24"/>
              </w:rPr>
              <w:t>si administratora atzinumu (ZS „</w:t>
            </w:r>
            <w:r w:rsidRPr="00327DAE">
              <w:rPr>
                <w:sz w:val="24"/>
                <w:szCs w:val="24"/>
              </w:rPr>
              <w:t>Zemzari”). Redzot, cik daudzi A.</w:t>
            </w:r>
            <w:r w:rsidR="000416BC">
              <w:rPr>
                <w:sz w:val="24"/>
                <w:szCs w:val="24"/>
              </w:rPr>
              <w:t> </w:t>
            </w:r>
            <w:r w:rsidRPr="00327DAE">
              <w:rPr>
                <w:sz w:val="24"/>
                <w:szCs w:val="24"/>
              </w:rPr>
              <w:t>Bērziņa administrētie ĀTAP nonāk viņas tiesvedībā, viņai nevarēja nerasties aizdomas, ka notiek mērķtiecīgas darbības, lai ierobežotu kreditoru intereses</w:t>
            </w:r>
            <w:r w:rsidR="000416BC">
              <w:rPr>
                <w:sz w:val="24"/>
                <w:szCs w:val="24"/>
              </w:rPr>
              <w:t>,</w:t>
            </w:r>
            <w:r w:rsidRPr="00327DAE">
              <w:rPr>
                <w:sz w:val="24"/>
                <w:szCs w:val="24"/>
              </w:rPr>
              <w:t xml:space="preserve"> un tiek nodrošināta parādnieku nonākšana maksātnespējas procesā ar lojālu administratoru. Pat ja tiesnese šajā situācijā nebija materiāli ieinte</w:t>
            </w:r>
            <w:r w:rsidR="00D17CD2">
              <w:rPr>
                <w:sz w:val="24"/>
                <w:szCs w:val="24"/>
              </w:rPr>
              <w:t>resēta, bet uzskatīja, ka dara „</w:t>
            </w:r>
            <w:r w:rsidRPr="00327DAE">
              <w:rPr>
                <w:sz w:val="24"/>
                <w:szCs w:val="24"/>
              </w:rPr>
              <w:t xml:space="preserve">cēlu” </w:t>
            </w:r>
            <w:r w:rsidRPr="00327DAE">
              <w:rPr>
                <w:sz w:val="24"/>
                <w:szCs w:val="24"/>
              </w:rPr>
              <w:lastRenderedPageBreak/>
              <w:t>darbu, glābjot parādos nonākušus uzņēmumus (pat neskatoties uz acīmredzamām blēdībām, kas tika veiktas, lai sasniegtu vajadzīgo rezultātu), šāda pārliecība tomēr liek apšaubīt tiesneses tiesisko apziņu un spēju lemt objektīvu un taisnīgu tiesu. Katrā ziņā lietas apstākļi kā ticamu versiju ļauj izvirzīt arī to, ka</w:t>
            </w:r>
            <w:r w:rsidR="000416BC">
              <w:rPr>
                <w:sz w:val="24"/>
                <w:szCs w:val="24"/>
              </w:rPr>
              <w:t>,</w:t>
            </w:r>
            <w:r w:rsidRPr="00327DAE">
              <w:rPr>
                <w:sz w:val="24"/>
                <w:szCs w:val="24"/>
              </w:rPr>
              <w:t xml:space="preserve"> iespējams</w:t>
            </w:r>
            <w:r w:rsidR="000416BC">
              <w:rPr>
                <w:sz w:val="24"/>
                <w:szCs w:val="24"/>
              </w:rPr>
              <w:t>,</w:t>
            </w:r>
            <w:r w:rsidRPr="00327DAE">
              <w:rPr>
                <w:sz w:val="24"/>
                <w:szCs w:val="24"/>
              </w:rPr>
              <w:t xml:space="preserve"> tiesnesei V. </w:t>
            </w:r>
            <w:proofErr w:type="spellStart"/>
            <w:r w:rsidRPr="00327DAE">
              <w:rPr>
                <w:sz w:val="24"/>
                <w:szCs w:val="24"/>
              </w:rPr>
              <w:t>Grebežniecei</w:t>
            </w:r>
            <w:proofErr w:type="spellEnd"/>
            <w:r w:rsidRPr="00327DAE">
              <w:rPr>
                <w:sz w:val="24"/>
                <w:szCs w:val="24"/>
              </w:rPr>
              <w:t xml:space="preserve"> un administratoram A.</w:t>
            </w:r>
            <w:r w:rsidR="000416BC">
              <w:rPr>
                <w:sz w:val="24"/>
                <w:szCs w:val="24"/>
              </w:rPr>
              <w:t> </w:t>
            </w:r>
            <w:r w:rsidRPr="00327DAE">
              <w:rPr>
                <w:sz w:val="24"/>
                <w:szCs w:val="24"/>
              </w:rPr>
              <w:t>Bērziņam ir bijusi kāda neatļauta vienošanās par sadarbību, kurā V. </w:t>
            </w:r>
            <w:proofErr w:type="spellStart"/>
            <w:r w:rsidRPr="00327DAE">
              <w:rPr>
                <w:sz w:val="24"/>
                <w:szCs w:val="24"/>
              </w:rPr>
              <w:t>Grebežniece</w:t>
            </w:r>
            <w:proofErr w:type="spellEnd"/>
            <w:r w:rsidRPr="00327DAE">
              <w:rPr>
                <w:sz w:val="24"/>
                <w:szCs w:val="24"/>
              </w:rPr>
              <w:t xml:space="preserve"> ir nodrošinājusi A. Bērziņam labvēlīgu nolēmumu pieņemšanu.</w:t>
            </w:r>
          </w:p>
          <w:p w14:paraId="2026F1EB" w14:textId="36B2A7D0" w:rsidR="008C608B" w:rsidRPr="00327DAE" w:rsidRDefault="008C608B" w:rsidP="0025317F">
            <w:pPr>
              <w:spacing w:after="120"/>
              <w:rPr>
                <w:sz w:val="24"/>
                <w:szCs w:val="24"/>
              </w:rPr>
            </w:pPr>
            <w:r w:rsidRPr="00327DAE">
              <w:rPr>
                <w:sz w:val="24"/>
                <w:szCs w:val="24"/>
              </w:rPr>
              <w:t xml:space="preserve">Katrā ziņā apstākļi kopsakarā vērotājam no malas rada iespaidu, ka tiesnesei </w:t>
            </w:r>
            <w:r w:rsidR="00FD0FC9">
              <w:rPr>
                <w:sz w:val="24"/>
                <w:szCs w:val="24"/>
              </w:rPr>
              <w:t>V. </w:t>
            </w:r>
            <w:proofErr w:type="spellStart"/>
            <w:r w:rsidRPr="00327DAE">
              <w:rPr>
                <w:sz w:val="24"/>
                <w:szCs w:val="24"/>
              </w:rPr>
              <w:t>Grebežniecei</w:t>
            </w:r>
            <w:proofErr w:type="spellEnd"/>
            <w:r w:rsidRPr="00327DAE">
              <w:rPr>
                <w:sz w:val="24"/>
                <w:szCs w:val="24"/>
              </w:rPr>
              <w:t xml:space="preserve"> ir bijusi īpaši labvēlīga attieksme pret parādniekiem, kurus ir administrējis A.</w:t>
            </w:r>
            <w:r w:rsidR="000416BC">
              <w:rPr>
                <w:sz w:val="24"/>
                <w:szCs w:val="24"/>
              </w:rPr>
              <w:t> </w:t>
            </w:r>
            <w:r w:rsidRPr="00327DAE">
              <w:rPr>
                <w:sz w:val="24"/>
                <w:szCs w:val="24"/>
              </w:rPr>
              <w:t>Bērziņš un pret pašu A. Bērziņu. Savukārt parādniekiem, mainot juridisko adresi uz Siguldu</w:t>
            </w:r>
            <w:r w:rsidR="000416BC">
              <w:rPr>
                <w:sz w:val="24"/>
                <w:szCs w:val="24"/>
              </w:rPr>
              <w:t>,</w:t>
            </w:r>
            <w:r w:rsidRPr="00327DAE">
              <w:rPr>
                <w:sz w:val="24"/>
                <w:szCs w:val="24"/>
              </w:rPr>
              <w:t xml:space="preserve"> bija pamats prezumēt, ka lieta tiks izspriesta viņiem labvēlīgi.</w:t>
            </w:r>
          </w:p>
          <w:p w14:paraId="74A137D5" w14:textId="38308FE8" w:rsidR="008C608B" w:rsidRPr="00327DAE" w:rsidRDefault="008C608B" w:rsidP="0025317F">
            <w:pPr>
              <w:spacing w:after="120"/>
              <w:rPr>
                <w:sz w:val="24"/>
                <w:szCs w:val="24"/>
              </w:rPr>
            </w:pPr>
            <w:r w:rsidRPr="00327DAE">
              <w:rPr>
                <w:sz w:val="24"/>
                <w:szCs w:val="24"/>
              </w:rPr>
              <w:t>Taisnības labad ir jāpiemin fakts, ka 2011. gada 24. februārī tiesnese V. </w:t>
            </w:r>
            <w:proofErr w:type="spellStart"/>
            <w:r w:rsidRPr="00327DAE">
              <w:rPr>
                <w:sz w:val="24"/>
                <w:szCs w:val="24"/>
              </w:rPr>
              <w:t>Grebežniece</w:t>
            </w:r>
            <w:proofErr w:type="spellEnd"/>
            <w:r w:rsidRPr="00327DAE">
              <w:rPr>
                <w:sz w:val="24"/>
                <w:szCs w:val="24"/>
              </w:rPr>
              <w:t xml:space="preserve"> pieņēma vienu no pirmajiem lēmumiem Latvijas tiesu praksē, atceļot no maksātnespējas procesa administratoru par pilnvaru ļaunprātīgu izmantošanu (a</w:t>
            </w:r>
            <w:r w:rsidR="00D17CD2">
              <w:rPr>
                <w:sz w:val="24"/>
                <w:szCs w:val="24"/>
              </w:rPr>
              <w:t>dministrators Ivars Kronis SIA „</w:t>
            </w:r>
            <w:proofErr w:type="spellStart"/>
            <w:r w:rsidRPr="00327DAE">
              <w:rPr>
                <w:sz w:val="24"/>
                <w:szCs w:val="24"/>
              </w:rPr>
              <w:t>Vesenga</w:t>
            </w:r>
            <w:proofErr w:type="spellEnd"/>
            <w:r w:rsidRPr="00327DAE">
              <w:rPr>
                <w:sz w:val="24"/>
                <w:szCs w:val="24"/>
              </w:rPr>
              <w:t>” maksātnespējas procesā).</w:t>
            </w:r>
            <w:r w:rsidR="00A94B51">
              <w:rPr>
                <w:rStyle w:val="FootnoteReference"/>
                <w:sz w:val="24"/>
                <w:szCs w:val="24"/>
              </w:rPr>
              <w:footnoteReference w:id="27"/>
            </w:r>
            <w:r w:rsidRPr="00327DAE">
              <w:rPr>
                <w:sz w:val="24"/>
                <w:szCs w:val="24"/>
              </w:rPr>
              <w:t xml:space="preserve"> Šis lēmums apliecina, ka tiesnese spēj identificēt negodprātīgu rīcību. Tāpēc pārsteidz tās ĀTAP lietas, kurās tiesnese to nekonstatēja. Diemžēl kopumā aplūkoto tiesneses V. </w:t>
            </w:r>
            <w:proofErr w:type="spellStart"/>
            <w:r w:rsidRPr="00327DAE">
              <w:rPr>
                <w:sz w:val="24"/>
                <w:szCs w:val="24"/>
              </w:rPr>
              <w:t>Grebežnieces</w:t>
            </w:r>
            <w:proofErr w:type="spellEnd"/>
            <w:r w:rsidRPr="00327DAE">
              <w:rPr>
                <w:sz w:val="24"/>
                <w:szCs w:val="24"/>
              </w:rPr>
              <w:t xml:space="preserve"> nolēmumu un citu apstākļu analīze to kopsakarā drīzāk apstiprina nekā atspēko žurnālā “IR” izskanējušās aizdomas par tiesneses </w:t>
            </w:r>
            <w:r w:rsidR="00FD0FC9">
              <w:rPr>
                <w:sz w:val="24"/>
                <w:szCs w:val="24"/>
              </w:rPr>
              <w:t>V. </w:t>
            </w:r>
            <w:proofErr w:type="spellStart"/>
            <w:r w:rsidRPr="00327DAE">
              <w:rPr>
                <w:sz w:val="24"/>
                <w:szCs w:val="24"/>
              </w:rPr>
              <w:t>Grebežniec</w:t>
            </w:r>
            <w:r w:rsidR="000416BC">
              <w:rPr>
                <w:sz w:val="24"/>
                <w:szCs w:val="24"/>
              </w:rPr>
              <w:t>e</w:t>
            </w:r>
            <w:r w:rsidRPr="00327DAE">
              <w:rPr>
                <w:sz w:val="24"/>
                <w:szCs w:val="24"/>
              </w:rPr>
              <w:t>s</w:t>
            </w:r>
            <w:proofErr w:type="spellEnd"/>
            <w:r w:rsidRPr="00327DAE">
              <w:rPr>
                <w:sz w:val="24"/>
                <w:szCs w:val="24"/>
              </w:rPr>
              <w:t xml:space="preserve"> iespējamu līdzdalību maksātnespējas shēmu piesegšanā.</w:t>
            </w:r>
          </w:p>
        </w:tc>
      </w:tr>
    </w:tbl>
    <w:p w14:paraId="5D8E08D8" w14:textId="77777777" w:rsidR="00917C22" w:rsidRPr="00327DAE" w:rsidRDefault="00917C22" w:rsidP="0025317F">
      <w:pPr>
        <w:spacing w:after="120"/>
        <w:rPr>
          <w:sz w:val="24"/>
          <w:szCs w:val="24"/>
        </w:rPr>
      </w:pPr>
    </w:p>
    <w:p w14:paraId="7A85BC79" w14:textId="040F0133" w:rsidR="00D40DCA" w:rsidRPr="00E732C1" w:rsidRDefault="00917C22" w:rsidP="0025317F">
      <w:pPr>
        <w:pStyle w:val="Heading2"/>
        <w:rPr>
          <w:rFonts w:cs="Times New Roman"/>
          <w:szCs w:val="24"/>
          <w:u w:val="none"/>
        </w:rPr>
      </w:pPr>
      <w:bookmarkStart w:id="40" w:name="_Toc522527514"/>
      <w:r w:rsidRPr="00E732C1">
        <w:rPr>
          <w:rFonts w:cs="Times New Roman"/>
          <w:szCs w:val="24"/>
          <w:u w:val="none"/>
        </w:rPr>
        <w:t xml:space="preserve">Tiesnese Iveta </w:t>
      </w:r>
      <w:proofErr w:type="spellStart"/>
      <w:r w:rsidRPr="00E732C1">
        <w:rPr>
          <w:rFonts w:cs="Times New Roman"/>
          <w:szCs w:val="24"/>
          <w:u w:val="none"/>
        </w:rPr>
        <w:t>Krēvica</w:t>
      </w:r>
      <w:bookmarkEnd w:id="40"/>
      <w:proofErr w:type="spellEnd"/>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828"/>
      </w:tblGrid>
      <w:tr w:rsidR="00917C22" w:rsidRPr="00327DAE" w14:paraId="0DC6AF56" w14:textId="77777777" w:rsidTr="00B40DAA">
        <w:trPr>
          <w:trHeight w:val="301"/>
        </w:trPr>
        <w:tc>
          <w:tcPr>
            <w:tcW w:w="562" w:type="dxa"/>
            <w:vMerge w:val="restart"/>
          </w:tcPr>
          <w:p w14:paraId="6BAA8814" w14:textId="64FCA6D6" w:rsidR="00917C22" w:rsidRPr="00327DAE" w:rsidRDefault="00140A7A" w:rsidP="0025317F">
            <w:pPr>
              <w:spacing w:after="120"/>
              <w:rPr>
                <w:b/>
                <w:sz w:val="24"/>
                <w:szCs w:val="24"/>
              </w:rPr>
            </w:pPr>
            <w:r w:rsidRPr="00327DAE">
              <w:rPr>
                <w:b/>
                <w:sz w:val="24"/>
                <w:szCs w:val="24"/>
              </w:rPr>
              <w:t>28</w:t>
            </w:r>
            <w:r w:rsidR="00917C22" w:rsidRPr="00327DAE">
              <w:rPr>
                <w:b/>
                <w:sz w:val="24"/>
                <w:szCs w:val="24"/>
              </w:rPr>
              <w:t>.</w:t>
            </w:r>
          </w:p>
        </w:tc>
        <w:tc>
          <w:tcPr>
            <w:tcW w:w="1560" w:type="dxa"/>
            <w:shd w:val="clear" w:color="auto" w:fill="auto"/>
            <w:noWrap/>
            <w:vAlign w:val="bottom"/>
          </w:tcPr>
          <w:p w14:paraId="0833594F" w14:textId="77777777" w:rsidR="00917C22" w:rsidRPr="00327DAE" w:rsidRDefault="00917C22" w:rsidP="0025317F">
            <w:pPr>
              <w:spacing w:after="120"/>
              <w:rPr>
                <w:b/>
                <w:sz w:val="24"/>
                <w:szCs w:val="24"/>
              </w:rPr>
            </w:pPr>
            <w:r w:rsidRPr="00327DAE">
              <w:rPr>
                <w:b/>
                <w:sz w:val="24"/>
                <w:szCs w:val="24"/>
              </w:rPr>
              <w:t>C30623012</w:t>
            </w:r>
            <w:r w:rsidRPr="00327DAE">
              <w:rPr>
                <w:rStyle w:val="FootnoteReference"/>
                <w:b/>
                <w:sz w:val="24"/>
                <w:szCs w:val="24"/>
              </w:rPr>
              <w:footnoteReference w:id="28"/>
            </w:r>
          </w:p>
          <w:p w14:paraId="34F5F0DC" w14:textId="3E117377" w:rsidR="00917C22" w:rsidRPr="00327DAE" w:rsidRDefault="00917C22" w:rsidP="0025317F">
            <w:pPr>
              <w:spacing w:after="120"/>
              <w:rPr>
                <w:b/>
                <w:sz w:val="24"/>
                <w:szCs w:val="24"/>
                <w:u w:val="single"/>
              </w:rPr>
            </w:pPr>
            <w:r w:rsidRPr="00327DAE">
              <w:rPr>
                <w:b/>
                <w:sz w:val="24"/>
                <w:szCs w:val="24"/>
              </w:rPr>
              <w:lastRenderedPageBreak/>
              <w:t>SPC48/2013</w:t>
            </w:r>
          </w:p>
        </w:tc>
        <w:tc>
          <w:tcPr>
            <w:tcW w:w="2409" w:type="dxa"/>
            <w:shd w:val="clear" w:color="auto" w:fill="auto"/>
            <w:vAlign w:val="bottom"/>
          </w:tcPr>
          <w:p w14:paraId="5A25F47F" w14:textId="77777777" w:rsidR="00917C22" w:rsidRPr="00327DAE" w:rsidRDefault="00917C22" w:rsidP="0025317F">
            <w:pPr>
              <w:spacing w:after="120"/>
              <w:rPr>
                <w:b/>
                <w:sz w:val="24"/>
                <w:szCs w:val="24"/>
              </w:rPr>
            </w:pPr>
            <w:r w:rsidRPr="00327DAE">
              <w:rPr>
                <w:b/>
                <w:sz w:val="24"/>
                <w:szCs w:val="24"/>
              </w:rPr>
              <w:lastRenderedPageBreak/>
              <w:t>08.06.2012. lēmums</w:t>
            </w:r>
          </w:p>
        </w:tc>
        <w:tc>
          <w:tcPr>
            <w:tcW w:w="3828" w:type="dxa"/>
            <w:shd w:val="clear" w:color="auto" w:fill="auto"/>
            <w:vAlign w:val="bottom"/>
          </w:tcPr>
          <w:p w14:paraId="7D219E66" w14:textId="77777777" w:rsidR="00917C22" w:rsidRPr="00327DAE" w:rsidRDefault="00917C22" w:rsidP="0025317F">
            <w:pPr>
              <w:pStyle w:val="Heading3"/>
            </w:pPr>
            <w:bookmarkStart w:id="41" w:name="_Toc522527515"/>
            <w:r w:rsidRPr="00327DAE">
              <w:t>SIA „Biznesa centrs „TOMO””: ĀTAP īstenošana</w:t>
            </w:r>
            <w:bookmarkEnd w:id="41"/>
          </w:p>
        </w:tc>
      </w:tr>
      <w:tr w:rsidR="00F52CE0" w:rsidRPr="00327DAE" w14:paraId="7A104A7D" w14:textId="77777777" w:rsidTr="00DA5069">
        <w:trPr>
          <w:trHeight w:val="301"/>
        </w:trPr>
        <w:tc>
          <w:tcPr>
            <w:tcW w:w="562" w:type="dxa"/>
            <w:vMerge/>
          </w:tcPr>
          <w:p w14:paraId="264787F8" w14:textId="77777777" w:rsidR="00F52CE0" w:rsidRPr="00327DAE" w:rsidRDefault="00F52CE0" w:rsidP="0025317F">
            <w:pPr>
              <w:spacing w:after="120"/>
              <w:rPr>
                <w:b/>
                <w:sz w:val="24"/>
                <w:szCs w:val="24"/>
              </w:rPr>
            </w:pPr>
          </w:p>
        </w:tc>
        <w:tc>
          <w:tcPr>
            <w:tcW w:w="1560" w:type="dxa"/>
            <w:shd w:val="clear" w:color="auto" w:fill="E7E6E6" w:themeFill="background2"/>
            <w:noWrap/>
            <w:vAlign w:val="center"/>
          </w:tcPr>
          <w:p w14:paraId="2137F5D6" w14:textId="2D2C0495" w:rsidR="00F52CE0" w:rsidRPr="009D11F9" w:rsidRDefault="00F52CE0" w:rsidP="0025317F">
            <w:pPr>
              <w:spacing w:after="120"/>
              <w:rPr>
                <w:b/>
              </w:rPr>
            </w:pPr>
            <w:r w:rsidRPr="009D11F9">
              <w:rPr>
                <w:b/>
              </w:rPr>
              <w:t>Sadales datums</w:t>
            </w:r>
          </w:p>
        </w:tc>
        <w:tc>
          <w:tcPr>
            <w:tcW w:w="2409" w:type="dxa"/>
            <w:shd w:val="clear" w:color="auto" w:fill="E7E6E6" w:themeFill="background2"/>
            <w:vAlign w:val="center"/>
          </w:tcPr>
          <w:p w14:paraId="7ADEC3D1" w14:textId="0CB89CA7" w:rsidR="00F52CE0" w:rsidRPr="009D11F9" w:rsidRDefault="00F52CE0" w:rsidP="0025317F">
            <w:pPr>
              <w:spacing w:after="120"/>
              <w:rPr>
                <w:b/>
              </w:rPr>
            </w:pPr>
            <w:r w:rsidRPr="009D11F9">
              <w:rPr>
                <w:b/>
              </w:rPr>
              <w:t>Tiesnesis pēc sadales</w:t>
            </w:r>
          </w:p>
        </w:tc>
        <w:tc>
          <w:tcPr>
            <w:tcW w:w="3828" w:type="dxa"/>
            <w:shd w:val="clear" w:color="auto" w:fill="E7E6E6" w:themeFill="background2"/>
            <w:vAlign w:val="bottom"/>
          </w:tcPr>
          <w:p w14:paraId="4F0B2827" w14:textId="215E61F3" w:rsidR="00F52CE0" w:rsidRPr="009D11F9" w:rsidRDefault="00F52CE0" w:rsidP="0025317F">
            <w:pPr>
              <w:spacing w:after="120"/>
              <w:rPr>
                <w:b/>
              </w:rPr>
            </w:pPr>
            <w:r w:rsidRPr="009D11F9">
              <w:rPr>
                <w:b/>
              </w:rPr>
              <w:t>Lietu sadales veids/iemesls</w:t>
            </w:r>
          </w:p>
        </w:tc>
      </w:tr>
      <w:tr w:rsidR="00F52CE0" w:rsidRPr="00327DAE" w14:paraId="33343DB3" w14:textId="77777777" w:rsidTr="00DA5069">
        <w:trPr>
          <w:trHeight w:val="301"/>
        </w:trPr>
        <w:tc>
          <w:tcPr>
            <w:tcW w:w="562" w:type="dxa"/>
            <w:vMerge/>
          </w:tcPr>
          <w:p w14:paraId="2E42258B" w14:textId="77777777" w:rsidR="00F52CE0" w:rsidRPr="00327DAE" w:rsidRDefault="00F52CE0" w:rsidP="0025317F">
            <w:pPr>
              <w:spacing w:after="120"/>
              <w:rPr>
                <w:b/>
                <w:sz w:val="24"/>
                <w:szCs w:val="24"/>
              </w:rPr>
            </w:pPr>
          </w:p>
        </w:tc>
        <w:tc>
          <w:tcPr>
            <w:tcW w:w="1560" w:type="dxa"/>
            <w:shd w:val="clear" w:color="auto" w:fill="E7E6E6" w:themeFill="background2"/>
            <w:noWrap/>
            <w:vAlign w:val="bottom"/>
          </w:tcPr>
          <w:p w14:paraId="3AA70F9A" w14:textId="1CFC805D" w:rsidR="00F52CE0" w:rsidRPr="009D11F9" w:rsidRDefault="00F52CE0" w:rsidP="0025317F">
            <w:pPr>
              <w:spacing w:after="120"/>
            </w:pPr>
            <w:r w:rsidRPr="009D11F9">
              <w:t>28.05.2012</w:t>
            </w:r>
          </w:p>
        </w:tc>
        <w:tc>
          <w:tcPr>
            <w:tcW w:w="2409" w:type="dxa"/>
            <w:shd w:val="clear" w:color="auto" w:fill="E7E6E6" w:themeFill="background2"/>
            <w:vAlign w:val="bottom"/>
          </w:tcPr>
          <w:p w14:paraId="360E5313" w14:textId="18B5E4F9" w:rsidR="00F52CE0" w:rsidRPr="009D11F9" w:rsidRDefault="00F52CE0" w:rsidP="0025317F">
            <w:pPr>
              <w:spacing w:after="120"/>
            </w:pPr>
            <w:r w:rsidRPr="009D11F9">
              <w:t>Inese Sniķere</w:t>
            </w:r>
          </w:p>
        </w:tc>
        <w:tc>
          <w:tcPr>
            <w:tcW w:w="3828" w:type="dxa"/>
            <w:shd w:val="clear" w:color="auto" w:fill="E7E6E6" w:themeFill="background2"/>
            <w:vAlign w:val="bottom"/>
          </w:tcPr>
          <w:p w14:paraId="5E95C85B" w14:textId="393BCC18" w:rsidR="00F52CE0" w:rsidRPr="009D11F9" w:rsidRDefault="00F52CE0" w:rsidP="0025317F">
            <w:pPr>
              <w:spacing w:after="120"/>
            </w:pPr>
            <w:r w:rsidRPr="009D11F9">
              <w:t>Datorizēta lietu sadale</w:t>
            </w:r>
          </w:p>
        </w:tc>
      </w:tr>
      <w:tr w:rsidR="00F52CE0" w:rsidRPr="00327DAE" w14:paraId="1FA8F2EA" w14:textId="77777777" w:rsidTr="00DA5069">
        <w:trPr>
          <w:trHeight w:val="301"/>
        </w:trPr>
        <w:tc>
          <w:tcPr>
            <w:tcW w:w="562" w:type="dxa"/>
            <w:vMerge/>
          </w:tcPr>
          <w:p w14:paraId="48FC6E1E" w14:textId="77777777" w:rsidR="00F52CE0" w:rsidRPr="00327DAE" w:rsidRDefault="00F52CE0" w:rsidP="0025317F">
            <w:pPr>
              <w:spacing w:after="120"/>
              <w:rPr>
                <w:b/>
                <w:sz w:val="24"/>
                <w:szCs w:val="24"/>
              </w:rPr>
            </w:pPr>
          </w:p>
        </w:tc>
        <w:tc>
          <w:tcPr>
            <w:tcW w:w="1560" w:type="dxa"/>
            <w:shd w:val="clear" w:color="auto" w:fill="E7E6E6" w:themeFill="background2"/>
            <w:noWrap/>
            <w:vAlign w:val="bottom"/>
          </w:tcPr>
          <w:p w14:paraId="17193F15" w14:textId="2A51D8BA" w:rsidR="00F52CE0" w:rsidRPr="009D11F9" w:rsidRDefault="00F52CE0" w:rsidP="0025317F">
            <w:pPr>
              <w:spacing w:after="120"/>
            </w:pPr>
            <w:r w:rsidRPr="009D11F9">
              <w:t>28.05.2012</w:t>
            </w:r>
          </w:p>
        </w:tc>
        <w:tc>
          <w:tcPr>
            <w:tcW w:w="2409" w:type="dxa"/>
            <w:shd w:val="clear" w:color="auto" w:fill="E7E6E6" w:themeFill="background2"/>
            <w:vAlign w:val="bottom"/>
          </w:tcPr>
          <w:p w14:paraId="3E95B55D" w14:textId="509A3787" w:rsidR="00F52CE0" w:rsidRPr="009D11F9" w:rsidRDefault="00F52CE0" w:rsidP="0025317F">
            <w:pPr>
              <w:spacing w:after="120"/>
            </w:pPr>
            <w:r w:rsidRPr="009D11F9">
              <w:t xml:space="preserve">Iveta </w:t>
            </w:r>
            <w:proofErr w:type="spellStart"/>
            <w:r w:rsidRPr="009D11F9">
              <w:t>Krēvica</w:t>
            </w:r>
            <w:proofErr w:type="spellEnd"/>
          </w:p>
        </w:tc>
        <w:tc>
          <w:tcPr>
            <w:tcW w:w="3828" w:type="dxa"/>
            <w:shd w:val="clear" w:color="auto" w:fill="E7E6E6" w:themeFill="background2"/>
            <w:vAlign w:val="bottom"/>
          </w:tcPr>
          <w:p w14:paraId="105B751F" w14:textId="675F8935" w:rsidR="00F52CE0" w:rsidRPr="009D11F9" w:rsidRDefault="00F52CE0" w:rsidP="0025317F">
            <w:pPr>
              <w:spacing w:after="120"/>
            </w:pPr>
            <w:r w:rsidRPr="009D11F9">
              <w:t>Manuāla lietu sadale - rezolūcija</w:t>
            </w:r>
          </w:p>
        </w:tc>
      </w:tr>
      <w:tr w:rsidR="00F52CE0" w:rsidRPr="00327DAE" w14:paraId="2F400747" w14:textId="77777777" w:rsidTr="00DA5069">
        <w:trPr>
          <w:trHeight w:val="301"/>
        </w:trPr>
        <w:tc>
          <w:tcPr>
            <w:tcW w:w="562" w:type="dxa"/>
            <w:vMerge/>
          </w:tcPr>
          <w:p w14:paraId="48382E18" w14:textId="77777777" w:rsidR="00F52CE0" w:rsidRPr="00327DAE" w:rsidRDefault="00F52CE0" w:rsidP="0025317F">
            <w:pPr>
              <w:spacing w:after="120"/>
              <w:rPr>
                <w:b/>
                <w:sz w:val="24"/>
                <w:szCs w:val="24"/>
              </w:rPr>
            </w:pPr>
          </w:p>
        </w:tc>
        <w:tc>
          <w:tcPr>
            <w:tcW w:w="1560" w:type="dxa"/>
            <w:shd w:val="clear" w:color="auto" w:fill="E7E6E6" w:themeFill="background2"/>
            <w:noWrap/>
            <w:vAlign w:val="bottom"/>
          </w:tcPr>
          <w:p w14:paraId="2E4D2004" w14:textId="5990DE52" w:rsidR="00F52CE0" w:rsidRPr="009D11F9" w:rsidRDefault="00F52CE0" w:rsidP="0025317F">
            <w:pPr>
              <w:spacing w:after="120"/>
            </w:pPr>
            <w:r w:rsidRPr="009D11F9">
              <w:t>29.10.2013</w:t>
            </w:r>
          </w:p>
        </w:tc>
        <w:tc>
          <w:tcPr>
            <w:tcW w:w="2409" w:type="dxa"/>
            <w:shd w:val="clear" w:color="auto" w:fill="E7E6E6" w:themeFill="background2"/>
            <w:vAlign w:val="bottom"/>
          </w:tcPr>
          <w:p w14:paraId="5FD2165D" w14:textId="25ADD000" w:rsidR="00F52CE0" w:rsidRPr="009D11F9" w:rsidRDefault="00F52CE0" w:rsidP="0025317F">
            <w:pPr>
              <w:spacing w:after="120"/>
            </w:pPr>
            <w:r w:rsidRPr="009D11F9">
              <w:t xml:space="preserve">Ilona </w:t>
            </w:r>
            <w:proofErr w:type="spellStart"/>
            <w:r w:rsidRPr="009D11F9">
              <w:t>Rūķe</w:t>
            </w:r>
            <w:proofErr w:type="spellEnd"/>
          </w:p>
        </w:tc>
        <w:tc>
          <w:tcPr>
            <w:tcW w:w="3828" w:type="dxa"/>
            <w:shd w:val="clear" w:color="auto" w:fill="E7E6E6" w:themeFill="background2"/>
            <w:vAlign w:val="bottom"/>
          </w:tcPr>
          <w:p w14:paraId="19B0D09E" w14:textId="18114C2C" w:rsidR="00F52CE0" w:rsidRPr="009D11F9" w:rsidRDefault="00F52CE0" w:rsidP="0025317F">
            <w:pPr>
              <w:spacing w:after="120"/>
            </w:pPr>
            <w:r w:rsidRPr="009D11F9">
              <w:t>Datorizēta lietu sadale</w:t>
            </w:r>
          </w:p>
        </w:tc>
      </w:tr>
      <w:tr w:rsidR="00917C22" w:rsidRPr="00327DAE" w14:paraId="3042F004" w14:textId="77777777" w:rsidTr="00B40DAA">
        <w:trPr>
          <w:trHeight w:val="301"/>
        </w:trPr>
        <w:tc>
          <w:tcPr>
            <w:tcW w:w="562" w:type="dxa"/>
            <w:vMerge/>
          </w:tcPr>
          <w:p w14:paraId="1A412886"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24CF91F8" w14:textId="25ECA1C3" w:rsidR="00B831FB" w:rsidRPr="00327DAE" w:rsidRDefault="00B831FB" w:rsidP="0025317F">
            <w:pPr>
              <w:spacing w:after="120"/>
              <w:rPr>
                <w:i/>
                <w:sz w:val="24"/>
                <w:szCs w:val="24"/>
              </w:rPr>
            </w:pPr>
            <w:r w:rsidRPr="00327DAE">
              <w:rPr>
                <w:i/>
                <w:sz w:val="24"/>
                <w:szCs w:val="24"/>
              </w:rPr>
              <w:t>Augstākās tiesas norādītais pamats lēmuma atcelšanai</w:t>
            </w:r>
          </w:p>
          <w:p w14:paraId="0FEDC8F4" w14:textId="19FCDAAC" w:rsidR="00917C22" w:rsidRPr="00327DAE" w:rsidRDefault="00917C22" w:rsidP="0025317F">
            <w:pPr>
              <w:spacing w:after="120"/>
              <w:rPr>
                <w:sz w:val="24"/>
                <w:szCs w:val="24"/>
              </w:rPr>
            </w:pPr>
            <w:r w:rsidRPr="00327DAE">
              <w:rPr>
                <w:sz w:val="24"/>
                <w:szCs w:val="24"/>
              </w:rPr>
              <w:t>Pretēji Civilprocesa likuma 341.</w:t>
            </w:r>
            <w:r w:rsidRPr="00327DAE">
              <w:rPr>
                <w:sz w:val="24"/>
                <w:szCs w:val="24"/>
                <w:vertAlign w:val="superscript"/>
              </w:rPr>
              <w:t>2</w:t>
            </w:r>
            <w:r w:rsidR="000416BC">
              <w:rPr>
                <w:sz w:val="24"/>
                <w:szCs w:val="24"/>
                <w:vertAlign w:val="superscript"/>
              </w:rPr>
              <w:t> </w:t>
            </w:r>
            <w:r w:rsidRPr="00327DAE">
              <w:rPr>
                <w:sz w:val="24"/>
                <w:szCs w:val="24"/>
              </w:rPr>
              <w:t>panta otrās daļas 2. punktā noteiktajam, lietas materiālos nav pieteikumā minētās pieteicēja operatīvās bilances; plāns nav nosūtīts uz atbilstošo kreditora adresi; tiesa nav pietiekami novērtējusi nodrošināto kreditoru s</w:t>
            </w:r>
            <w:r w:rsidR="00536A07" w:rsidRPr="00327DAE">
              <w:rPr>
                <w:sz w:val="24"/>
                <w:szCs w:val="24"/>
              </w:rPr>
              <w:t>astāvu un viņu prasījumu esību.</w:t>
            </w:r>
          </w:p>
        </w:tc>
      </w:tr>
      <w:tr w:rsidR="00917C22" w:rsidRPr="00327DAE" w14:paraId="1279EDF2" w14:textId="77777777" w:rsidTr="00B40DAA">
        <w:trPr>
          <w:trHeight w:val="301"/>
        </w:trPr>
        <w:tc>
          <w:tcPr>
            <w:tcW w:w="562" w:type="dxa"/>
            <w:vMerge/>
          </w:tcPr>
          <w:p w14:paraId="12FE85D9"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496198BE" w14:textId="77777777" w:rsidR="00917C22" w:rsidRPr="00327DAE" w:rsidRDefault="00917C22" w:rsidP="0025317F">
            <w:pPr>
              <w:spacing w:after="120"/>
              <w:rPr>
                <w:i/>
                <w:sz w:val="24"/>
                <w:szCs w:val="24"/>
              </w:rPr>
            </w:pPr>
            <w:r w:rsidRPr="00327DAE">
              <w:rPr>
                <w:i/>
                <w:sz w:val="24"/>
                <w:szCs w:val="24"/>
              </w:rPr>
              <w:t>Ekspertu secinājumi</w:t>
            </w:r>
          </w:p>
          <w:p w14:paraId="39ED19EC" w14:textId="71A20585" w:rsidR="00974B71" w:rsidRPr="00327DAE" w:rsidRDefault="00974B71" w:rsidP="0025317F">
            <w:pPr>
              <w:spacing w:after="120"/>
              <w:rPr>
                <w:sz w:val="24"/>
                <w:szCs w:val="24"/>
              </w:rPr>
            </w:pPr>
            <w:r w:rsidRPr="00327DAE">
              <w:rPr>
                <w:sz w:val="24"/>
                <w:szCs w:val="24"/>
              </w:rPr>
              <w:t xml:space="preserve">Atbilstoši ĀTAP procesa regulējumam administrators ir iesniedzis ziņojumu, kurā norādīts, ka plāns saskaņots. Neapstiprinās publikācijā norādītais, ka nodrošinātais kreditors iebildis. Lai arī informāciju par ĀTAP nodrošinātais kreditors saņēmis, tomēr tas noticis novēloti administratora rīcības rezultātā (jo plāna projekts nosūtīts uz nepareizu adresi). Izmantoto adrešu saraksts tiesai nav iesniegts. Secināms, ka tiesa nevarēja konstatēt, ka izmantota nepareiza adrese, jo tiesa adrešu pareizību nepārbauda. </w:t>
            </w:r>
          </w:p>
          <w:p w14:paraId="2F62E461" w14:textId="11F4E868" w:rsidR="00917C22" w:rsidRPr="00327DAE" w:rsidRDefault="00917C22" w:rsidP="0025317F">
            <w:pPr>
              <w:spacing w:after="120"/>
              <w:rPr>
                <w:sz w:val="24"/>
                <w:szCs w:val="24"/>
              </w:rPr>
            </w:pPr>
            <w:r w:rsidRPr="00327DAE">
              <w:rPr>
                <w:sz w:val="24"/>
                <w:szCs w:val="24"/>
              </w:rPr>
              <w:t>Tiesnese kļūdījusies</w:t>
            </w:r>
            <w:r w:rsidR="005D4F6D">
              <w:rPr>
                <w:sz w:val="24"/>
                <w:szCs w:val="24"/>
              </w:rPr>
              <w:t>,</w:t>
            </w:r>
            <w:r w:rsidRPr="00327DAE">
              <w:rPr>
                <w:sz w:val="24"/>
                <w:szCs w:val="24"/>
              </w:rPr>
              <w:t xml:space="preserve"> nolēmumā nedodot vērtējumu, vai tiek pasliktināta kreditoru situācija salīdzinājumā ar maksātnespēju, tomēr šāds secinājums ĀTAP procesā</w:t>
            </w:r>
            <w:proofErr w:type="gramStart"/>
            <w:r w:rsidRPr="00327DAE">
              <w:rPr>
                <w:sz w:val="24"/>
                <w:szCs w:val="24"/>
              </w:rPr>
              <w:t xml:space="preserve"> iespējams</w:t>
            </w:r>
            <w:proofErr w:type="gramEnd"/>
            <w:r w:rsidRPr="00327DAE">
              <w:rPr>
                <w:sz w:val="24"/>
                <w:szCs w:val="24"/>
              </w:rPr>
              <w:t xml:space="preserve"> tikai</w:t>
            </w:r>
            <w:r w:rsidR="005D4F6D">
              <w:rPr>
                <w:sz w:val="24"/>
                <w:szCs w:val="24"/>
              </w:rPr>
              <w:t>,</w:t>
            </w:r>
            <w:r w:rsidRPr="00327DAE">
              <w:rPr>
                <w:sz w:val="24"/>
                <w:szCs w:val="24"/>
              </w:rPr>
              <w:t xml:space="preserve"> pamatojoties uz administratora atzinumu.</w:t>
            </w:r>
          </w:p>
          <w:p w14:paraId="56017F35" w14:textId="78C95BBF" w:rsidR="00917C22" w:rsidRPr="00327DAE" w:rsidRDefault="00917C22" w:rsidP="0025317F">
            <w:pPr>
              <w:spacing w:after="120"/>
              <w:rPr>
                <w:sz w:val="24"/>
                <w:szCs w:val="24"/>
              </w:rPr>
            </w:pPr>
            <w:r w:rsidRPr="00327DAE">
              <w:rPr>
                <w:sz w:val="24"/>
                <w:szCs w:val="24"/>
              </w:rPr>
              <w:t>ĀTAP apstiprināšanas procesā tiesai netiek iesniegts izvērsts kreditoru saraksts, kurā būtu redzama prasījuma rašanās diena un pamats, par nodrošinājumu kalpojošā manta – attiecīgi tikai administrators v</w:t>
            </w:r>
            <w:r w:rsidR="00536A07" w:rsidRPr="00327DAE">
              <w:rPr>
                <w:sz w:val="24"/>
                <w:szCs w:val="24"/>
              </w:rPr>
              <w:t>ar apšaubīt kreditoru ticamību.</w:t>
            </w:r>
          </w:p>
        </w:tc>
      </w:tr>
      <w:tr w:rsidR="00917C22" w:rsidRPr="00327DAE" w14:paraId="677D4847" w14:textId="77777777" w:rsidTr="00C547DE">
        <w:trPr>
          <w:trHeight w:val="409"/>
        </w:trPr>
        <w:tc>
          <w:tcPr>
            <w:tcW w:w="562" w:type="dxa"/>
            <w:vMerge w:val="restart"/>
          </w:tcPr>
          <w:p w14:paraId="6AAA20A6" w14:textId="6360CD35" w:rsidR="00917C22" w:rsidRPr="00327DAE" w:rsidRDefault="00140A7A" w:rsidP="0025317F">
            <w:pPr>
              <w:spacing w:after="120"/>
              <w:rPr>
                <w:b/>
                <w:sz w:val="24"/>
                <w:szCs w:val="24"/>
              </w:rPr>
            </w:pPr>
            <w:r w:rsidRPr="00327DAE">
              <w:rPr>
                <w:b/>
                <w:sz w:val="24"/>
                <w:szCs w:val="24"/>
              </w:rPr>
              <w:t>29</w:t>
            </w:r>
            <w:r w:rsidR="00917C22" w:rsidRPr="00327DAE">
              <w:rPr>
                <w:b/>
                <w:sz w:val="24"/>
                <w:szCs w:val="24"/>
              </w:rPr>
              <w:t>.</w:t>
            </w:r>
          </w:p>
        </w:tc>
        <w:tc>
          <w:tcPr>
            <w:tcW w:w="1560" w:type="dxa"/>
            <w:shd w:val="clear" w:color="auto" w:fill="auto"/>
            <w:noWrap/>
            <w:vAlign w:val="bottom"/>
            <w:hideMark/>
          </w:tcPr>
          <w:p w14:paraId="1BB361F0" w14:textId="77777777" w:rsidR="00917C22" w:rsidRPr="00327DAE" w:rsidRDefault="00917C22" w:rsidP="0025317F">
            <w:pPr>
              <w:spacing w:after="120"/>
              <w:rPr>
                <w:b/>
                <w:sz w:val="24"/>
                <w:szCs w:val="24"/>
              </w:rPr>
            </w:pPr>
            <w:r w:rsidRPr="00327DAE">
              <w:rPr>
                <w:b/>
                <w:sz w:val="24"/>
                <w:szCs w:val="24"/>
              </w:rPr>
              <w:t>C30664610</w:t>
            </w:r>
            <w:r w:rsidRPr="00327DAE">
              <w:rPr>
                <w:rStyle w:val="FootnoteReference"/>
                <w:b/>
                <w:sz w:val="24"/>
                <w:szCs w:val="24"/>
              </w:rPr>
              <w:footnoteReference w:id="29"/>
            </w:r>
          </w:p>
          <w:p w14:paraId="4BC101AA" w14:textId="72DCF3D2" w:rsidR="00917C22" w:rsidRPr="00327DAE" w:rsidRDefault="00AB4F91" w:rsidP="0025317F">
            <w:pPr>
              <w:spacing w:after="120"/>
              <w:rPr>
                <w:b/>
                <w:sz w:val="24"/>
                <w:szCs w:val="24"/>
              </w:rPr>
            </w:pPr>
            <w:hyperlink r:id="rId10" w:history="1">
              <w:r w:rsidR="00917C22" w:rsidRPr="00327DAE">
                <w:rPr>
                  <w:b/>
                  <w:sz w:val="24"/>
                  <w:szCs w:val="24"/>
                </w:rPr>
                <w:t>SPC-57/2011</w:t>
              </w:r>
            </w:hyperlink>
          </w:p>
        </w:tc>
        <w:tc>
          <w:tcPr>
            <w:tcW w:w="2409" w:type="dxa"/>
            <w:shd w:val="clear" w:color="auto" w:fill="auto"/>
            <w:vAlign w:val="bottom"/>
            <w:hideMark/>
          </w:tcPr>
          <w:p w14:paraId="4669A98E" w14:textId="77777777" w:rsidR="00917C22" w:rsidRPr="00327DAE" w:rsidRDefault="00917C22" w:rsidP="0025317F">
            <w:pPr>
              <w:spacing w:after="120"/>
              <w:rPr>
                <w:b/>
                <w:sz w:val="24"/>
                <w:szCs w:val="24"/>
              </w:rPr>
            </w:pPr>
            <w:r w:rsidRPr="00327DAE">
              <w:rPr>
                <w:b/>
                <w:sz w:val="24"/>
                <w:szCs w:val="24"/>
              </w:rPr>
              <w:t>07.12.2010. spriedums</w:t>
            </w:r>
          </w:p>
        </w:tc>
        <w:tc>
          <w:tcPr>
            <w:tcW w:w="3828" w:type="dxa"/>
            <w:shd w:val="clear" w:color="auto" w:fill="auto"/>
            <w:vAlign w:val="bottom"/>
            <w:hideMark/>
          </w:tcPr>
          <w:p w14:paraId="5E9A7B69" w14:textId="77777777" w:rsidR="00917C22" w:rsidRPr="00327DAE" w:rsidRDefault="00917C22" w:rsidP="0025317F">
            <w:pPr>
              <w:pStyle w:val="Heading3"/>
              <w:rPr>
                <w:color w:val="000000"/>
              </w:rPr>
            </w:pPr>
            <w:bookmarkStart w:id="42" w:name="_Toc522527516"/>
            <w:r w:rsidRPr="00327DAE">
              <w:t>Fiziskās personas maksātnespējas pieteikums</w:t>
            </w:r>
            <w:bookmarkEnd w:id="42"/>
          </w:p>
        </w:tc>
      </w:tr>
      <w:tr w:rsidR="00F52CE0" w:rsidRPr="00327DAE" w14:paraId="2E617937" w14:textId="77777777" w:rsidTr="00DA5069">
        <w:trPr>
          <w:trHeight w:val="409"/>
        </w:trPr>
        <w:tc>
          <w:tcPr>
            <w:tcW w:w="562" w:type="dxa"/>
            <w:vMerge/>
          </w:tcPr>
          <w:p w14:paraId="30DADD9B" w14:textId="77777777" w:rsidR="00F52CE0" w:rsidRPr="00327DAE" w:rsidRDefault="00F52CE0" w:rsidP="0025317F">
            <w:pPr>
              <w:spacing w:after="120"/>
              <w:rPr>
                <w:b/>
                <w:sz w:val="24"/>
                <w:szCs w:val="24"/>
              </w:rPr>
            </w:pPr>
          </w:p>
        </w:tc>
        <w:tc>
          <w:tcPr>
            <w:tcW w:w="1560" w:type="dxa"/>
            <w:shd w:val="clear" w:color="auto" w:fill="E7E6E6" w:themeFill="background2"/>
            <w:noWrap/>
            <w:vAlign w:val="center"/>
          </w:tcPr>
          <w:p w14:paraId="577443F8" w14:textId="433DE90D" w:rsidR="00F52CE0" w:rsidRPr="009D11F9" w:rsidRDefault="00F52CE0" w:rsidP="0025317F">
            <w:pPr>
              <w:spacing w:after="120"/>
            </w:pPr>
            <w:r w:rsidRPr="009D11F9">
              <w:t>Sadales datums</w:t>
            </w:r>
          </w:p>
        </w:tc>
        <w:tc>
          <w:tcPr>
            <w:tcW w:w="2409" w:type="dxa"/>
            <w:shd w:val="clear" w:color="auto" w:fill="E7E6E6" w:themeFill="background2"/>
            <w:vAlign w:val="center"/>
          </w:tcPr>
          <w:p w14:paraId="226077EF" w14:textId="392260EE" w:rsidR="00F52CE0" w:rsidRPr="009D11F9" w:rsidRDefault="00F52CE0" w:rsidP="0025317F">
            <w:pPr>
              <w:spacing w:after="120"/>
            </w:pPr>
            <w:r w:rsidRPr="009D11F9">
              <w:t>Tiesnesis pēc sadales</w:t>
            </w:r>
          </w:p>
        </w:tc>
        <w:tc>
          <w:tcPr>
            <w:tcW w:w="3828" w:type="dxa"/>
            <w:shd w:val="clear" w:color="auto" w:fill="E7E6E6" w:themeFill="background2"/>
            <w:vAlign w:val="bottom"/>
          </w:tcPr>
          <w:p w14:paraId="69E5C272" w14:textId="76ED4FB1" w:rsidR="00F52CE0" w:rsidRPr="009D11F9" w:rsidRDefault="00F52CE0" w:rsidP="0025317F">
            <w:pPr>
              <w:spacing w:after="120"/>
            </w:pPr>
            <w:r w:rsidRPr="009D11F9">
              <w:t>Lietu sadales veids/iemesls</w:t>
            </w:r>
          </w:p>
        </w:tc>
      </w:tr>
      <w:tr w:rsidR="00991915" w:rsidRPr="00327DAE" w14:paraId="2E2E9BA1" w14:textId="77777777" w:rsidTr="00DA5069">
        <w:trPr>
          <w:trHeight w:val="409"/>
        </w:trPr>
        <w:tc>
          <w:tcPr>
            <w:tcW w:w="562" w:type="dxa"/>
            <w:vMerge/>
          </w:tcPr>
          <w:p w14:paraId="16CD870E"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65C2F2FC" w14:textId="2E0B426B" w:rsidR="00991915" w:rsidRPr="009D11F9" w:rsidRDefault="00991915" w:rsidP="0025317F">
            <w:pPr>
              <w:spacing w:after="120"/>
            </w:pPr>
            <w:r w:rsidRPr="009D11F9">
              <w:t>29.10.2010</w:t>
            </w:r>
          </w:p>
        </w:tc>
        <w:tc>
          <w:tcPr>
            <w:tcW w:w="2409" w:type="dxa"/>
            <w:shd w:val="clear" w:color="auto" w:fill="E7E6E6" w:themeFill="background2"/>
            <w:vAlign w:val="bottom"/>
          </w:tcPr>
          <w:p w14:paraId="02F091A8" w14:textId="711F56AB" w:rsidR="00991915" w:rsidRPr="009D11F9" w:rsidRDefault="00991915" w:rsidP="0025317F">
            <w:pPr>
              <w:spacing w:after="120"/>
            </w:pPr>
            <w:r w:rsidRPr="009D11F9">
              <w:t>Svens Lorencs</w:t>
            </w:r>
          </w:p>
        </w:tc>
        <w:tc>
          <w:tcPr>
            <w:tcW w:w="3828" w:type="dxa"/>
            <w:shd w:val="clear" w:color="auto" w:fill="E7E6E6" w:themeFill="background2"/>
            <w:vAlign w:val="bottom"/>
          </w:tcPr>
          <w:p w14:paraId="621080EB" w14:textId="5017092A" w:rsidR="00991915" w:rsidRPr="009D11F9" w:rsidRDefault="00991915" w:rsidP="0025317F">
            <w:pPr>
              <w:spacing w:after="120"/>
            </w:pPr>
            <w:r w:rsidRPr="009D11F9">
              <w:t>Datorizēta lietu sadale</w:t>
            </w:r>
          </w:p>
        </w:tc>
      </w:tr>
      <w:tr w:rsidR="00991915" w:rsidRPr="00327DAE" w14:paraId="7540CC23" w14:textId="77777777" w:rsidTr="00DA5069">
        <w:trPr>
          <w:trHeight w:val="409"/>
        </w:trPr>
        <w:tc>
          <w:tcPr>
            <w:tcW w:w="562" w:type="dxa"/>
            <w:vMerge/>
          </w:tcPr>
          <w:p w14:paraId="72A9B390"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735A8EA0" w14:textId="6454E635" w:rsidR="00991915" w:rsidRPr="009D11F9" w:rsidRDefault="00991915" w:rsidP="0025317F">
            <w:pPr>
              <w:spacing w:after="120"/>
            </w:pPr>
            <w:r w:rsidRPr="009D11F9">
              <w:t>29.10.2010</w:t>
            </w:r>
          </w:p>
        </w:tc>
        <w:tc>
          <w:tcPr>
            <w:tcW w:w="2409" w:type="dxa"/>
            <w:shd w:val="clear" w:color="auto" w:fill="E7E6E6" w:themeFill="background2"/>
            <w:vAlign w:val="bottom"/>
          </w:tcPr>
          <w:p w14:paraId="741E7EF1" w14:textId="197B39C2" w:rsidR="00991915" w:rsidRPr="009D11F9" w:rsidRDefault="00991915" w:rsidP="0025317F">
            <w:pPr>
              <w:spacing w:after="120"/>
            </w:pPr>
            <w:r w:rsidRPr="009D11F9">
              <w:t xml:space="preserve">Iveta </w:t>
            </w:r>
            <w:proofErr w:type="spellStart"/>
            <w:r w:rsidRPr="009D11F9">
              <w:t>Krēvica</w:t>
            </w:r>
            <w:proofErr w:type="spellEnd"/>
          </w:p>
        </w:tc>
        <w:tc>
          <w:tcPr>
            <w:tcW w:w="3828" w:type="dxa"/>
            <w:shd w:val="clear" w:color="auto" w:fill="E7E6E6" w:themeFill="background2"/>
            <w:vAlign w:val="bottom"/>
          </w:tcPr>
          <w:p w14:paraId="50F8D644" w14:textId="23EB6B4D" w:rsidR="00991915" w:rsidRPr="009D11F9" w:rsidRDefault="00991915" w:rsidP="0025317F">
            <w:pPr>
              <w:spacing w:after="120"/>
            </w:pPr>
            <w:r w:rsidRPr="009D11F9">
              <w:t>Manuāla lietu sadale – tiesneša nozīmēšana</w:t>
            </w:r>
          </w:p>
        </w:tc>
      </w:tr>
      <w:tr w:rsidR="00991915" w:rsidRPr="00327DAE" w14:paraId="5B56CB76" w14:textId="77777777" w:rsidTr="00DA5069">
        <w:trPr>
          <w:trHeight w:val="409"/>
        </w:trPr>
        <w:tc>
          <w:tcPr>
            <w:tcW w:w="562" w:type="dxa"/>
            <w:vMerge/>
          </w:tcPr>
          <w:p w14:paraId="2840E8D5"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5D310C64" w14:textId="615A83AB" w:rsidR="00991915" w:rsidRPr="009D11F9" w:rsidRDefault="00991915" w:rsidP="0025317F">
            <w:pPr>
              <w:spacing w:after="120"/>
            </w:pPr>
            <w:r w:rsidRPr="009D11F9">
              <w:t>28.06.2011</w:t>
            </w:r>
          </w:p>
        </w:tc>
        <w:tc>
          <w:tcPr>
            <w:tcW w:w="2409" w:type="dxa"/>
            <w:shd w:val="clear" w:color="auto" w:fill="E7E6E6" w:themeFill="background2"/>
            <w:vAlign w:val="bottom"/>
          </w:tcPr>
          <w:p w14:paraId="3DB55070" w14:textId="687A1DFF" w:rsidR="00991915" w:rsidRPr="009D11F9" w:rsidRDefault="00991915" w:rsidP="0025317F">
            <w:pPr>
              <w:spacing w:after="120"/>
            </w:pPr>
            <w:r w:rsidRPr="009D11F9">
              <w:t xml:space="preserve">Antra </w:t>
            </w:r>
            <w:proofErr w:type="spellStart"/>
            <w:r w:rsidRPr="009D11F9">
              <w:t>Zute</w:t>
            </w:r>
            <w:proofErr w:type="spellEnd"/>
          </w:p>
        </w:tc>
        <w:tc>
          <w:tcPr>
            <w:tcW w:w="3828" w:type="dxa"/>
            <w:shd w:val="clear" w:color="auto" w:fill="E7E6E6" w:themeFill="background2"/>
            <w:vAlign w:val="bottom"/>
          </w:tcPr>
          <w:p w14:paraId="6FDBB90B" w14:textId="2BA91027" w:rsidR="00991915" w:rsidRPr="009D11F9" w:rsidRDefault="00991915" w:rsidP="0025317F">
            <w:pPr>
              <w:spacing w:after="120"/>
            </w:pPr>
            <w:r w:rsidRPr="009D11F9">
              <w:t>Manuāla lietu sadale – tiesneša nozīmēšana</w:t>
            </w:r>
          </w:p>
        </w:tc>
      </w:tr>
      <w:tr w:rsidR="00991915" w:rsidRPr="00327DAE" w14:paraId="5B23207E" w14:textId="77777777" w:rsidTr="00DA5069">
        <w:trPr>
          <w:trHeight w:val="409"/>
        </w:trPr>
        <w:tc>
          <w:tcPr>
            <w:tcW w:w="562" w:type="dxa"/>
            <w:vMerge/>
          </w:tcPr>
          <w:p w14:paraId="6E4E88EC"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55E7AB09" w14:textId="659774FF" w:rsidR="00991915" w:rsidRPr="009D11F9" w:rsidRDefault="00991915" w:rsidP="0025317F">
            <w:pPr>
              <w:spacing w:after="120"/>
            </w:pPr>
            <w:r w:rsidRPr="009D11F9">
              <w:t>28.06.2011</w:t>
            </w:r>
          </w:p>
        </w:tc>
        <w:tc>
          <w:tcPr>
            <w:tcW w:w="2409" w:type="dxa"/>
            <w:shd w:val="clear" w:color="auto" w:fill="E7E6E6" w:themeFill="background2"/>
            <w:vAlign w:val="bottom"/>
          </w:tcPr>
          <w:p w14:paraId="3399684A" w14:textId="7E7043AF" w:rsidR="00991915" w:rsidRPr="009D11F9" w:rsidRDefault="00991915" w:rsidP="0025317F">
            <w:pPr>
              <w:spacing w:after="120"/>
            </w:pPr>
            <w:r w:rsidRPr="009D11F9">
              <w:t xml:space="preserve">Antra </w:t>
            </w:r>
            <w:proofErr w:type="spellStart"/>
            <w:r w:rsidRPr="009D11F9">
              <w:t>Zute</w:t>
            </w:r>
            <w:proofErr w:type="spellEnd"/>
          </w:p>
        </w:tc>
        <w:tc>
          <w:tcPr>
            <w:tcW w:w="3828" w:type="dxa"/>
            <w:shd w:val="clear" w:color="auto" w:fill="E7E6E6" w:themeFill="background2"/>
            <w:vAlign w:val="bottom"/>
          </w:tcPr>
          <w:p w14:paraId="1F42A791" w14:textId="3C9B3D63" w:rsidR="00991915" w:rsidRPr="009D11F9" w:rsidRDefault="00991915" w:rsidP="0025317F">
            <w:pPr>
              <w:spacing w:after="120"/>
            </w:pPr>
            <w:r w:rsidRPr="009D11F9">
              <w:t>Manuāla lietu sadale – tiesneša nozīmēšana</w:t>
            </w:r>
          </w:p>
        </w:tc>
      </w:tr>
      <w:tr w:rsidR="00917C22" w:rsidRPr="00327DAE" w14:paraId="7BD96242" w14:textId="77777777" w:rsidTr="00B40DAA">
        <w:trPr>
          <w:trHeight w:val="416"/>
        </w:trPr>
        <w:tc>
          <w:tcPr>
            <w:tcW w:w="562" w:type="dxa"/>
            <w:vMerge/>
          </w:tcPr>
          <w:p w14:paraId="4C4AC387"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020688DD" w14:textId="77777777" w:rsidR="00B831FB" w:rsidRPr="00327DAE" w:rsidRDefault="00B831FB" w:rsidP="0025317F">
            <w:pPr>
              <w:spacing w:after="120"/>
              <w:rPr>
                <w:i/>
                <w:sz w:val="24"/>
                <w:szCs w:val="24"/>
              </w:rPr>
            </w:pPr>
            <w:r w:rsidRPr="00327DAE">
              <w:rPr>
                <w:i/>
                <w:sz w:val="24"/>
                <w:szCs w:val="24"/>
              </w:rPr>
              <w:t>Augstākās tiesas norādītais pamats sprieduma atcelšanai</w:t>
            </w:r>
          </w:p>
          <w:p w14:paraId="658008AB" w14:textId="0B8AF85D" w:rsidR="00917C22" w:rsidRPr="00327DAE" w:rsidRDefault="00917C22" w:rsidP="0025317F">
            <w:pPr>
              <w:spacing w:after="120"/>
              <w:rPr>
                <w:sz w:val="24"/>
                <w:szCs w:val="24"/>
              </w:rPr>
            </w:pPr>
            <w:r w:rsidRPr="00327DAE">
              <w:rPr>
                <w:sz w:val="24"/>
                <w:szCs w:val="24"/>
              </w:rPr>
              <w:t xml:space="preserve">Bez ievērības atstāta kreditora sniegtā informācija, tiesa balstījusies uz </w:t>
            </w:r>
            <w:r w:rsidRPr="00327DAE">
              <w:rPr>
                <w:sz w:val="24"/>
                <w:szCs w:val="24"/>
              </w:rPr>
              <w:lastRenderedPageBreak/>
              <w:t>formāliem apsvērumiem; nav vērtēts noslēgtais dāvinājuma līgums, kapitāla daļu atsavināšana neilgi p</w:t>
            </w:r>
            <w:r w:rsidR="00536A07" w:rsidRPr="00327DAE">
              <w:rPr>
                <w:sz w:val="24"/>
                <w:szCs w:val="24"/>
              </w:rPr>
              <w:t>irms maksātnespējas pieteikuma.</w:t>
            </w:r>
          </w:p>
        </w:tc>
      </w:tr>
      <w:tr w:rsidR="00917C22" w:rsidRPr="00327DAE" w14:paraId="5CF1F9C7" w14:textId="77777777" w:rsidTr="00B40DAA">
        <w:trPr>
          <w:trHeight w:val="301"/>
        </w:trPr>
        <w:tc>
          <w:tcPr>
            <w:tcW w:w="562" w:type="dxa"/>
            <w:vMerge/>
          </w:tcPr>
          <w:p w14:paraId="5D9B6B85"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2E78BCBC" w14:textId="77777777" w:rsidR="00917C22" w:rsidRPr="00327DAE" w:rsidRDefault="00917C22" w:rsidP="0025317F">
            <w:pPr>
              <w:spacing w:after="120"/>
              <w:rPr>
                <w:i/>
                <w:sz w:val="24"/>
                <w:szCs w:val="24"/>
              </w:rPr>
            </w:pPr>
            <w:r w:rsidRPr="00327DAE">
              <w:rPr>
                <w:i/>
                <w:sz w:val="24"/>
                <w:szCs w:val="24"/>
              </w:rPr>
              <w:t>Ekspertu secinājumi</w:t>
            </w:r>
          </w:p>
          <w:p w14:paraId="740773CA" w14:textId="2A156101" w:rsidR="00917C22" w:rsidRPr="00327DAE" w:rsidRDefault="00917C22" w:rsidP="0025317F">
            <w:pPr>
              <w:spacing w:after="120"/>
              <w:rPr>
                <w:sz w:val="24"/>
                <w:szCs w:val="24"/>
              </w:rPr>
            </w:pPr>
            <w:r w:rsidRPr="00327DAE">
              <w:rPr>
                <w:sz w:val="24"/>
                <w:szCs w:val="24"/>
              </w:rPr>
              <w:t xml:space="preserve">Tiesnese nav ņēmusi vērā </w:t>
            </w:r>
            <w:r w:rsidR="004545D6" w:rsidRPr="00327DAE">
              <w:rPr>
                <w:sz w:val="24"/>
                <w:szCs w:val="24"/>
              </w:rPr>
              <w:t xml:space="preserve">lietai pievienotos </w:t>
            </w:r>
            <w:r w:rsidRPr="00327DAE">
              <w:rPr>
                <w:sz w:val="24"/>
                <w:szCs w:val="24"/>
              </w:rPr>
              <w:t>kreditoru iebildumus (nav argumentējusi tiesas viedokli), attiecīgi lēmumā ir apstiprināts administratora atzinums. Kreditora tiesību aizsardzības mehānismi piemērojamajā Maksātnespējas likuma un Civilprocesa likuma redakcijā nebija paredzēti. Secināms, ka nav argumentēts tiesas viedoklis.</w:t>
            </w:r>
            <w:r w:rsidR="004545D6" w:rsidRPr="00327DAE">
              <w:rPr>
                <w:sz w:val="24"/>
                <w:szCs w:val="24"/>
              </w:rPr>
              <w:t xml:space="preserve"> Kreditora iebildumi bija par apstākļiem, kas var būt šķērslis maksātnespējas procesa pasludināšanai un kas tiesai būtu </w:t>
            </w:r>
            <w:proofErr w:type="spellStart"/>
            <w:r w:rsidR="004545D6" w:rsidRPr="009D11F9">
              <w:rPr>
                <w:i/>
                <w:sz w:val="24"/>
                <w:szCs w:val="24"/>
              </w:rPr>
              <w:t>ex</w:t>
            </w:r>
            <w:proofErr w:type="spellEnd"/>
            <w:r w:rsidR="004545D6" w:rsidRPr="009D11F9">
              <w:rPr>
                <w:i/>
                <w:sz w:val="24"/>
                <w:szCs w:val="24"/>
              </w:rPr>
              <w:t xml:space="preserve"> </w:t>
            </w:r>
            <w:proofErr w:type="spellStart"/>
            <w:r w:rsidR="004545D6" w:rsidRPr="009D11F9">
              <w:rPr>
                <w:i/>
                <w:sz w:val="24"/>
                <w:szCs w:val="24"/>
              </w:rPr>
              <w:t>officio</w:t>
            </w:r>
            <w:proofErr w:type="spellEnd"/>
            <w:r w:rsidR="004545D6" w:rsidRPr="00327DAE">
              <w:rPr>
                <w:sz w:val="24"/>
                <w:szCs w:val="24"/>
              </w:rPr>
              <w:t xml:space="preserve"> jānovērtē pēc Civilprocesa likuma 363.</w:t>
            </w:r>
            <w:r w:rsidR="004545D6" w:rsidRPr="00327DAE">
              <w:rPr>
                <w:sz w:val="24"/>
                <w:szCs w:val="24"/>
                <w:vertAlign w:val="superscript"/>
              </w:rPr>
              <w:t>19 </w:t>
            </w:r>
            <w:r w:rsidR="004545D6" w:rsidRPr="00327DAE">
              <w:rPr>
                <w:sz w:val="24"/>
                <w:szCs w:val="24"/>
              </w:rPr>
              <w:t xml:space="preserve">panta, kas arī bija iemesls sprieduma atcelšanai. </w:t>
            </w:r>
            <w:r w:rsidR="00443288" w:rsidRPr="00327DAE">
              <w:rPr>
                <w:sz w:val="24"/>
                <w:szCs w:val="24"/>
              </w:rPr>
              <w:t>Būtiski, ka, otrreiz skatot pieteikumu, tiesa arī to apstiprina, šoreiz izvērtējot kreditora iebildumus par fiziskās personas rīcības saistīšanu ar maksātnespējas iestāšanos, proti, ka darījumi nenorāda uz nodomu.</w:t>
            </w:r>
            <w:r w:rsidR="004545D6" w:rsidRPr="00327DAE">
              <w:rPr>
                <w:sz w:val="24"/>
                <w:szCs w:val="24"/>
              </w:rPr>
              <w:t xml:space="preserve"> Tas, ka, atkārtoti izvērtējot kreditora iebildumus, rezultāts nemainījās, nemaina tiesneses </w:t>
            </w:r>
            <w:r w:rsidR="00FD0FC9">
              <w:rPr>
                <w:sz w:val="24"/>
                <w:szCs w:val="24"/>
              </w:rPr>
              <w:t>I. </w:t>
            </w:r>
            <w:proofErr w:type="spellStart"/>
            <w:r w:rsidR="004545D6" w:rsidRPr="00327DAE">
              <w:rPr>
                <w:sz w:val="24"/>
                <w:szCs w:val="24"/>
              </w:rPr>
              <w:t>Krēvicas</w:t>
            </w:r>
            <w:proofErr w:type="spellEnd"/>
            <w:r w:rsidR="004545D6" w:rsidRPr="00327DAE">
              <w:rPr>
                <w:sz w:val="24"/>
                <w:szCs w:val="24"/>
              </w:rPr>
              <w:t xml:space="preserve"> lēmuma trūkumus.</w:t>
            </w:r>
          </w:p>
        </w:tc>
      </w:tr>
      <w:tr w:rsidR="001C2BD2" w:rsidRPr="00327DAE" w14:paraId="1AFD19D9" w14:textId="77777777" w:rsidTr="00B40DAA">
        <w:trPr>
          <w:trHeight w:val="301"/>
        </w:trPr>
        <w:tc>
          <w:tcPr>
            <w:tcW w:w="562" w:type="dxa"/>
          </w:tcPr>
          <w:p w14:paraId="4CE88421" w14:textId="77777777" w:rsidR="001C2BD2" w:rsidRPr="00327DAE" w:rsidRDefault="001C2BD2" w:rsidP="0025317F">
            <w:pPr>
              <w:spacing w:after="120"/>
              <w:rPr>
                <w:sz w:val="24"/>
                <w:szCs w:val="24"/>
              </w:rPr>
            </w:pPr>
          </w:p>
        </w:tc>
        <w:tc>
          <w:tcPr>
            <w:tcW w:w="7797" w:type="dxa"/>
            <w:gridSpan w:val="3"/>
            <w:shd w:val="clear" w:color="auto" w:fill="auto"/>
            <w:noWrap/>
            <w:vAlign w:val="bottom"/>
          </w:tcPr>
          <w:p w14:paraId="0F21B3D8" w14:textId="6E4D8715" w:rsidR="001C2BD2" w:rsidRPr="00327DAE" w:rsidRDefault="001C2BD2" w:rsidP="0025317F">
            <w:pPr>
              <w:spacing w:after="120"/>
              <w:rPr>
                <w:i/>
                <w:sz w:val="24"/>
                <w:szCs w:val="24"/>
              </w:rPr>
            </w:pPr>
          </w:p>
        </w:tc>
      </w:tr>
      <w:tr w:rsidR="00917C22" w:rsidRPr="00327DAE" w14:paraId="4E45BC20" w14:textId="77777777" w:rsidTr="00B40DAA">
        <w:trPr>
          <w:trHeight w:val="416"/>
        </w:trPr>
        <w:tc>
          <w:tcPr>
            <w:tcW w:w="562" w:type="dxa"/>
            <w:vMerge w:val="restart"/>
          </w:tcPr>
          <w:p w14:paraId="4A0828A0" w14:textId="4FF7759C" w:rsidR="00917C22" w:rsidRPr="00327DAE" w:rsidRDefault="00140A7A" w:rsidP="0025317F">
            <w:pPr>
              <w:spacing w:after="120"/>
              <w:rPr>
                <w:b/>
                <w:sz w:val="24"/>
                <w:szCs w:val="24"/>
              </w:rPr>
            </w:pPr>
            <w:r w:rsidRPr="00327DAE">
              <w:rPr>
                <w:b/>
                <w:sz w:val="24"/>
                <w:szCs w:val="24"/>
              </w:rPr>
              <w:t>30</w:t>
            </w:r>
            <w:r w:rsidR="00917C22" w:rsidRPr="00327DAE">
              <w:rPr>
                <w:b/>
                <w:sz w:val="24"/>
                <w:szCs w:val="24"/>
              </w:rPr>
              <w:t>.</w:t>
            </w:r>
          </w:p>
        </w:tc>
        <w:tc>
          <w:tcPr>
            <w:tcW w:w="1560" w:type="dxa"/>
            <w:shd w:val="clear" w:color="auto" w:fill="auto"/>
            <w:noWrap/>
            <w:vAlign w:val="bottom"/>
            <w:hideMark/>
          </w:tcPr>
          <w:p w14:paraId="360B5A17" w14:textId="77777777" w:rsidR="00917C22" w:rsidRPr="00327DAE" w:rsidRDefault="00917C22" w:rsidP="0025317F">
            <w:pPr>
              <w:spacing w:after="120"/>
              <w:rPr>
                <w:b/>
                <w:sz w:val="24"/>
                <w:szCs w:val="24"/>
              </w:rPr>
            </w:pPr>
            <w:r w:rsidRPr="00327DAE">
              <w:rPr>
                <w:b/>
                <w:sz w:val="24"/>
                <w:szCs w:val="24"/>
              </w:rPr>
              <w:t>C30447716</w:t>
            </w:r>
            <w:r w:rsidRPr="00327DAE">
              <w:rPr>
                <w:rStyle w:val="FootnoteReference"/>
                <w:b/>
                <w:sz w:val="24"/>
                <w:szCs w:val="24"/>
              </w:rPr>
              <w:footnoteReference w:id="30"/>
            </w:r>
          </w:p>
          <w:p w14:paraId="6C8C07A2" w14:textId="1D3498C2" w:rsidR="00917C22" w:rsidRPr="00327DAE" w:rsidRDefault="00917C22" w:rsidP="0025317F">
            <w:pPr>
              <w:spacing w:after="120"/>
              <w:rPr>
                <w:b/>
                <w:color w:val="000000"/>
                <w:sz w:val="24"/>
                <w:szCs w:val="24"/>
                <w:shd w:val="clear" w:color="auto" w:fill="FFFFFF"/>
              </w:rPr>
            </w:pPr>
            <w:r w:rsidRPr="00327DAE">
              <w:rPr>
                <w:b/>
                <w:color w:val="000000"/>
                <w:sz w:val="24"/>
                <w:szCs w:val="24"/>
                <w:shd w:val="clear" w:color="auto" w:fill="FFFFFF"/>
              </w:rPr>
              <w:t>SPC-1/2016</w:t>
            </w:r>
          </w:p>
        </w:tc>
        <w:tc>
          <w:tcPr>
            <w:tcW w:w="2409" w:type="dxa"/>
            <w:shd w:val="clear" w:color="auto" w:fill="auto"/>
            <w:vAlign w:val="bottom"/>
            <w:hideMark/>
          </w:tcPr>
          <w:p w14:paraId="530DC58A" w14:textId="19893110" w:rsidR="00917C22" w:rsidRPr="00327DAE" w:rsidRDefault="00917C22" w:rsidP="0025317F">
            <w:pPr>
              <w:spacing w:after="120"/>
              <w:rPr>
                <w:b/>
                <w:sz w:val="24"/>
                <w:szCs w:val="24"/>
              </w:rPr>
            </w:pPr>
            <w:r w:rsidRPr="00327DAE">
              <w:rPr>
                <w:b/>
                <w:sz w:val="24"/>
                <w:szCs w:val="24"/>
              </w:rPr>
              <w:t>03.07.2014</w:t>
            </w:r>
            <w:r w:rsidR="005D4F6D">
              <w:rPr>
                <w:b/>
                <w:sz w:val="24"/>
                <w:szCs w:val="24"/>
              </w:rPr>
              <w:t>.</w:t>
            </w:r>
            <w:r w:rsidRPr="00327DAE">
              <w:rPr>
                <w:b/>
                <w:sz w:val="24"/>
                <w:szCs w:val="24"/>
              </w:rPr>
              <w:t xml:space="preserve"> lēmums</w:t>
            </w:r>
          </w:p>
        </w:tc>
        <w:tc>
          <w:tcPr>
            <w:tcW w:w="3828" w:type="dxa"/>
            <w:shd w:val="clear" w:color="auto" w:fill="auto"/>
            <w:vAlign w:val="bottom"/>
            <w:hideMark/>
          </w:tcPr>
          <w:p w14:paraId="52602A5B" w14:textId="77777777" w:rsidR="00917C22" w:rsidRPr="00327DAE" w:rsidRDefault="00917C22" w:rsidP="0025317F">
            <w:pPr>
              <w:pStyle w:val="Heading3"/>
              <w:rPr>
                <w:color w:val="000000"/>
              </w:rPr>
            </w:pPr>
            <w:bookmarkStart w:id="43" w:name="_Toc522527517"/>
            <w:r w:rsidRPr="00327DAE">
              <w:t>SIA „Gabriels”: TAP pieteikums</w:t>
            </w:r>
            <w:bookmarkEnd w:id="43"/>
          </w:p>
        </w:tc>
      </w:tr>
      <w:tr w:rsidR="00991915" w:rsidRPr="00327DAE" w14:paraId="39EAFEE3" w14:textId="77777777" w:rsidTr="00DA5069">
        <w:trPr>
          <w:trHeight w:val="416"/>
        </w:trPr>
        <w:tc>
          <w:tcPr>
            <w:tcW w:w="562" w:type="dxa"/>
            <w:vMerge/>
          </w:tcPr>
          <w:p w14:paraId="13B28F56" w14:textId="77777777" w:rsidR="00991915" w:rsidRPr="00327DAE" w:rsidRDefault="00991915" w:rsidP="0025317F">
            <w:pPr>
              <w:spacing w:after="120"/>
              <w:rPr>
                <w:b/>
                <w:sz w:val="24"/>
                <w:szCs w:val="24"/>
              </w:rPr>
            </w:pPr>
          </w:p>
        </w:tc>
        <w:tc>
          <w:tcPr>
            <w:tcW w:w="1560" w:type="dxa"/>
            <w:shd w:val="clear" w:color="auto" w:fill="E7E6E6" w:themeFill="background2"/>
            <w:noWrap/>
            <w:vAlign w:val="center"/>
          </w:tcPr>
          <w:p w14:paraId="44319C73" w14:textId="7BF3B39F" w:rsidR="00991915" w:rsidRPr="009D11F9" w:rsidRDefault="00991915" w:rsidP="0025317F">
            <w:pPr>
              <w:spacing w:after="120"/>
              <w:rPr>
                <w:b/>
              </w:rPr>
            </w:pPr>
            <w:r w:rsidRPr="009D11F9">
              <w:rPr>
                <w:b/>
              </w:rPr>
              <w:t>Sadales datums</w:t>
            </w:r>
          </w:p>
        </w:tc>
        <w:tc>
          <w:tcPr>
            <w:tcW w:w="2409" w:type="dxa"/>
            <w:shd w:val="clear" w:color="auto" w:fill="E7E6E6" w:themeFill="background2"/>
            <w:vAlign w:val="center"/>
          </w:tcPr>
          <w:p w14:paraId="3E4BC92F" w14:textId="4F3ECE9A" w:rsidR="00991915" w:rsidRPr="009D11F9" w:rsidRDefault="00991915" w:rsidP="0025317F">
            <w:pPr>
              <w:spacing w:after="120"/>
              <w:rPr>
                <w:b/>
              </w:rPr>
            </w:pPr>
            <w:r w:rsidRPr="009D11F9">
              <w:rPr>
                <w:b/>
              </w:rPr>
              <w:t>Tiesnesis pēc sadales</w:t>
            </w:r>
          </w:p>
        </w:tc>
        <w:tc>
          <w:tcPr>
            <w:tcW w:w="3828" w:type="dxa"/>
            <w:shd w:val="clear" w:color="auto" w:fill="E7E6E6" w:themeFill="background2"/>
            <w:vAlign w:val="bottom"/>
          </w:tcPr>
          <w:p w14:paraId="7C71EF01" w14:textId="3788BCE4" w:rsidR="00991915" w:rsidRPr="009D11F9" w:rsidRDefault="00991915" w:rsidP="0025317F">
            <w:pPr>
              <w:spacing w:after="120"/>
              <w:rPr>
                <w:b/>
              </w:rPr>
            </w:pPr>
            <w:r w:rsidRPr="009D11F9">
              <w:rPr>
                <w:b/>
              </w:rPr>
              <w:t>Lietu sadales veids/iemesls</w:t>
            </w:r>
          </w:p>
        </w:tc>
      </w:tr>
      <w:tr w:rsidR="00991915" w:rsidRPr="00327DAE" w14:paraId="5D8DF369" w14:textId="77777777" w:rsidTr="00DA5069">
        <w:trPr>
          <w:trHeight w:val="416"/>
        </w:trPr>
        <w:tc>
          <w:tcPr>
            <w:tcW w:w="562" w:type="dxa"/>
            <w:vMerge/>
          </w:tcPr>
          <w:p w14:paraId="28490ACD"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15302361" w14:textId="4A591C48" w:rsidR="00991915" w:rsidRPr="009D11F9" w:rsidRDefault="00991915" w:rsidP="0025317F">
            <w:pPr>
              <w:spacing w:after="120"/>
            </w:pPr>
            <w:r w:rsidRPr="009D11F9">
              <w:t>19.03.2014</w:t>
            </w:r>
          </w:p>
        </w:tc>
        <w:tc>
          <w:tcPr>
            <w:tcW w:w="2409" w:type="dxa"/>
            <w:shd w:val="clear" w:color="auto" w:fill="E7E6E6" w:themeFill="background2"/>
            <w:vAlign w:val="bottom"/>
          </w:tcPr>
          <w:p w14:paraId="72CA0FF6" w14:textId="04EE60AC" w:rsidR="00991915" w:rsidRPr="009D11F9" w:rsidRDefault="00991915" w:rsidP="0025317F">
            <w:pPr>
              <w:spacing w:after="120"/>
            </w:pPr>
            <w:r w:rsidRPr="009D11F9">
              <w:t xml:space="preserve">Iveta </w:t>
            </w:r>
            <w:proofErr w:type="spellStart"/>
            <w:r w:rsidRPr="009D11F9">
              <w:t>Krēvica</w:t>
            </w:r>
            <w:proofErr w:type="spellEnd"/>
          </w:p>
        </w:tc>
        <w:tc>
          <w:tcPr>
            <w:tcW w:w="3828" w:type="dxa"/>
            <w:shd w:val="clear" w:color="auto" w:fill="E7E6E6" w:themeFill="background2"/>
            <w:vAlign w:val="bottom"/>
          </w:tcPr>
          <w:p w14:paraId="4CD33465" w14:textId="295C0D5A" w:rsidR="00991915" w:rsidRPr="009D11F9" w:rsidRDefault="00991915" w:rsidP="0025317F">
            <w:pPr>
              <w:spacing w:after="120"/>
            </w:pPr>
            <w:r w:rsidRPr="009D11F9">
              <w:t>Datorizēta lietu sadale</w:t>
            </w:r>
          </w:p>
        </w:tc>
      </w:tr>
      <w:tr w:rsidR="00991915" w:rsidRPr="00327DAE" w14:paraId="171329DD" w14:textId="77777777" w:rsidTr="00DA5069">
        <w:trPr>
          <w:trHeight w:val="416"/>
        </w:trPr>
        <w:tc>
          <w:tcPr>
            <w:tcW w:w="562" w:type="dxa"/>
            <w:vMerge/>
          </w:tcPr>
          <w:p w14:paraId="47B0261C"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4BB2C9D3" w14:textId="7CBD9ECD" w:rsidR="00991915" w:rsidRPr="009D11F9" w:rsidRDefault="00991915" w:rsidP="0025317F">
            <w:pPr>
              <w:spacing w:after="120"/>
            </w:pPr>
            <w:r w:rsidRPr="009D11F9">
              <w:t>02.02.2016</w:t>
            </w:r>
          </w:p>
        </w:tc>
        <w:tc>
          <w:tcPr>
            <w:tcW w:w="2409" w:type="dxa"/>
            <w:shd w:val="clear" w:color="auto" w:fill="E7E6E6" w:themeFill="background2"/>
            <w:vAlign w:val="bottom"/>
          </w:tcPr>
          <w:p w14:paraId="24F592B3" w14:textId="4944148F" w:rsidR="00991915" w:rsidRPr="009D11F9" w:rsidRDefault="00991915" w:rsidP="0025317F">
            <w:pPr>
              <w:spacing w:after="120"/>
            </w:pPr>
            <w:r w:rsidRPr="009D11F9">
              <w:t xml:space="preserve">Kristīne </w:t>
            </w:r>
            <w:proofErr w:type="spellStart"/>
            <w:r w:rsidRPr="009D11F9">
              <w:t>Zdanovska</w:t>
            </w:r>
            <w:proofErr w:type="spellEnd"/>
          </w:p>
        </w:tc>
        <w:tc>
          <w:tcPr>
            <w:tcW w:w="3828" w:type="dxa"/>
            <w:shd w:val="clear" w:color="auto" w:fill="E7E6E6" w:themeFill="background2"/>
            <w:vAlign w:val="bottom"/>
          </w:tcPr>
          <w:p w14:paraId="7C0997D8" w14:textId="41834003" w:rsidR="00991915" w:rsidRPr="009D11F9" w:rsidRDefault="00991915" w:rsidP="0025317F">
            <w:pPr>
              <w:spacing w:after="120"/>
            </w:pPr>
            <w:r w:rsidRPr="009D11F9">
              <w:t>Datorizēta lietu sadale</w:t>
            </w:r>
          </w:p>
        </w:tc>
      </w:tr>
      <w:tr w:rsidR="00917C22" w:rsidRPr="00327DAE" w14:paraId="3BAAEC66" w14:textId="77777777" w:rsidTr="00B40DAA">
        <w:trPr>
          <w:trHeight w:val="416"/>
        </w:trPr>
        <w:tc>
          <w:tcPr>
            <w:tcW w:w="562" w:type="dxa"/>
            <w:vMerge/>
          </w:tcPr>
          <w:p w14:paraId="644EF402"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4FBD43A7" w14:textId="30848779" w:rsidR="00B831FB" w:rsidRPr="00327DAE" w:rsidRDefault="00B831FB" w:rsidP="0025317F">
            <w:pPr>
              <w:spacing w:after="120"/>
              <w:rPr>
                <w:i/>
                <w:sz w:val="24"/>
                <w:szCs w:val="24"/>
              </w:rPr>
            </w:pPr>
            <w:r w:rsidRPr="00327DAE">
              <w:rPr>
                <w:i/>
                <w:sz w:val="24"/>
                <w:szCs w:val="24"/>
              </w:rPr>
              <w:t>Augstākās tiesas norādītais pamats lēmuma atcelšanai</w:t>
            </w:r>
          </w:p>
          <w:p w14:paraId="019491D3" w14:textId="6FBABE04" w:rsidR="00917C22" w:rsidRPr="00327DAE" w:rsidRDefault="00917C22" w:rsidP="0025317F">
            <w:pPr>
              <w:spacing w:after="120"/>
              <w:rPr>
                <w:sz w:val="24"/>
                <w:szCs w:val="24"/>
              </w:rPr>
            </w:pPr>
            <w:r w:rsidRPr="00327DAE">
              <w:rPr>
                <w:sz w:val="24"/>
                <w:szCs w:val="24"/>
              </w:rPr>
              <w:t>Tiesai, it īpaši situācijā, kad no plānu nesaskaņojušajiem kreditoriem ir iesniegti motivēti iebildumi par darījumu, iespējams, fiktīvo raksturu, ir jāpievēršas tās rīcībā iesniegto darījumu apliecinošo dokumentu vērtēšanai un jāspēj izdarīt loģiskus secinājumus par saistību pamatotību visma</w:t>
            </w:r>
            <w:r w:rsidR="00536A07" w:rsidRPr="00327DAE">
              <w:rPr>
                <w:sz w:val="24"/>
                <w:szCs w:val="24"/>
              </w:rPr>
              <w:t xml:space="preserve">z no </w:t>
            </w:r>
            <w:proofErr w:type="spellStart"/>
            <w:r w:rsidR="00536A07" w:rsidRPr="00327DAE">
              <w:rPr>
                <w:sz w:val="24"/>
                <w:szCs w:val="24"/>
              </w:rPr>
              <w:t>pirmšķietamības</w:t>
            </w:r>
            <w:proofErr w:type="spellEnd"/>
            <w:r w:rsidR="00536A07" w:rsidRPr="00327DAE">
              <w:rPr>
                <w:sz w:val="24"/>
                <w:szCs w:val="24"/>
              </w:rPr>
              <w:t xml:space="preserve"> viedokļa.</w:t>
            </w:r>
          </w:p>
        </w:tc>
      </w:tr>
      <w:tr w:rsidR="00917C22" w:rsidRPr="00327DAE" w14:paraId="7D2A5EFE" w14:textId="77777777" w:rsidTr="00B40DAA">
        <w:trPr>
          <w:trHeight w:val="416"/>
        </w:trPr>
        <w:tc>
          <w:tcPr>
            <w:tcW w:w="562" w:type="dxa"/>
            <w:vMerge/>
          </w:tcPr>
          <w:p w14:paraId="273BD55E"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3D753ACF" w14:textId="77777777" w:rsidR="00917C22" w:rsidRPr="00327DAE" w:rsidRDefault="00917C22" w:rsidP="0025317F">
            <w:pPr>
              <w:spacing w:after="120"/>
              <w:rPr>
                <w:i/>
                <w:sz w:val="24"/>
                <w:szCs w:val="24"/>
              </w:rPr>
            </w:pPr>
            <w:r w:rsidRPr="00327DAE">
              <w:rPr>
                <w:i/>
                <w:sz w:val="24"/>
                <w:szCs w:val="24"/>
              </w:rPr>
              <w:t>Ekspertu secinājumi</w:t>
            </w:r>
          </w:p>
          <w:p w14:paraId="733EE4C3" w14:textId="77777777" w:rsidR="00443288" w:rsidRPr="00327DAE" w:rsidRDefault="00443288" w:rsidP="0025317F">
            <w:pPr>
              <w:spacing w:after="120"/>
              <w:rPr>
                <w:sz w:val="24"/>
                <w:szCs w:val="24"/>
              </w:rPr>
            </w:pPr>
            <w:r w:rsidRPr="00327DAE">
              <w:rPr>
                <w:sz w:val="24"/>
                <w:szCs w:val="24"/>
              </w:rPr>
              <w:t xml:space="preserve">Šajā lietā kreditors ir iesniedzis iebildumus, kuru izvērtējumu tiesnese devusi nolēmumā, proti, ka viņu saista tiesas nolēmums par saistības atzīšanu, tomēr visiem argumentiem izvērtējums nav dots. Būtībā secināms, ka AT nav akceptējusi vērtējuma rezultātu. </w:t>
            </w:r>
          </w:p>
          <w:p w14:paraId="4EDAF716" w14:textId="4E97B76E" w:rsidR="00443288" w:rsidRPr="00E27399" w:rsidRDefault="00443288" w:rsidP="0025317F">
            <w:pPr>
              <w:shd w:val="clear" w:color="auto" w:fill="FFFFFF" w:themeFill="background1"/>
              <w:spacing w:after="120"/>
              <w:rPr>
                <w:sz w:val="24"/>
                <w:szCs w:val="24"/>
              </w:rPr>
            </w:pPr>
            <w:r w:rsidRPr="00327DAE">
              <w:rPr>
                <w:sz w:val="24"/>
                <w:szCs w:val="24"/>
              </w:rPr>
              <w:t>Ekspert</w:t>
            </w:r>
            <w:r w:rsidR="001409AA" w:rsidRPr="00327DAE">
              <w:rPr>
                <w:sz w:val="24"/>
                <w:szCs w:val="24"/>
              </w:rPr>
              <w:t>u</w:t>
            </w:r>
            <w:r w:rsidR="00E27399">
              <w:rPr>
                <w:sz w:val="24"/>
                <w:szCs w:val="24"/>
              </w:rPr>
              <w:t xml:space="preserve"> viedokļi atšķiras par to, vai </w:t>
            </w:r>
            <w:r w:rsidRPr="00327DAE">
              <w:rPr>
                <w:sz w:val="24"/>
                <w:szCs w:val="24"/>
              </w:rPr>
              <w:t xml:space="preserve">2014. gadā (pirms atbilstošiem grozījumiem Maksātnespējas likumā, kas paredz </w:t>
            </w:r>
            <w:proofErr w:type="spellStart"/>
            <w:r w:rsidRPr="00327DAE">
              <w:rPr>
                <w:sz w:val="24"/>
                <w:szCs w:val="24"/>
              </w:rPr>
              <w:t>pirmšķietamības</w:t>
            </w:r>
            <w:proofErr w:type="spellEnd"/>
            <w:r w:rsidRPr="00327DAE">
              <w:rPr>
                <w:sz w:val="24"/>
                <w:szCs w:val="24"/>
              </w:rPr>
              <w:t xml:space="preserve"> vērtējumu un iespēju celt apvērsuma prasību) bija pamatoti no tiesneša prasīt, lai tas situācijā, kad kreditora prasījumi pamatoti ar spēkā esošiem tiesas nolēmumiem, pievērstos to </w:t>
            </w:r>
            <w:proofErr w:type="spellStart"/>
            <w:r w:rsidRPr="00327DAE">
              <w:rPr>
                <w:sz w:val="24"/>
                <w:szCs w:val="24"/>
              </w:rPr>
              <w:t>pirmšķietamas</w:t>
            </w:r>
            <w:proofErr w:type="spellEnd"/>
            <w:r w:rsidRPr="00327DAE">
              <w:rPr>
                <w:sz w:val="24"/>
                <w:szCs w:val="24"/>
              </w:rPr>
              <w:t xml:space="preserve"> pamatotības izvērtēšanai. Konkrētajā gadījumā prasījums pamatots ar tiesas lēmumu citā lietā par saistību izpildi brīdinājuma kārtībā. AT nolēmumā norādītais par judikatūras neievērošanu nav pamatots, jo SPC-27/2014 nolēmums pieņemts 2014. gada 31. oktobrī, bet nolēmums šajā lietā </w:t>
            </w:r>
            <w:r w:rsidR="005D4F6D">
              <w:rPr>
                <w:sz w:val="24"/>
                <w:szCs w:val="24"/>
              </w:rPr>
              <w:t xml:space="preserve">– </w:t>
            </w:r>
            <w:r w:rsidRPr="00327DAE">
              <w:rPr>
                <w:sz w:val="24"/>
                <w:szCs w:val="24"/>
              </w:rPr>
              <w:t xml:space="preserve">2014. gada 3. jūlijā, savukārt SPC-47/2012 nolēmumā nav par tādu </w:t>
            </w:r>
            <w:r w:rsidRPr="00327DAE">
              <w:rPr>
                <w:sz w:val="24"/>
                <w:szCs w:val="24"/>
              </w:rPr>
              <w:lastRenderedPageBreak/>
              <w:t xml:space="preserve">saistību pārvērtēšanu, kuras apstiprinātas ar tiesas nolēmumu, savukārt SPC-48/2013 attiecas uz ĀTAP un arī nav par saistību pārvērtēšanu, kas apstiprinātas ar tiesas </w:t>
            </w:r>
            <w:r w:rsidRPr="00E27399">
              <w:rPr>
                <w:sz w:val="24"/>
                <w:szCs w:val="24"/>
              </w:rPr>
              <w:t xml:space="preserve">nolēmumu. </w:t>
            </w:r>
          </w:p>
          <w:p w14:paraId="2CD83307" w14:textId="4EC320E6" w:rsidR="00917C22" w:rsidRPr="00327DAE" w:rsidRDefault="00443288" w:rsidP="0025317F">
            <w:pPr>
              <w:shd w:val="clear" w:color="auto" w:fill="FFFFFF" w:themeFill="background1"/>
              <w:spacing w:after="120"/>
              <w:rPr>
                <w:sz w:val="24"/>
                <w:szCs w:val="24"/>
              </w:rPr>
            </w:pPr>
            <w:r w:rsidRPr="00E27399">
              <w:rPr>
                <w:sz w:val="24"/>
                <w:szCs w:val="24"/>
              </w:rPr>
              <w:t xml:space="preserve">Konkrētajā lietā konstatējamas vairākas secīgas cesijas, kas teorētiski var norādīt uz netipisku darījumu ķēdi, kā arī nevar izslēgt procesuālo tiesību negodprātīgu izmantošanu, </w:t>
            </w:r>
            <w:proofErr w:type="spellStart"/>
            <w:r w:rsidRPr="00E27399">
              <w:rPr>
                <w:sz w:val="24"/>
                <w:szCs w:val="24"/>
              </w:rPr>
              <w:t>leģitimizējot</w:t>
            </w:r>
            <w:proofErr w:type="spellEnd"/>
            <w:r w:rsidRPr="00E27399">
              <w:rPr>
                <w:sz w:val="24"/>
                <w:szCs w:val="24"/>
              </w:rPr>
              <w:t xml:space="preserve"> fiktīvus prasījumus ar tiesas nolēmumiem citās lietās (par saistību izpildi brīdinājuma kārtībā), tomēr nav pamata pārmest to tiesnesim šajā lietā. Iespējamās krāpšanas ir apkarojamas kriminālprocesuālā ceļā, to nevar izdarīt civilprocesuāli.</w:t>
            </w:r>
            <w:r w:rsidR="00536A07" w:rsidRPr="00327DAE">
              <w:rPr>
                <w:sz w:val="24"/>
                <w:szCs w:val="24"/>
              </w:rPr>
              <w:t xml:space="preserve"> </w:t>
            </w:r>
          </w:p>
        </w:tc>
      </w:tr>
      <w:tr w:rsidR="00917C22" w:rsidRPr="00327DAE" w14:paraId="5E373905" w14:textId="77777777" w:rsidTr="00B40DAA">
        <w:trPr>
          <w:trHeight w:val="416"/>
        </w:trPr>
        <w:tc>
          <w:tcPr>
            <w:tcW w:w="562" w:type="dxa"/>
          </w:tcPr>
          <w:p w14:paraId="5D8B331A"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40345DF6" w14:textId="160B1376" w:rsidR="00917C22" w:rsidRPr="00327DAE" w:rsidRDefault="00917C22" w:rsidP="0025317F">
            <w:pPr>
              <w:spacing w:after="120"/>
              <w:rPr>
                <w:rFonts w:eastAsia="Calibri"/>
                <w:i/>
                <w:sz w:val="24"/>
                <w:szCs w:val="24"/>
              </w:rPr>
            </w:pPr>
            <w:r w:rsidRPr="00327DAE">
              <w:rPr>
                <w:rFonts w:eastAsia="Calibri"/>
                <w:i/>
                <w:sz w:val="24"/>
                <w:szCs w:val="24"/>
              </w:rPr>
              <w:t>Prof. K</w:t>
            </w:r>
            <w:r w:rsidR="00466B17" w:rsidRPr="00327DAE">
              <w:rPr>
                <w:rFonts w:eastAsia="Calibri"/>
                <w:i/>
                <w:sz w:val="24"/>
                <w:szCs w:val="24"/>
              </w:rPr>
              <w:t>. </w:t>
            </w:r>
            <w:r w:rsidRPr="00327DAE">
              <w:rPr>
                <w:rFonts w:eastAsia="Calibri"/>
                <w:i/>
                <w:sz w:val="24"/>
                <w:szCs w:val="24"/>
              </w:rPr>
              <w:t xml:space="preserve">Torgāna </w:t>
            </w:r>
            <w:r w:rsidR="00466B17" w:rsidRPr="00327DAE">
              <w:rPr>
                <w:rFonts w:eastAsia="Calibri"/>
                <w:i/>
                <w:sz w:val="24"/>
                <w:szCs w:val="24"/>
              </w:rPr>
              <w:t>atsevišķie secinājumi</w:t>
            </w:r>
          </w:p>
          <w:p w14:paraId="34058753" w14:textId="21E80313" w:rsidR="00917C22" w:rsidRPr="00327DAE" w:rsidRDefault="00917C22" w:rsidP="0025317F">
            <w:pPr>
              <w:spacing w:after="120"/>
              <w:rPr>
                <w:rFonts w:eastAsia="Calibri"/>
                <w:sz w:val="24"/>
                <w:szCs w:val="24"/>
              </w:rPr>
            </w:pPr>
            <w:r w:rsidRPr="00327DAE">
              <w:rPr>
                <w:rFonts w:eastAsia="Calibri"/>
                <w:sz w:val="24"/>
                <w:szCs w:val="24"/>
              </w:rPr>
              <w:t>Tiesa apstiprināja SIA „Gabriels” TAP, pasludinot viena kreditora SIA „</w:t>
            </w:r>
            <w:proofErr w:type="spellStart"/>
            <w:r w:rsidRPr="00327DAE">
              <w:rPr>
                <w:rFonts w:eastAsia="Calibri"/>
                <w:sz w:val="24"/>
                <w:szCs w:val="24"/>
              </w:rPr>
              <w:t>Briana</w:t>
            </w:r>
            <w:proofErr w:type="spellEnd"/>
            <w:r w:rsidRPr="00327DAE">
              <w:rPr>
                <w:rFonts w:eastAsia="Calibri"/>
                <w:sz w:val="24"/>
                <w:szCs w:val="24"/>
              </w:rPr>
              <w:t xml:space="preserve"> </w:t>
            </w:r>
            <w:proofErr w:type="spellStart"/>
            <w:r w:rsidRPr="00327DAE">
              <w:rPr>
                <w:rFonts w:eastAsia="Calibri"/>
                <w:sz w:val="24"/>
                <w:szCs w:val="24"/>
              </w:rPr>
              <w:t>Investment</w:t>
            </w:r>
            <w:proofErr w:type="spellEnd"/>
            <w:r w:rsidRPr="00327DAE">
              <w:rPr>
                <w:rFonts w:eastAsia="Calibri"/>
                <w:sz w:val="24"/>
                <w:szCs w:val="24"/>
              </w:rPr>
              <w:t xml:space="preserve">” iebildumus par pieņēmumiem un aizdomām. </w:t>
            </w:r>
            <w:r w:rsidR="001E7B78">
              <w:rPr>
                <w:rFonts w:eastAsia="Calibri"/>
                <w:sz w:val="24"/>
                <w:szCs w:val="24"/>
              </w:rPr>
              <w:t>SIA „</w:t>
            </w:r>
            <w:proofErr w:type="spellStart"/>
            <w:r w:rsidRPr="00327DAE">
              <w:rPr>
                <w:rFonts w:eastAsia="Calibri"/>
                <w:sz w:val="24"/>
                <w:szCs w:val="24"/>
              </w:rPr>
              <w:t>Briana</w:t>
            </w:r>
            <w:proofErr w:type="spellEnd"/>
            <w:r w:rsidRPr="00327DAE">
              <w:rPr>
                <w:rFonts w:eastAsia="Calibri"/>
                <w:sz w:val="24"/>
                <w:szCs w:val="24"/>
              </w:rPr>
              <w:t xml:space="preserve"> </w:t>
            </w:r>
            <w:proofErr w:type="spellStart"/>
            <w:r w:rsidRPr="00327DAE">
              <w:rPr>
                <w:rFonts w:eastAsia="Calibri"/>
                <w:sz w:val="24"/>
                <w:szCs w:val="24"/>
              </w:rPr>
              <w:t>Investment</w:t>
            </w:r>
            <w:proofErr w:type="spellEnd"/>
            <w:r w:rsidR="005D4F6D">
              <w:rPr>
                <w:rFonts w:eastAsia="Calibri"/>
                <w:sz w:val="24"/>
                <w:szCs w:val="24"/>
              </w:rPr>
              <w:t>”</w:t>
            </w:r>
            <w:r w:rsidRPr="00327DAE">
              <w:rPr>
                <w:rFonts w:eastAsia="Calibri"/>
                <w:sz w:val="24"/>
                <w:szCs w:val="24"/>
              </w:rPr>
              <w:t xml:space="preserve"> no prasītāja, kas iesniedzis pieteikumu par bezstrīdus piedziņu, kļuva par vienu no kreditoriem lielā konkurencē. Iebildumos pret TAP minētais kreditors sniedza informāciju, kas ļāva saprast, ka TAP ierosināšana ir mēģinājums novērst viņa dotā aizdevuma 300 tūkst. </w:t>
            </w:r>
            <w:proofErr w:type="spellStart"/>
            <w:r w:rsidRPr="00327DAE">
              <w:rPr>
                <w:rFonts w:eastAsia="Calibri"/>
                <w:i/>
                <w:sz w:val="24"/>
                <w:szCs w:val="24"/>
              </w:rPr>
              <w:t>euro</w:t>
            </w:r>
            <w:proofErr w:type="spellEnd"/>
            <w:r w:rsidRPr="00327DAE">
              <w:rPr>
                <w:rFonts w:eastAsia="Calibri"/>
                <w:i/>
                <w:sz w:val="24"/>
                <w:szCs w:val="24"/>
              </w:rPr>
              <w:t xml:space="preserve"> </w:t>
            </w:r>
            <w:r w:rsidRPr="00327DAE">
              <w:rPr>
                <w:rFonts w:eastAsia="Calibri"/>
                <w:sz w:val="24"/>
                <w:szCs w:val="24"/>
              </w:rPr>
              <w:t>piedziņu bezstrīdus piespiedu izpildīšanas kārtībā un ieķīlātā nekustamā īpašuma atsavināšanu, šim nolūkam uzrādot fiktīvus kreditorus un mākslīgi izveidotus prasījumus. Viena no prasījumiem pamatā bija 2005. gadā noslēgts SIA „Gabriels” līgums ar personu D par 160 tūkst</w:t>
            </w:r>
            <w:r w:rsidR="005D4F6D">
              <w:rPr>
                <w:rFonts w:eastAsia="Calibri"/>
                <w:sz w:val="24"/>
                <w:szCs w:val="24"/>
              </w:rPr>
              <w:t>.</w:t>
            </w:r>
            <w:r w:rsidRPr="00327DAE">
              <w:rPr>
                <w:rFonts w:eastAsia="Calibri"/>
                <w:sz w:val="24"/>
                <w:szCs w:val="24"/>
              </w:rPr>
              <w:t xml:space="preserve"> </w:t>
            </w:r>
            <w:r w:rsidR="005D4F6D">
              <w:rPr>
                <w:rFonts w:eastAsia="Calibri"/>
                <w:sz w:val="24"/>
                <w:szCs w:val="24"/>
              </w:rPr>
              <w:t>latu</w:t>
            </w:r>
            <w:r w:rsidR="005D4F6D" w:rsidRPr="00327DAE">
              <w:rPr>
                <w:rFonts w:eastAsia="Calibri"/>
                <w:sz w:val="24"/>
                <w:szCs w:val="24"/>
              </w:rPr>
              <w:t xml:space="preserve"> </w:t>
            </w:r>
            <w:r w:rsidRPr="00327DAE">
              <w:rPr>
                <w:rFonts w:eastAsia="Calibri"/>
                <w:sz w:val="24"/>
                <w:szCs w:val="24"/>
              </w:rPr>
              <w:t xml:space="preserve">aizdevumu, kas ar tiesas lēmumu jau 2006. gada 7. augustā (pirms vairāk nekā 8 gadiem!) nodots bezstrīdus piespiedu izpildīšanai, bet bijis bez kustības. Otrs prasījums – SIA „DL </w:t>
            </w:r>
            <w:proofErr w:type="spellStart"/>
            <w:r w:rsidRPr="00327DAE">
              <w:rPr>
                <w:rFonts w:eastAsia="Calibri"/>
                <w:sz w:val="24"/>
                <w:szCs w:val="24"/>
              </w:rPr>
              <w:t>Service</w:t>
            </w:r>
            <w:proofErr w:type="spellEnd"/>
            <w:r w:rsidRPr="00327DAE">
              <w:rPr>
                <w:rFonts w:eastAsia="Calibri"/>
                <w:sz w:val="24"/>
                <w:szCs w:val="24"/>
              </w:rPr>
              <w:t xml:space="preserve">” ar cesiju iegūts prasījums par 5 miljoniem </w:t>
            </w:r>
            <w:proofErr w:type="spellStart"/>
            <w:r w:rsidRPr="00327DAE">
              <w:rPr>
                <w:rFonts w:eastAsia="Calibri"/>
                <w:i/>
                <w:sz w:val="24"/>
                <w:szCs w:val="24"/>
              </w:rPr>
              <w:t>euro</w:t>
            </w:r>
            <w:proofErr w:type="spellEnd"/>
            <w:r w:rsidRPr="00327DAE">
              <w:rPr>
                <w:rFonts w:eastAsia="Calibri"/>
                <w:i/>
                <w:sz w:val="24"/>
                <w:szCs w:val="24"/>
              </w:rPr>
              <w:t>(!!)</w:t>
            </w:r>
            <w:r w:rsidRPr="00327DAE">
              <w:rPr>
                <w:rFonts w:eastAsia="Calibri"/>
                <w:sz w:val="24"/>
                <w:szCs w:val="24"/>
              </w:rPr>
              <w:t xml:space="preserve"> izrietot no pavisam neparasta un tiesas vērtējumu pelnoša 2013. gada Opcijas pirkuma līguma, kurā izteikta līdzēju apņemšanās risināt pārdevējam vēl nepiederoša nekustamā īpašuma pārdošanu, ja atkritīs šķēršļi šādai pārdošanai. Tajā 5 miljoni </w:t>
            </w:r>
            <w:proofErr w:type="spellStart"/>
            <w:r w:rsidRPr="00327DAE">
              <w:rPr>
                <w:rFonts w:eastAsia="Calibri"/>
                <w:i/>
                <w:sz w:val="24"/>
                <w:szCs w:val="24"/>
              </w:rPr>
              <w:t>euro</w:t>
            </w:r>
            <w:proofErr w:type="spellEnd"/>
            <w:r w:rsidRPr="00327DAE">
              <w:rPr>
                <w:rFonts w:eastAsia="Calibri"/>
                <w:i/>
                <w:sz w:val="24"/>
                <w:szCs w:val="24"/>
              </w:rPr>
              <w:t xml:space="preserve"> </w:t>
            </w:r>
            <w:r w:rsidRPr="00327DAE">
              <w:rPr>
                <w:rFonts w:eastAsia="Calibri"/>
                <w:sz w:val="24"/>
                <w:szCs w:val="24"/>
              </w:rPr>
              <w:t>varētu būt uztverami kā līgumsods par līguma nepildīšanu vai kas cits. Minētās summas piedziņa tikusi noteikta ar zemesgrāmatu tiesneša 2013. gada 6. novembra lēmumu par piespiedu izpildi brīdinājuma kārtībā, pret šo 5 miljonu saistību parādnieks SIA „Gabriels” nav cēlis nekādus iebildumus.</w:t>
            </w:r>
          </w:p>
          <w:p w14:paraId="532556A4" w14:textId="12FB13FF" w:rsidR="00917C22" w:rsidRPr="00327DAE" w:rsidRDefault="00917C22" w:rsidP="0025317F">
            <w:pPr>
              <w:spacing w:after="120"/>
              <w:rPr>
                <w:rFonts w:eastAsia="Calibri"/>
                <w:sz w:val="24"/>
                <w:szCs w:val="24"/>
              </w:rPr>
            </w:pPr>
            <w:r w:rsidRPr="00327DAE">
              <w:rPr>
                <w:rFonts w:eastAsia="Calibri"/>
                <w:sz w:val="24"/>
                <w:szCs w:val="24"/>
              </w:rPr>
              <w:t>SIA „</w:t>
            </w:r>
            <w:proofErr w:type="spellStart"/>
            <w:r w:rsidRPr="00327DAE">
              <w:rPr>
                <w:rFonts w:eastAsia="Calibri"/>
                <w:sz w:val="24"/>
                <w:szCs w:val="24"/>
              </w:rPr>
              <w:t>Briāna</w:t>
            </w:r>
            <w:proofErr w:type="spellEnd"/>
            <w:r w:rsidRPr="00327DAE">
              <w:rPr>
                <w:rFonts w:eastAsia="Calibri"/>
                <w:sz w:val="24"/>
                <w:szCs w:val="24"/>
              </w:rPr>
              <w:t xml:space="preserve"> </w:t>
            </w:r>
            <w:proofErr w:type="spellStart"/>
            <w:r w:rsidRPr="00327DAE">
              <w:rPr>
                <w:rFonts w:eastAsia="Calibri"/>
                <w:sz w:val="24"/>
                <w:szCs w:val="24"/>
              </w:rPr>
              <w:t>Investment</w:t>
            </w:r>
            <w:proofErr w:type="spellEnd"/>
            <w:r w:rsidRPr="00327DAE">
              <w:rPr>
                <w:rFonts w:eastAsia="Calibri"/>
                <w:sz w:val="24"/>
                <w:szCs w:val="24"/>
              </w:rPr>
              <w:t>” rakstiskie iebildum</w:t>
            </w:r>
            <w:r w:rsidR="005D4F6D">
              <w:rPr>
                <w:rFonts w:eastAsia="Calibri"/>
                <w:sz w:val="24"/>
                <w:szCs w:val="24"/>
              </w:rPr>
              <w:t>i</w:t>
            </w:r>
            <w:r w:rsidRPr="00327DAE">
              <w:rPr>
                <w:rFonts w:eastAsia="Calibri"/>
                <w:sz w:val="24"/>
                <w:szCs w:val="24"/>
              </w:rPr>
              <w:t xml:space="preserve"> netika ņemti vērā</w:t>
            </w:r>
            <w:r w:rsidR="005D4F6D">
              <w:rPr>
                <w:rFonts w:eastAsia="Calibri"/>
                <w:sz w:val="24"/>
                <w:szCs w:val="24"/>
              </w:rPr>
              <w:t>,</w:t>
            </w:r>
            <w:r w:rsidRPr="00327DAE">
              <w:rPr>
                <w:rFonts w:eastAsia="Calibri"/>
                <w:sz w:val="24"/>
                <w:szCs w:val="24"/>
              </w:rPr>
              <w:t xml:space="preserve"> un TAP plāns tika apstiprināts ar pārliecinošu kreditoru vairākumu. </w:t>
            </w:r>
          </w:p>
          <w:p w14:paraId="0772E7E7" w14:textId="7E7FFC9D" w:rsidR="00917C22" w:rsidRPr="00327DAE" w:rsidRDefault="00917C22" w:rsidP="001E7B78">
            <w:pPr>
              <w:spacing w:after="120"/>
              <w:rPr>
                <w:rFonts w:eastAsia="Calibri"/>
                <w:sz w:val="24"/>
                <w:szCs w:val="24"/>
              </w:rPr>
            </w:pPr>
            <w:r w:rsidRPr="00327DAE">
              <w:rPr>
                <w:rFonts w:eastAsia="Calibri"/>
                <w:sz w:val="24"/>
                <w:szCs w:val="24"/>
              </w:rPr>
              <w:t>Shēma, kā nepieļaut SIA „</w:t>
            </w:r>
            <w:proofErr w:type="spellStart"/>
            <w:r w:rsidRPr="00327DAE">
              <w:rPr>
                <w:rFonts w:eastAsia="Calibri"/>
                <w:sz w:val="24"/>
                <w:szCs w:val="24"/>
              </w:rPr>
              <w:t>Briana</w:t>
            </w:r>
            <w:proofErr w:type="spellEnd"/>
            <w:r w:rsidRPr="00327DAE">
              <w:rPr>
                <w:rFonts w:eastAsia="Calibri"/>
                <w:sz w:val="24"/>
                <w:szCs w:val="24"/>
              </w:rPr>
              <w:t xml:space="preserve"> </w:t>
            </w:r>
            <w:proofErr w:type="spellStart"/>
            <w:r w:rsidRPr="00327DAE">
              <w:rPr>
                <w:rFonts w:eastAsia="Calibri"/>
                <w:sz w:val="24"/>
                <w:szCs w:val="24"/>
              </w:rPr>
              <w:t>Investment</w:t>
            </w:r>
            <w:proofErr w:type="spellEnd"/>
            <w:r w:rsidRPr="00327DAE">
              <w:rPr>
                <w:rFonts w:eastAsia="Calibri"/>
                <w:sz w:val="24"/>
                <w:szCs w:val="24"/>
              </w:rPr>
              <w:t>” parāda atgūšanu</w:t>
            </w:r>
            <w:proofErr w:type="gramStart"/>
            <w:r w:rsidRPr="00327DAE">
              <w:rPr>
                <w:rFonts w:eastAsia="Calibri"/>
                <w:sz w:val="24"/>
                <w:szCs w:val="24"/>
              </w:rPr>
              <w:t xml:space="preserve"> un</w:t>
            </w:r>
            <w:proofErr w:type="gramEnd"/>
            <w:r w:rsidRPr="00327DAE">
              <w:rPr>
                <w:rFonts w:eastAsia="Calibri"/>
                <w:sz w:val="24"/>
                <w:szCs w:val="24"/>
              </w:rPr>
              <w:t xml:space="preserve"> aizņēmēja nekustamā īpašuma piespiedu pārdošanu vēlāk tika detalizēti atšifrēta Augstākās tiesas spriedumā</w:t>
            </w:r>
            <w:r w:rsidRPr="00327DAE">
              <w:rPr>
                <w:rFonts w:eastAsia="Calibri"/>
                <w:color w:val="000000"/>
                <w:sz w:val="24"/>
                <w:szCs w:val="24"/>
                <w:shd w:val="clear" w:color="auto" w:fill="FFFFFF"/>
              </w:rPr>
              <w:t xml:space="preserve"> SPC-1/2016. Jautājums ir par to, vai tiesnesei </w:t>
            </w:r>
            <w:r w:rsidR="00FD0FC9">
              <w:rPr>
                <w:rFonts w:eastAsia="Calibri"/>
                <w:color w:val="000000"/>
                <w:sz w:val="24"/>
                <w:szCs w:val="24"/>
                <w:shd w:val="clear" w:color="auto" w:fill="FFFFFF"/>
              </w:rPr>
              <w:t>I. </w:t>
            </w:r>
            <w:proofErr w:type="spellStart"/>
            <w:r w:rsidRPr="00327DAE">
              <w:rPr>
                <w:rFonts w:eastAsia="Calibri"/>
                <w:color w:val="000000"/>
                <w:sz w:val="24"/>
                <w:szCs w:val="24"/>
                <w:shd w:val="clear" w:color="auto" w:fill="FFFFFF"/>
              </w:rPr>
              <w:t>Krēvicai</w:t>
            </w:r>
            <w:proofErr w:type="spellEnd"/>
            <w:r w:rsidRPr="00327DAE">
              <w:rPr>
                <w:rFonts w:eastAsia="Calibri"/>
                <w:color w:val="000000"/>
                <w:sz w:val="24"/>
                <w:szCs w:val="24"/>
                <w:shd w:val="clear" w:color="auto" w:fill="FFFFFF"/>
              </w:rPr>
              <w:t>, taisot lēmumu 2014. gada jūlijā, jau vajadzēja zināt, ka tiesa nedrīkst formāli, bez iesniegto dokumentu ticamības un juridiskās pamatotības pārbaudes apstiprināt TAP. Turklāt par līdzīga rakstura formālisma nepieļaujamību tiesnesei jau bija redzams no A</w:t>
            </w:r>
            <w:r w:rsidR="001E7B78">
              <w:rPr>
                <w:rFonts w:eastAsia="Calibri"/>
                <w:color w:val="000000"/>
                <w:sz w:val="24"/>
                <w:szCs w:val="24"/>
                <w:shd w:val="clear" w:color="auto" w:fill="FFFFFF"/>
              </w:rPr>
              <w:t>ugstākās tiesas</w:t>
            </w:r>
            <w:r w:rsidRPr="00327DAE">
              <w:rPr>
                <w:rFonts w:eastAsia="Calibri"/>
                <w:color w:val="000000"/>
                <w:sz w:val="24"/>
                <w:szCs w:val="24"/>
                <w:shd w:val="clear" w:color="auto" w:fill="FFFFFF"/>
              </w:rPr>
              <w:t xml:space="preserve"> nolēmumiem, ar k</w:t>
            </w:r>
            <w:r w:rsidR="001E7B78">
              <w:rPr>
                <w:rFonts w:eastAsia="Calibri"/>
                <w:color w:val="000000"/>
                <w:sz w:val="24"/>
                <w:szCs w:val="24"/>
                <w:shd w:val="clear" w:color="auto" w:fill="FFFFFF"/>
              </w:rPr>
              <w:t>uriem bija atcelti tiesneses I. </w:t>
            </w:r>
            <w:proofErr w:type="spellStart"/>
            <w:r w:rsidRPr="00327DAE">
              <w:rPr>
                <w:rFonts w:eastAsia="Calibri"/>
                <w:color w:val="000000"/>
                <w:sz w:val="24"/>
                <w:szCs w:val="24"/>
                <w:shd w:val="clear" w:color="auto" w:fill="FFFFFF"/>
              </w:rPr>
              <w:t>Krēvicas</w:t>
            </w:r>
            <w:proofErr w:type="spellEnd"/>
            <w:r w:rsidRPr="00327DAE">
              <w:rPr>
                <w:rFonts w:eastAsia="Calibri"/>
                <w:color w:val="000000"/>
                <w:sz w:val="24"/>
                <w:szCs w:val="24"/>
                <w:shd w:val="clear" w:color="auto" w:fill="FFFFFF"/>
              </w:rPr>
              <w:t xml:space="preserve"> lēmumi pirms šī lēmuma, piem., Augstākās tiesas 2010.</w:t>
            </w:r>
            <w:r w:rsidR="00AF1EE9">
              <w:rPr>
                <w:rFonts w:eastAsia="Calibri"/>
                <w:color w:val="000000"/>
                <w:sz w:val="24"/>
                <w:szCs w:val="24"/>
                <w:shd w:val="clear" w:color="auto" w:fill="FFFFFF"/>
              </w:rPr>
              <w:t> </w:t>
            </w:r>
            <w:r w:rsidRPr="00327DAE">
              <w:rPr>
                <w:rFonts w:eastAsia="Calibri"/>
                <w:color w:val="000000"/>
                <w:sz w:val="24"/>
                <w:szCs w:val="24"/>
                <w:shd w:val="clear" w:color="auto" w:fill="FFFFFF"/>
              </w:rPr>
              <w:t>gada 7.</w:t>
            </w:r>
            <w:r w:rsidR="00AF1EE9">
              <w:rPr>
                <w:rFonts w:eastAsia="Calibri"/>
                <w:color w:val="000000"/>
                <w:sz w:val="24"/>
                <w:szCs w:val="24"/>
                <w:shd w:val="clear" w:color="auto" w:fill="FFFFFF"/>
              </w:rPr>
              <w:t> </w:t>
            </w:r>
            <w:r w:rsidRPr="00327DAE">
              <w:rPr>
                <w:rFonts w:eastAsia="Calibri"/>
                <w:color w:val="000000"/>
                <w:sz w:val="24"/>
                <w:szCs w:val="24"/>
                <w:shd w:val="clear" w:color="auto" w:fill="FFFFFF"/>
              </w:rPr>
              <w:t xml:space="preserve">decembra spriedumā lietā Nr. SPC-57/2011. </w:t>
            </w:r>
            <w:r w:rsidR="006518A0" w:rsidRPr="00327DAE">
              <w:rPr>
                <w:rFonts w:eastAsia="Calibri"/>
                <w:color w:val="000000"/>
                <w:sz w:val="24"/>
                <w:szCs w:val="24"/>
                <w:shd w:val="clear" w:color="auto" w:fill="FFFFFF"/>
              </w:rPr>
              <w:t>A</w:t>
            </w:r>
            <w:r w:rsidRPr="00327DAE">
              <w:rPr>
                <w:rFonts w:eastAsia="Calibri"/>
                <w:color w:val="000000"/>
                <w:sz w:val="24"/>
                <w:szCs w:val="24"/>
                <w:shd w:val="clear" w:color="auto" w:fill="FFFFFF"/>
              </w:rPr>
              <w:t xml:space="preserve">pskatāmais tiesneses I. </w:t>
            </w:r>
            <w:proofErr w:type="spellStart"/>
            <w:r w:rsidRPr="00327DAE">
              <w:rPr>
                <w:rFonts w:eastAsia="Calibri"/>
                <w:color w:val="000000"/>
                <w:sz w:val="24"/>
                <w:szCs w:val="24"/>
                <w:shd w:val="clear" w:color="auto" w:fill="FFFFFF"/>
              </w:rPr>
              <w:t>Krēvicas</w:t>
            </w:r>
            <w:proofErr w:type="spellEnd"/>
            <w:r w:rsidRPr="00327DAE">
              <w:rPr>
                <w:rFonts w:eastAsia="Calibri"/>
                <w:color w:val="000000"/>
                <w:sz w:val="24"/>
                <w:szCs w:val="24"/>
                <w:shd w:val="clear" w:color="auto" w:fill="FFFFFF"/>
              </w:rPr>
              <w:t xml:space="preserve"> lēmums ir nekvalitatīvs. Tā kā SIA „</w:t>
            </w:r>
            <w:proofErr w:type="spellStart"/>
            <w:r w:rsidRPr="00327DAE">
              <w:rPr>
                <w:rFonts w:eastAsia="Calibri"/>
                <w:color w:val="000000"/>
                <w:sz w:val="24"/>
                <w:szCs w:val="24"/>
                <w:shd w:val="clear" w:color="auto" w:fill="FFFFFF"/>
              </w:rPr>
              <w:t>Briana</w:t>
            </w:r>
            <w:proofErr w:type="spellEnd"/>
            <w:r w:rsidRPr="00327DAE">
              <w:rPr>
                <w:rFonts w:eastAsia="Calibri"/>
                <w:color w:val="000000"/>
                <w:sz w:val="24"/>
                <w:szCs w:val="24"/>
                <w:shd w:val="clear" w:color="auto" w:fill="FFFFFF"/>
              </w:rPr>
              <w:t xml:space="preserve"> </w:t>
            </w:r>
            <w:proofErr w:type="spellStart"/>
            <w:r w:rsidRPr="00327DAE">
              <w:rPr>
                <w:rFonts w:eastAsia="Calibri"/>
                <w:color w:val="000000"/>
                <w:sz w:val="24"/>
                <w:szCs w:val="24"/>
                <w:shd w:val="clear" w:color="auto" w:fill="FFFFFF"/>
              </w:rPr>
              <w:t>Investment</w:t>
            </w:r>
            <w:proofErr w:type="spellEnd"/>
            <w:r w:rsidRPr="00327DAE">
              <w:rPr>
                <w:rFonts w:eastAsia="Calibri"/>
                <w:color w:val="000000"/>
                <w:sz w:val="24"/>
                <w:szCs w:val="24"/>
                <w:shd w:val="clear" w:color="auto" w:fill="FFFFFF"/>
              </w:rPr>
              <w:t>” ir ar ārvalsts (Igaunijas) kapitālu, lēmums nodarījis kaitējumu Latvijas tiesu reputācijai arī investīciju vides starptautiskā vērtējuma aspektā.</w:t>
            </w:r>
            <w:r w:rsidR="006E322B" w:rsidRPr="00327DAE">
              <w:rPr>
                <w:rFonts w:eastAsia="Calibri"/>
                <w:color w:val="000000"/>
                <w:sz w:val="24"/>
                <w:szCs w:val="24"/>
                <w:shd w:val="clear" w:color="auto" w:fill="FFFFFF"/>
              </w:rPr>
              <w:t xml:space="preserve"> </w:t>
            </w:r>
            <w:r w:rsidR="006E322B" w:rsidRPr="00E27399">
              <w:rPr>
                <w:rFonts w:eastAsia="Calibri"/>
                <w:color w:val="000000"/>
                <w:sz w:val="24"/>
                <w:szCs w:val="24"/>
                <w:shd w:val="clear" w:color="auto" w:fill="FFFFFF"/>
              </w:rPr>
              <w:t>Rupjš pārkāpums.</w:t>
            </w:r>
            <w:r w:rsidR="006E322B" w:rsidRPr="00327DAE">
              <w:rPr>
                <w:rFonts w:eastAsia="Calibri"/>
                <w:color w:val="000000"/>
                <w:sz w:val="24"/>
                <w:szCs w:val="24"/>
                <w:shd w:val="clear" w:color="auto" w:fill="FFFFFF"/>
              </w:rPr>
              <w:t xml:space="preserve"> </w:t>
            </w:r>
          </w:p>
        </w:tc>
      </w:tr>
      <w:tr w:rsidR="001C2BD2" w:rsidRPr="00327DAE" w14:paraId="44D48D58" w14:textId="77777777" w:rsidTr="00B40DAA">
        <w:trPr>
          <w:trHeight w:val="416"/>
        </w:trPr>
        <w:tc>
          <w:tcPr>
            <w:tcW w:w="562" w:type="dxa"/>
          </w:tcPr>
          <w:p w14:paraId="08029CEE" w14:textId="77777777" w:rsidR="001C2BD2" w:rsidRPr="00327DAE" w:rsidRDefault="001C2BD2" w:rsidP="0025317F">
            <w:pPr>
              <w:spacing w:after="120"/>
              <w:rPr>
                <w:sz w:val="24"/>
                <w:szCs w:val="24"/>
              </w:rPr>
            </w:pPr>
          </w:p>
        </w:tc>
        <w:tc>
          <w:tcPr>
            <w:tcW w:w="7797" w:type="dxa"/>
            <w:gridSpan w:val="3"/>
            <w:shd w:val="clear" w:color="auto" w:fill="auto"/>
            <w:noWrap/>
            <w:vAlign w:val="bottom"/>
          </w:tcPr>
          <w:p w14:paraId="5B67E6BD" w14:textId="3A0F518F" w:rsidR="001C2BD2" w:rsidRPr="00327DAE" w:rsidRDefault="001C2BD2" w:rsidP="0025317F">
            <w:pPr>
              <w:spacing w:after="120"/>
              <w:rPr>
                <w:rFonts w:eastAsia="Calibri"/>
                <w:i/>
                <w:sz w:val="24"/>
                <w:szCs w:val="24"/>
              </w:rPr>
            </w:pPr>
            <w:r w:rsidRPr="00327DAE">
              <w:rPr>
                <w:rFonts w:eastAsia="Calibri"/>
                <w:i/>
                <w:sz w:val="24"/>
                <w:szCs w:val="24"/>
              </w:rPr>
              <w:t>Tiesneses R. </w:t>
            </w:r>
            <w:proofErr w:type="spellStart"/>
            <w:r w:rsidRPr="00327DAE">
              <w:rPr>
                <w:rFonts w:eastAsia="Calibri"/>
                <w:i/>
                <w:sz w:val="24"/>
                <w:szCs w:val="24"/>
              </w:rPr>
              <w:t>Vīdušas</w:t>
            </w:r>
            <w:proofErr w:type="spellEnd"/>
            <w:r w:rsidRPr="00327DAE">
              <w:rPr>
                <w:rFonts w:eastAsia="Calibri"/>
                <w:i/>
                <w:sz w:val="24"/>
                <w:szCs w:val="24"/>
              </w:rPr>
              <w:t xml:space="preserve"> atsevišķie </w:t>
            </w:r>
            <w:r w:rsidR="00466B17" w:rsidRPr="00327DAE">
              <w:rPr>
                <w:rFonts w:eastAsia="Calibri"/>
                <w:i/>
                <w:sz w:val="24"/>
                <w:szCs w:val="24"/>
              </w:rPr>
              <w:t>secinājumi</w:t>
            </w:r>
          </w:p>
          <w:p w14:paraId="16F09D6A" w14:textId="17245143" w:rsidR="001C2BD2" w:rsidRPr="00327DAE" w:rsidRDefault="001C2BD2" w:rsidP="0025317F">
            <w:pPr>
              <w:spacing w:after="120"/>
              <w:rPr>
                <w:rFonts w:eastAsia="Calibri"/>
                <w:sz w:val="24"/>
                <w:szCs w:val="24"/>
              </w:rPr>
            </w:pPr>
            <w:r w:rsidRPr="00327DAE">
              <w:rPr>
                <w:rFonts w:eastAsia="Calibri"/>
                <w:sz w:val="24"/>
                <w:szCs w:val="24"/>
              </w:rPr>
              <w:t xml:space="preserve">Šajā lietā pirmās instances tiesas tiesnese nav mēģinājusi patiesi pievērsties </w:t>
            </w:r>
            <w:r w:rsidRPr="00327DAE">
              <w:rPr>
                <w:rFonts w:eastAsia="Calibri"/>
                <w:sz w:val="24"/>
                <w:szCs w:val="24"/>
              </w:rPr>
              <w:lastRenderedPageBreak/>
              <w:t xml:space="preserve">kreditora iebildumiem pēc būtības. No vienas puses, to var izskaidrot ar to, ka bija spēkā esoši tiesas nolēmumi, ar kuriem bija atzītas saistības. Tomēr tiesnesis ar pieredzi, redzot visai izvērstos kreditora iebildumus un faktus kopsakarā, nav vērtējis, vai tā tomēr nav fiktīvu saistību uzrādīšana. No lēmuma nav redzams tik pilnīgs iespējamās </w:t>
            </w:r>
            <w:proofErr w:type="spellStart"/>
            <w:r w:rsidRPr="00327DAE">
              <w:rPr>
                <w:rFonts w:eastAsia="Calibri"/>
                <w:sz w:val="24"/>
                <w:szCs w:val="24"/>
              </w:rPr>
              <w:t>negodprātības</w:t>
            </w:r>
            <w:proofErr w:type="spellEnd"/>
            <w:r w:rsidRPr="00327DAE">
              <w:rPr>
                <w:rFonts w:eastAsia="Calibri"/>
                <w:sz w:val="24"/>
                <w:szCs w:val="24"/>
              </w:rPr>
              <w:t xml:space="preserve"> izvērtējums, cik tas būtu atbilstoši kreditora iebildumiem. Ar A</w:t>
            </w:r>
            <w:r w:rsidR="001E7B78">
              <w:rPr>
                <w:rFonts w:eastAsia="Calibri"/>
                <w:sz w:val="24"/>
                <w:szCs w:val="24"/>
              </w:rPr>
              <w:t xml:space="preserve">ugstākās tiesas </w:t>
            </w:r>
            <w:r w:rsidRPr="00327DAE">
              <w:rPr>
                <w:rFonts w:eastAsia="Calibri"/>
                <w:sz w:val="24"/>
                <w:szCs w:val="24"/>
              </w:rPr>
              <w:t xml:space="preserve">lēmumu SPC-26/2009 bija skaidri pateikts, ka, lemjot par saistību piespiedu bezstrīdus izpildi, tiesai nevērtē saistību pamatu – to varēja ņemt vērā. Sal. </w:t>
            </w:r>
            <w:r w:rsidR="00AF1EE9">
              <w:rPr>
                <w:rFonts w:eastAsia="Calibri"/>
                <w:sz w:val="24"/>
                <w:szCs w:val="24"/>
              </w:rPr>
              <w:t>–</w:t>
            </w:r>
            <w:r w:rsidRPr="00327DAE">
              <w:rPr>
                <w:rFonts w:eastAsia="Calibri"/>
                <w:sz w:val="24"/>
                <w:szCs w:val="24"/>
              </w:rPr>
              <w:t xml:space="preserve"> Latgales priekšpilsētas tiesnese TAP „</w:t>
            </w:r>
            <w:proofErr w:type="spellStart"/>
            <w:r w:rsidRPr="00327DAE">
              <w:rPr>
                <w:rFonts w:eastAsia="Calibri"/>
                <w:sz w:val="24"/>
                <w:szCs w:val="24"/>
              </w:rPr>
              <w:t>Winergy</w:t>
            </w:r>
            <w:proofErr w:type="spellEnd"/>
            <w:r w:rsidRPr="00327DAE">
              <w:rPr>
                <w:rFonts w:eastAsia="Calibri"/>
                <w:sz w:val="24"/>
                <w:szCs w:val="24"/>
              </w:rPr>
              <w:t>” lietā vērtēja pēc būtības</w:t>
            </w:r>
            <w:r w:rsidR="00AF1EE9">
              <w:rPr>
                <w:rFonts w:eastAsia="Calibri"/>
                <w:sz w:val="24"/>
                <w:szCs w:val="24"/>
              </w:rPr>
              <w:t>.</w:t>
            </w:r>
            <w:r w:rsidRPr="00327DAE">
              <w:rPr>
                <w:rFonts w:eastAsia="Calibri"/>
                <w:sz w:val="24"/>
                <w:szCs w:val="24"/>
              </w:rPr>
              <w:t xml:space="preserve"> </w:t>
            </w:r>
          </w:p>
          <w:p w14:paraId="27D3A8CD" w14:textId="15795CB6" w:rsidR="001C2BD2" w:rsidRPr="00327DAE" w:rsidRDefault="001C2BD2" w:rsidP="0025317F">
            <w:pPr>
              <w:spacing w:after="120"/>
              <w:rPr>
                <w:rFonts w:eastAsia="Calibri"/>
                <w:sz w:val="24"/>
                <w:szCs w:val="24"/>
              </w:rPr>
            </w:pPr>
            <w:r w:rsidRPr="00327DAE">
              <w:rPr>
                <w:rFonts w:eastAsia="Calibri"/>
                <w:sz w:val="24"/>
                <w:szCs w:val="24"/>
              </w:rPr>
              <w:t>Viena no lietām, kurā Augstākā tiesa spēja rast ceļu taisnīgam rezultātam, bet rajona tiesa</w:t>
            </w:r>
            <w:r w:rsidR="006518A0" w:rsidRPr="00327DAE">
              <w:rPr>
                <w:rFonts w:eastAsia="Calibri"/>
                <w:sz w:val="24"/>
                <w:szCs w:val="24"/>
              </w:rPr>
              <w:t>i</w:t>
            </w:r>
            <w:r w:rsidRPr="00327DAE">
              <w:rPr>
                <w:rFonts w:eastAsia="Calibri"/>
                <w:sz w:val="24"/>
                <w:szCs w:val="24"/>
              </w:rPr>
              <w:t xml:space="preserve"> nav </w:t>
            </w:r>
            <w:r w:rsidR="006518A0" w:rsidRPr="00327DAE">
              <w:rPr>
                <w:rFonts w:eastAsia="Calibri"/>
                <w:sz w:val="24"/>
                <w:szCs w:val="24"/>
              </w:rPr>
              <w:t>izdevies</w:t>
            </w:r>
            <w:r w:rsidRPr="00327DAE">
              <w:rPr>
                <w:rFonts w:eastAsia="Calibri"/>
                <w:sz w:val="24"/>
                <w:szCs w:val="24"/>
              </w:rPr>
              <w:t>.</w:t>
            </w:r>
          </w:p>
          <w:p w14:paraId="674B0A3C" w14:textId="7DFF8A46" w:rsidR="001C2BD2" w:rsidRPr="00327DAE" w:rsidRDefault="001C2BD2" w:rsidP="0025317F">
            <w:pPr>
              <w:spacing w:after="120"/>
              <w:rPr>
                <w:rFonts w:eastAsia="Calibri"/>
                <w:i/>
                <w:sz w:val="24"/>
                <w:szCs w:val="24"/>
              </w:rPr>
            </w:pPr>
            <w:r w:rsidRPr="00327DAE">
              <w:rPr>
                <w:rFonts w:eastAsia="Calibri"/>
                <w:sz w:val="24"/>
                <w:szCs w:val="24"/>
              </w:rPr>
              <w:t>Formāli šāds lēmums ir attaisnojams, bet tiesnešiem būtu nopietni jādomā par tiesas pienākumu nepieļaut negodprātīgu tiesas procesa izmantošanu.</w:t>
            </w:r>
          </w:p>
        </w:tc>
      </w:tr>
      <w:tr w:rsidR="00917C22" w:rsidRPr="00327DAE" w14:paraId="1E8547B9" w14:textId="77777777" w:rsidTr="00B40DAA">
        <w:trPr>
          <w:trHeight w:val="416"/>
        </w:trPr>
        <w:tc>
          <w:tcPr>
            <w:tcW w:w="562" w:type="dxa"/>
            <w:vMerge w:val="restart"/>
          </w:tcPr>
          <w:p w14:paraId="07936630" w14:textId="090B8271" w:rsidR="00917C22" w:rsidRPr="00327DAE" w:rsidRDefault="00140A7A" w:rsidP="0025317F">
            <w:pPr>
              <w:spacing w:after="120"/>
              <w:rPr>
                <w:b/>
                <w:color w:val="000000"/>
                <w:sz w:val="24"/>
                <w:szCs w:val="24"/>
                <w:shd w:val="clear" w:color="auto" w:fill="FFFFFF"/>
              </w:rPr>
            </w:pPr>
            <w:r w:rsidRPr="00327DAE">
              <w:rPr>
                <w:b/>
                <w:color w:val="000000"/>
                <w:sz w:val="24"/>
                <w:szCs w:val="24"/>
                <w:shd w:val="clear" w:color="auto" w:fill="FFFFFF"/>
              </w:rPr>
              <w:lastRenderedPageBreak/>
              <w:t>31</w:t>
            </w:r>
            <w:r w:rsidR="00917C22" w:rsidRPr="00327DAE">
              <w:rPr>
                <w:b/>
                <w:color w:val="000000"/>
                <w:sz w:val="24"/>
                <w:szCs w:val="24"/>
                <w:shd w:val="clear" w:color="auto" w:fill="FFFFFF"/>
              </w:rPr>
              <w:t>.</w:t>
            </w:r>
          </w:p>
        </w:tc>
        <w:tc>
          <w:tcPr>
            <w:tcW w:w="1560" w:type="dxa"/>
            <w:shd w:val="clear" w:color="auto" w:fill="auto"/>
            <w:noWrap/>
            <w:vAlign w:val="bottom"/>
            <w:hideMark/>
          </w:tcPr>
          <w:p w14:paraId="3CC3EC18" w14:textId="19E72158" w:rsidR="00917C22" w:rsidRPr="00327DAE" w:rsidRDefault="00917C22" w:rsidP="0025317F">
            <w:pPr>
              <w:spacing w:after="120"/>
              <w:rPr>
                <w:b/>
                <w:sz w:val="24"/>
                <w:szCs w:val="24"/>
              </w:rPr>
            </w:pPr>
            <w:r w:rsidRPr="00327DAE">
              <w:rPr>
                <w:b/>
                <w:color w:val="000000"/>
                <w:sz w:val="24"/>
                <w:szCs w:val="24"/>
                <w:shd w:val="clear" w:color="auto" w:fill="FFFFFF"/>
              </w:rPr>
              <w:t>C30639112</w:t>
            </w:r>
            <w:r w:rsidRPr="00327DAE">
              <w:rPr>
                <w:rStyle w:val="FootnoteReference"/>
                <w:b/>
                <w:color w:val="000000"/>
                <w:sz w:val="24"/>
                <w:szCs w:val="24"/>
                <w:shd w:val="clear" w:color="auto" w:fill="FFFFFF"/>
              </w:rPr>
              <w:footnoteReference w:id="31"/>
            </w:r>
            <w:r w:rsidRPr="00327DAE">
              <w:rPr>
                <w:b/>
                <w:color w:val="000000"/>
                <w:sz w:val="24"/>
                <w:szCs w:val="24"/>
                <w:shd w:val="clear" w:color="auto" w:fill="FFFFFF"/>
              </w:rPr>
              <w:t>SPC7/2011</w:t>
            </w:r>
            <w:r w:rsidRPr="00327DAE">
              <w:rPr>
                <w:b/>
                <w:sz w:val="24"/>
                <w:szCs w:val="24"/>
              </w:rPr>
              <w:t xml:space="preserve"> </w:t>
            </w:r>
          </w:p>
        </w:tc>
        <w:tc>
          <w:tcPr>
            <w:tcW w:w="2409" w:type="dxa"/>
            <w:shd w:val="clear" w:color="auto" w:fill="auto"/>
            <w:vAlign w:val="bottom"/>
            <w:hideMark/>
          </w:tcPr>
          <w:p w14:paraId="43453873" w14:textId="77777777" w:rsidR="00917C22" w:rsidRPr="00327DAE" w:rsidRDefault="00917C22" w:rsidP="0025317F">
            <w:pPr>
              <w:spacing w:after="120"/>
              <w:rPr>
                <w:b/>
                <w:sz w:val="24"/>
                <w:szCs w:val="24"/>
              </w:rPr>
            </w:pPr>
            <w:r w:rsidRPr="00327DAE">
              <w:rPr>
                <w:b/>
                <w:sz w:val="24"/>
                <w:szCs w:val="24"/>
              </w:rPr>
              <w:t>27.04.2010. lēmums</w:t>
            </w:r>
          </w:p>
        </w:tc>
        <w:tc>
          <w:tcPr>
            <w:tcW w:w="3828" w:type="dxa"/>
            <w:shd w:val="clear" w:color="auto" w:fill="auto"/>
            <w:vAlign w:val="bottom"/>
            <w:hideMark/>
          </w:tcPr>
          <w:p w14:paraId="5193648D" w14:textId="77777777" w:rsidR="00917C22" w:rsidRPr="00327DAE" w:rsidRDefault="00917C22" w:rsidP="0025317F">
            <w:pPr>
              <w:pStyle w:val="Heading3"/>
            </w:pPr>
            <w:bookmarkStart w:id="44" w:name="_Toc522527518"/>
            <w:r w:rsidRPr="00327DAE">
              <w:t>SIA „Saimnieks-Serviss”: pieteikums par ĀTAP īstenošanu</w:t>
            </w:r>
            <w:bookmarkEnd w:id="44"/>
          </w:p>
        </w:tc>
      </w:tr>
      <w:tr w:rsidR="00991915" w:rsidRPr="00327DAE" w14:paraId="335433B2" w14:textId="77777777" w:rsidTr="00DA5069">
        <w:trPr>
          <w:trHeight w:val="416"/>
        </w:trPr>
        <w:tc>
          <w:tcPr>
            <w:tcW w:w="562" w:type="dxa"/>
            <w:vMerge/>
          </w:tcPr>
          <w:p w14:paraId="0254687D" w14:textId="77777777"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center"/>
          </w:tcPr>
          <w:p w14:paraId="7B393ED3" w14:textId="4F402392" w:rsidR="00991915" w:rsidRPr="009D11F9" w:rsidRDefault="00991915" w:rsidP="0025317F">
            <w:pPr>
              <w:spacing w:after="120"/>
              <w:rPr>
                <w:b/>
                <w:i/>
                <w:shd w:val="clear" w:color="auto" w:fill="FFFFFF"/>
              </w:rPr>
            </w:pPr>
            <w:r w:rsidRPr="009D11F9">
              <w:rPr>
                <w:b/>
                <w:i/>
              </w:rPr>
              <w:t>Sadales datums</w:t>
            </w:r>
          </w:p>
        </w:tc>
        <w:tc>
          <w:tcPr>
            <w:tcW w:w="2409" w:type="dxa"/>
            <w:shd w:val="clear" w:color="auto" w:fill="E7E6E6" w:themeFill="background2"/>
            <w:vAlign w:val="center"/>
          </w:tcPr>
          <w:p w14:paraId="5E2C266E" w14:textId="6AA18176"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14:paraId="5ECB2B97" w14:textId="50F07B82" w:rsidR="00991915" w:rsidRPr="009D11F9" w:rsidRDefault="00991915" w:rsidP="0025317F">
            <w:pPr>
              <w:spacing w:after="120"/>
              <w:rPr>
                <w:b/>
                <w:i/>
              </w:rPr>
            </w:pPr>
            <w:r w:rsidRPr="009D11F9">
              <w:rPr>
                <w:b/>
                <w:i/>
              </w:rPr>
              <w:t>Lietu sadales veids/iemesls</w:t>
            </w:r>
          </w:p>
        </w:tc>
      </w:tr>
      <w:tr w:rsidR="00991915" w:rsidRPr="00327DAE" w14:paraId="6A897650" w14:textId="77777777" w:rsidTr="00DA5069">
        <w:trPr>
          <w:trHeight w:val="416"/>
        </w:trPr>
        <w:tc>
          <w:tcPr>
            <w:tcW w:w="562" w:type="dxa"/>
            <w:vMerge/>
          </w:tcPr>
          <w:p w14:paraId="5F91F838" w14:textId="77777777"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bottom"/>
          </w:tcPr>
          <w:p w14:paraId="7DEC579A" w14:textId="0BAEBC3C" w:rsidR="00991915" w:rsidRPr="009D11F9" w:rsidRDefault="00991915" w:rsidP="0025317F">
            <w:pPr>
              <w:spacing w:after="120"/>
              <w:rPr>
                <w:i/>
                <w:shd w:val="clear" w:color="auto" w:fill="FFFFFF"/>
              </w:rPr>
            </w:pPr>
            <w:r w:rsidRPr="009D11F9">
              <w:rPr>
                <w:i/>
              </w:rPr>
              <w:t>19.04.2010</w:t>
            </w:r>
          </w:p>
        </w:tc>
        <w:tc>
          <w:tcPr>
            <w:tcW w:w="2409" w:type="dxa"/>
            <w:shd w:val="clear" w:color="auto" w:fill="E7E6E6" w:themeFill="background2"/>
            <w:vAlign w:val="bottom"/>
          </w:tcPr>
          <w:p w14:paraId="6EE9B849" w14:textId="4978121A" w:rsidR="00991915" w:rsidRPr="009D11F9" w:rsidRDefault="00991915" w:rsidP="0025317F">
            <w:pPr>
              <w:spacing w:after="120"/>
              <w:rPr>
                <w:i/>
              </w:rPr>
            </w:pPr>
            <w:r w:rsidRPr="009D11F9">
              <w:rPr>
                <w:i/>
              </w:rPr>
              <w:t>Ilze Ošiņa</w:t>
            </w:r>
          </w:p>
        </w:tc>
        <w:tc>
          <w:tcPr>
            <w:tcW w:w="3828" w:type="dxa"/>
            <w:shd w:val="clear" w:color="auto" w:fill="E7E6E6" w:themeFill="background2"/>
            <w:vAlign w:val="bottom"/>
          </w:tcPr>
          <w:p w14:paraId="174FC6C7" w14:textId="1E5B5427" w:rsidR="00991915" w:rsidRPr="009D11F9" w:rsidRDefault="00991915" w:rsidP="0025317F">
            <w:pPr>
              <w:spacing w:after="120"/>
              <w:rPr>
                <w:i/>
              </w:rPr>
            </w:pPr>
            <w:r w:rsidRPr="009D11F9">
              <w:rPr>
                <w:i/>
              </w:rPr>
              <w:t>Datorizēta lietu sadale</w:t>
            </w:r>
          </w:p>
        </w:tc>
      </w:tr>
      <w:tr w:rsidR="00991915" w:rsidRPr="00327DAE" w14:paraId="6B8BEE2B" w14:textId="77777777" w:rsidTr="00DA5069">
        <w:trPr>
          <w:trHeight w:val="416"/>
        </w:trPr>
        <w:tc>
          <w:tcPr>
            <w:tcW w:w="562" w:type="dxa"/>
            <w:vMerge/>
          </w:tcPr>
          <w:p w14:paraId="2E6A9938" w14:textId="77777777"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bottom"/>
          </w:tcPr>
          <w:p w14:paraId="4A84B98F" w14:textId="30B81471" w:rsidR="00991915" w:rsidRPr="009D11F9" w:rsidRDefault="00991915" w:rsidP="0025317F">
            <w:pPr>
              <w:spacing w:after="120"/>
              <w:rPr>
                <w:i/>
                <w:shd w:val="clear" w:color="auto" w:fill="FFFFFF"/>
              </w:rPr>
            </w:pPr>
            <w:r w:rsidRPr="009D11F9">
              <w:rPr>
                <w:i/>
              </w:rPr>
              <w:t>19.04.2010</w:t>
            </w:r>
          </w:p>
        </w:tc>
        <w:tc>
          <w:tcPr>
            <w:tcW w:w="2409" w:type="dxa"/>
            <w:shd w:val="clear" w:color="auto" w:fill="E7E6E6" w:themeFill="background2"/>
            <w:vAlign w:val="bottom"/>
          </w:tcPr>
          <w:p w14:paraId="60CF6FF9" w14:textId="20F4F657" w:rsidR="00991915" w:rsidRPr="009D11F9" w:rsidRDefault="00991915" w:rsidP="0025317F">
            <w:pPr>
              <w:spacing w:after="120"/>
              <w:rPr>
                <w:i/>
              </w:rPr>
            </w:pPr>
            <w:r w:rsidRPr="009D11F9">
              <w:rPr>
                <w:i/>
              </w:rPr>
              <w:t xml:space="preserve">Iveta </w:t>
            </w:r>
            <w:proofErr w:type="spellStart"/>
            <w:r w:rsidRPr="009D11F9">
              <w:rPr>
                <w:i/>
              </w:rPr>
              <w:t>Krēvica</w:t>
            </w:r>
            <w:proofErr w:type="spellEnd"/>
          </w:p>
        </w:tc>
        <w:tc>
          <w:tcPr>
            <w:tcW w:w="3828" w:type="dxa"/>
            <w:shd w:val="clear" w:color="auto" w:fill="E7E6E6" w:themeFill="background2"/>
            <w:vAlign w:val="bottom"/>
          </w:tcPr>
          <w:p w14:paraId="1107992C" w14:textId="43F656C5" w:rsidR="00991915" w:rsidRPr="009D11F9" w:rsidRDefault="00991915" w:rsidP="0025317F">
            <w:pPr>
              <w:spacing w:after="120"/>
              <w:rPr>
                <w:i/>
              </w:rPr>
            </w:pPr>
            <w:r w:rsidRPr="009D11F9">
              <w:rPr>
                <w:i/>
              </w:rPr>
              <w:t>Manuāla lietu sadale - rezolūcija</w:t>
            </w:r>
          </w:p>
        </w:tc>
      </w:tr>
      <w:tr w:rsidR="00917C22" w:rsidRPr="00327DAE" w14:paraId="0E69B879" w14:textId="77777777" w:rsidTr="00B40DAA">
        <w:trPr>
          <w:trHeight w:val="416"/>
        </w:trPr>
        <w:tc>
          <w:tcPr>
            <w:tcW w:w="562" w:type="dxa"/>
            <w:vMerge/>
          </w:tcPr>
          <w:p w14:paraId="7A1D3728"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3B85931E" w14:textId="03B505A4" w:rsidR="00917C22" w:rsidRPr="00327DAE" w:rsidRDefault="00917C22" w:rsidP="0025317F">
            <w:pPr>
              <w:spacing w:after="120"/>
              <w:rPr>
                <w:sz w:val="24"/>
                <w:szCs w:val="24"/>
              </w:rPr>
            </w:pPr>
            <w:r w:rsidRPr="00327DAE">
              <w:rPr>
                <w:sz w:val="24"/>
                <w:szCs w:val="24"/>
              </w:rPr>
              <w:t>Kasācijas tiesvedība izbeigta sakarā ar to, ka Augstākās tiesas priekšsēdētā</w:t>
            </w:r>
            <w:r w:rsidR="00536A07" w:rsidRPr="00327DAE">
              <w:rPr>
                <w:sz w:val="24"/>
                <w:szCs w:val="24"/>
              </w:rPr>
              <w:t>js iesniegto protestu atsaucis.</w:t>
            </w:r>
          </w:p>
        </w:tc>
      </w:tr>
      <w:tr w:rsidR="00917C22" w:rsidRPr="00327DAE" w14:paraId="0E7C020D" w14:textId="77777777" w:rsidTr="00B40DAA">
        <w:trPr>
          <w:trHeight w:val="416"/>
        </w:trPr>
        <w:tc>
          <w:tcPr>
            <w:tcW w:w="562" w:type="dxa"/>
            <w:vMerge/>
          </w:tcPr>
          <w:p w14:paraId="08D6B3E1"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2FBF81E0" w14:textId="77777777" w:rsidR="00917C22" w:rsidRPr="00327DAE" w:rsidRDefault="00917C22" w:rsidP="0025317F">
            <w:pPr>
              <w:spacing w:after="120"/>
              <w:rPr>
                <w:i/>
                <w:sz w:val="24"/>
                <w:szCs w:val="24"/>
              </w:rPr>
            </w:pPr>
            <w:r w:rsidRPr="00327DAE">
              <w:rPr>
                <w:i/>
                <w:sz w:val="24"/>
                <w:szCs w:val="24"/>
              </w:rPr>
              <w:t>Ekspertu secinājumi</w:t>
            </w:r>
          </w:p>
          <w:p w14:paraId="6AD5F032" w14:textId="10ED404A" w:rsidR="00443288" w:rsidRPr="00E27399" w:rsidRDefault="00443288" w:rsidP="0025317F">
            <w:pPr>
              <w:spacing w:after="120"/>
              <w:rPr>
                <w:sz w:val="24"/>
                <w:szCs w:val="24"/>
              </w:rPr>
            </w:pPr>
            <w:r w:rsidRPr="00327DAE">
              <w:rPr>
                <w:sz w:val="24"/>
                <w:szCs w:val="24"/>
              </w:rPr>
              <w:t>Publikācijā norādīts, ka šajā lietā ir fiktīvs kreditors un ka nebija plāna pamatojums, tomēr šajā lietā TAP plāns veiksmīgi izpildīts. Publikācijā Plānu par 60</w:t>
            </w:r>
            <w:r w:rsidR="00AF1EE9">
              <w:rPr>
                <w:sz w:val="24"/>
                <w:szCs w:val="24"/>
              </w:rPr>
              <w:t> </w:t>
            </w:r>
            <w:r w:rsidRPr="00327DAE">
              <w:rPr>
                <w:sz w:val="24"/>
                <w:szCs w:val="24"/>
              </w:rPr>
              <w:t xml:space="preserve">% nenodrošināto kreditoru </w:t>
            </w:r>
            <w:proofErr w:type="spellStart"/>
            <w:r w:rsidRPr="00327DAE">
              <w:rPr>
                <w:sz w:val="24"/>
                <w:szCs w:val="24"/>
              </w:rPr>
              <w:t>pamatprasījumu</w:t>
            </w:r>
            <w:proofErr w:type="spellEnd"/>
            <w:r w:rsidRPr="00327DAE">
              <w:rPr>
                <w:sz w:val="24"/>
                <w:szCs w:val="24"/>
              </w:rPr>
              <w:t xml:space="preserve"> dzēšanu saskaņo 51</w:t>
            </w:r>
            <w:r w:rsidR="00AF1EE9">
              <w:rPr>
                <w:sz w:val="24"/>
                <w:szCs w:val="24"/>
              </w:rPr>
              <w:t> </w:t>
            </w:r>
            <w:r w:rsidRPr="00327DAE">
              <w:rPr>
                <w:sz w:val="24"/>
                <w:szCs w:val="24"/>
              </w:rPr>
              <w:t xml:space="preserve">% no kreditora </w:t>
            </w:r>
            <w:r w:rsidRPr="00E27399">
              <w:rPr>
                <w:sz w:val="24"/>
                <w:szCs w:val="24"/>
              </w:rPr>
              <w:t>kopuma, tai skaitā arī banka.</w:t>
            </w:r>
          </w:p>
          <w:p w14:paraId="2C6CA41A" w14:textId="229F36A5" w:rsidR="00443288" w:rsidRPr="00E27399" w:rsidRDefault="00443288" w:rsidP="0025317F">
            <w:pPr>
              <w:spacing w:after="120"/>
              <w:rPr>
                <w:sz w:val="24"/>
                <w:szCs w:val="24"/>
              </w:rPr>
            </w:pPr>
            <w:r w:rsidRPr="00E27399">
              <w:rPr>
                <w:sz w:val="24"/>
                <w:szCs w:val="24"/>
              </w:rPr>
              <w:t>Publikācijā izteikts pārmetums A</w:t>
            </w:r>
            <w:r w:rsidR="001E7B78">
              <w:rPr>
                <w:sz w:val="24"/>
                <w:szCs w:val="24"/>
              </w:rPr>
              <w:t xml:space="preserve">ugstākās tiesas </w:t>
            </w:r>
            <w:r w:rsidRPr="00E27399">
              <w:rPr>
                <w:sz w:val="24"/>
                <w:szCs w:val="24"/>
              </w:rPr>
              <w:t>priekšsēdētājam, kurš atsaucis paša iesniegto protestu, tādējādi “ļaujot īstenoties Sprūda sazīmētajiem plāniem”.</w:t>
            </w:r>
          </w:p>
          <w:p w14:paraId="5EE04FB0" w14:textId="0C6E8308" w:rsidR="00443288" w:rsidRPr="00E27399" w:rsidRDefault="00443288" w:rsidP="0025317F">
            <w:pPr>
              <w:spacing w:after="120"/>
              <w:rPr>
                <w:sz w:val="24"/>
                <w:szCs w:val="24"/>
              </w:rPr>
            </w:pPr>
            <w:r w:rsidRPr="00E27399">
              <w:rPr>
                <w:sz w:val="24"/>
                <w:szCs w:val="24"/>
              </w:rPr>
              <w:t>Paskaidrojumos Augstākajai tiesai kreditors, kurš iepriekš lūdzis iesniegt protestu, norāda, ka saprot, ka TAP plāna apstiprināšanā nav noticis pārkāpums, norāda, ka TAP plāns tiek pildīts. Turklāt norāda, ka valdes loceklis, kurš lūdzis protesta iesniegšanu, nav zinājis, ka valdes priekšsēdētājs</w:t>
            </w:r>
            <w:proofErr w:type="gramStart"/>
            <w:r w:rsidR="001E7B78" w:rsidRPr="00E27399">
              <w:rPr>
                <w:sz w:val="24"/>
                <w:szCs w:val="24"/>
              </w:rPr>
              <w:t xml:space="preserve"> piekritis ĀTAP plānam</w:t>
            </w:r>
            <w:proofErr w:type="gramEnd"/>
            <w:r w:rsidR="001E7B78">
              <w:rPr>
                <w:sz w:val="24"/>
                <w:szCs w:val="24"/>
              </w:rPr>
              <w:t>,</w:t>
            </w:r>
            <w:r w:rsidRPr="00E27399">
              <w:rPr>
                <w:sz w:val="24"/>
                <w:szCs w:val="24"/>
              </w:rPr>
              <w:t xml:space="preserve"> un lūdz atsaukt protestu. Līdz ar to pārmetumi par protesta atsaukšanu nav pamatoti.</w:t>
            </w:r>
          </w:p>
          <w:p w14:paraId="5E5DEF66" w14:textId="77777777" w:rsidR="00443288" w:rsidRPr="00327DAE" w:rsidRDefault="00443288" w:rsidP="0025317F">
            <w:pPr>
              <w:spacing w:after="120"/>
              <w:rPr>
                <w:sz w:val="24"/>
                <w:szCs w:val="24"/>
              </w:rPr>
            </w:pPr>
            <w:r w:rsidRPr="00E27399">
              <w:rPr>
                <w:sz w:val="24"/>
                <w:szCs w:val="24"/>
              </w:rPr>
              <w:t>Jautājumā, vai tiesai bija jāpārliecinās, ka izpildās</w:t>
            </w:r>
            <w:r w:rsidRPr="00327DAE">
              <w:rPr>
                <w:sz w:val="24"/>
                <w:szCs w:val="24"/>
              </w:rPr>
              <w:t xml:space="preserve"> TAP pamatojuma prasība, ka ar apstiprināto kreditoru prasījumu samazinājumu viņi iegūs vismaz tikpat, cik būtu ieguvuši maksātnespējas procesā, secināms, ka tiesai nepiekrīt veikt šādu kontroli pēc būtības, bet tikai izvērtēt iesniegtos iebildumus un vērtēt to pamatotību. </w:t>
            </w:r>
          </w:p>
          <w:p w14:paraId="54B5FB70" w14:textId="77777777" w:rsidR="00443288" w:rsidRPr="00E27399" w:rsidRDefault="00443288" w:rsidP="0025317F">
            <w:pPr>
              <w:spacing w:after="120"/>
              <w:rPr>
                <w:sz w:val="24"/>
                <w:szCs w:val="24"/>
              </w:rPr>
            </w:pPr>
            <w:r w:rsidRPr="00327DAE">
              <w:rPr>
                <w:sz w:val="24"/>
                <w:szCs w:val="24"/>
              </w:rPr>
              <w:t xml:space="preserve">Tiesai nevar pārmest, ka likumdevēja tajā laikā izvēlētais TAP plāna apstiprināšanas modelis praksē izrādījās neefektīvs kreditoru interešu </w:t>
            </w:r>
            <w:r w:rsidRPr="00E27399">
              <w:rPr>
                <w:sz w:val="24"/>
                <w:szCs w:val="24"/>
              </w:rPr>
              <w:lastRenderedPageBreak/>
              <w:t>aizsardzībai.</w:t>
            </w:r>
          </w:p>
          <w:p w14:paraId="771C29C9" w14:textId="1D648AB8" w:rsidR="00917C22" w:rsidRPr="00327DAE" w:rsidRDefault="00443288" w:rsidP="0025317F">
            <w:pPr>
              <w:spacing w:after="120"/>
              <w:rPr>
                <w:sz w:val="24"/>
                <w:szCs w:val="24"/>
              </w:rPr>
            </w:pPr>
            <w:r w:rsidRPr="00E27399">
              <w:rPr>
                <w:sz w:val="24"/>
                <w:szCs w:val="24"/>
              </w:rPr>
              <w:t>Rakstā konstatējamas faktoloģiskas neprecizitātes par datumiem: norādīts, ka 3 nedēļas pirms ĀTAP noslēgts aizdevuma līgums, uz kura pamata nodibināta hipotēka. No lietas materiāliem</w:t>
            </w:r>
            <w:r w:rsidR="00565C57" w:rsidRPr="00E27399">
              <w:rPr>
                <w:sz w:val="24"/>
                <w:szCs w:val="24"/>
              </w:rPr>
              <w:t xml:space="preserve"> (ĀTAP plāna)</w:t>
            </w:r>
            <w:r w:rsidRPr="00E27399">
              <w:rPr>
                <w:sz w:val="24"/>
                <w:szCs w:val="24"/>
              </w:rPr>
              <w:t xml:space="preserve"> izriet, ka hipotēka (turklāt tikai 3.</w:t>
            </w:r>
            <w:r w:rsidR="000010BB">
              <w:rPr>
                <w:sz w:val="24"/>
                <w:szCs w:val="24"/>
              </w:rPr>
              <w:t> </w:t>
            </w:r>
            <w:r w:rsidRPr="00E27399">
              <w:rPr>
                <w:sz w:val="24"/>
                <w:szCs w:val="24"/>
              </w:rPr>
              <w:t>kārtas hipotēka!) nodibināta nevis 3 nedēļas, bet 4 mēnešus pirms ĀTAP. No lietas neizriet, ka pret to būtu iebildis kāds no kreditoriem.</w:t>
            </w:r>
          </w:p>
        </w:tc>
      </w:tr>
      <w:tr w:rsidR="00917C22" w:rsidRPr="00327DAE" w14:paraId="166D8326" w14:textId="77777777" w:rsidTr="00B40DAA">
        <w:trPr>
          <w:trHeight w:val="416"/>
        </w:trPr>
        <w:tc>
          <w:tcPr>
            <w:tcW w:w="562" w:type="dxa"/>
            <w:vMerge w:val="restart"/>
          </w:tcPr>
          <w:p w14:paraId="46677447" w14:textId="3DF9FD10" w:rsidR="00917C22" w:rsidRPr="00327DAE" w:rsidRDefault="00140A7A" w:rsidP="0025317F">
            <w:pPr>
              <w:spacing w:after="120"/>
              <w:rPr>
                <w:b/>
                <w:bCs/>
                <w:color w:val="2B2B2B"/>
                <w:sz w:val="24"/>
                <w:szCs w:val="24"/>
                <w:shd w:val="clear" w:color="auto" w:fill="FFFFFF"/>
              </w:rPr>
            </w:pPr>
            <w:r w:rsidRPr="00327DAE">
              <w:rPr>
                <w:b/>
                <w:bCs/>
                <w:color w:val="2B2B2B"/>
                <w:sz w:val="24"/>
                <w:szCs w:val="24"/>
                <w:shd w:val="clear" w:color="auto" w:fill="FFFFFF"/>
              </w:rPr>
              <w:lastRenderedPageBreak/>
              <w:t>32</w:t>
            </w:r>
            <w:r w:rsidR="00917C22" w:rsidRPr="00327DAE">
              <w:rPr>
                <w:b/>
                <w:bCs/>
                <w:color w:val="2B2B2B"/>
                <w:sz w:val="24"/>
                <w:szCs w:val="24"/>
                <w:shd w:val="clear" w:color="auto" w:fill="FFFFFF"/>
              </w:rPr>
              <w:t>.</w:t>
            </w:r>
          </w:p>
        </w:tc>
        <w:tc>
          <w:tcPr>
            <w:tcW w:w="1560" w:type="dxa"/>
            <w:shd w:val="clear" w:color="auto" w:fill="auto"/>
            <w:noWrap/>
            <w:vAlign w:val="bottom"/>
            <w:hideMark/>
          </w:tcPr>
          <w:p w14:paraId="09E4B38B" w14:textId="77777777" w:rsidR="00917C22" w:rsidRPr="00327DAE" w:rsidRDefault="00917C22" w:rsidP="0025317F">
            <w:pPr>
              <w:spacing w:after="120"/>
              <w:rPr>
                <w:b/>
                <w:sz w:val="24"/>
                <w:szCs w:val="24"/>
              </w:rPr>
            </w:pPr>
            <w:r w:rsidRPr="00327DAE">
              <w:rPr>
                <w:b/>
                <w:bCs/>
                <w:color w:val="2B2B2B"/>
                <w:sz w:val="24"/>
                <w:szCs w:val="24"/>
                <w:shd w:val="clear" w:color="auto" w:fill="FFFFFF"/>
              </w:rPr>
              <w:t>C30631010</w:t>
            </w:r>
            <w:r w:rsidRPr="00327DAE">
              <w:rPr>
                <w:rStyle w:val="FootnoteReference"/>
                <w:b/>
                <w:bCs/>
                <w:color w:val="2B2B2B"/>
                <w:sz w:val="24"/>
                <w:szCs w:val="24"/>
                <w:shd w:val="clear" w:color="auto" w:fill="FFFFFF"/>
              </w:rPr>
              <w:footnoteReference w:id="32"/>
            </w:r>
          </w:p>
        </w:tc>
        <w:tc>
          <w:tcPr>
            <w:tcW w:w="2409" w:type="dxa"/>
            <w:shd w:val="clear" w:color="auto" w:fill="auto"/>
            <w:vAlign w:val="bottom"/>
            <w:hideMark/>
          </w:tcPr>
          <w:p w14:paraId="25C8969E" w14:textId="77777777" w:rsidR="00917C22" w:rsidRPr="00DA5069" w:rsidRDefault="00917C22" w:rsidP="0025317F">
            <w:pPr>
              <w:pStyle w:val="Heading4"/>
            </w:pPr>
          </w:p>
        </w:tc>
        <w:tc>
          <w:tcPr>
            <w:tcW w:w="3828" w:type="dxa"/>
            <w:shd w:val="clear" w:color="auto" w:fill="auto"/>
            <w:vAlign w:val="bottom"/>
            <w:hideMark/>
          </w:tcPr>
          <w:p w14:paraId="0AAFD43B" w14:textId="1D10A534" w:rsidR="00917C22" w:rsidRPr="00DA5069" w:rsidRDefault="00917C22" w:rsidP="0025317F">
            <w:pPr>
              <w:pStyle w:val="Heading3"/>
            </w:pPr>
            <w:bookmarkStart w:id="45" w:name="_Toc522527519"/>
            <w:r w:rsidRPr="00DA5069">
              <w:t xml:space="preserve">SIA „LASCO </w:t>
            </w:r>
            <w:proofErr w:type="spellStart"/>
            <w:r w:rsidRPr="00DA5069">
              <w:t>Investment</w:t>
            </w:r>
            <w:proofErr w:type="spellEnd"/>
            <w:r w:rsidRPr="00DA5069">
              <w:t>”: ĀTAP pieteikums</w:t>
            </w:r>
            <w:bookmarkEnd w:id="45"/>
          </w:p>
        </w:tc>
      </w:tr>
      <w:tr w:rsidR="00991915" w:rsidRPr="00327DAE" w14:paraId="7556ED62" w14:textId="77777777" w:rsidTr="00DA5069">
        <w:trPr>
          <w:trHeight w:val="416"/>
        </w:trPr>
        <w:tc>
          <w:tcPr>
            <w:tcW w:w="562" w:type="dxa"/>
            <w:vMerge/>
          </w:tcPr>
          <w:p w14:paraId="612D3E6A" w14:textId="77777777" w:rsidR="00991915" w:rsidRPr="00327DAE" w:rsidRDefault="00991915" w:rsidP="0025317F">
            <w:pPr>
              <w:spacing w:after="120"/>
              <w:rPr>
                <w:b/>
                <w:bCs/>
                <w:color w:val="2B2B2B"/>
                <w:sz w:val="24"/>
                <w:szCs w:val="24"/>
                <w:shd w:val="clear" w:color="auto" w:fill="FFFFFF"/>
              </w:rPr>
            </w:pPr>
          </w:p>
        </w:tc>
        <w:tc>
          <w:tcPr>
            <w:tcW w:w="1560" w:type="dxa"/>
            <w:shd w:val="clear" w:color="auto" w:fill="E7E6E6" w:themeFill="background2"/>
            <w:noWrap/>
            <w:vAlign w:val="center"/>
          </w:tcPr>
          <w:p w14:paraId="1FC05947" w14:textId="6B0415AA" w:rsidR="00991915" w:rsidRPr="009D11F9" w:rsidRDefault="00991915" w:rsidP="0025317F">
            <w:pPr>
              <w:spacing w:after="120"/>
              <w:rPr>
                <w:b/>
                <w:i/>
                <w:color w:val="2B2B2B"/>
                <w:shd w:val="clear" w:color="auto" w:fill="FFFFFF"/>
              </w:rPr>
            </w:pPr>
            <w:r w:rsidRPr="009D11F9">
              <w:rPr>
                <w:b/>
                <w:i/>
              </w:rPr>
              <w:t>Sadales datums</w:t>
            </w:r>
          </w:p>
        </w:tc>
        <w:tc>
          <w:tcPr>
            <w:tcW w:w="2409" w:type="dxa"/>
            <w:shd w:val="clear" w:color="auto" w:fill="E7E6E6" w:themeFill="background2"/>
            <w:vAlign w:val="center"/>
          </w:tcPr>
          <w:p w14:paraId="312DBA6E" w14:textId="16C01498"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14:paraId="4255EC4C" w14:textId="61E2CC2E" w:rsidR="00991915" w:rsidRPr="009D11F9" w:rsidRDefault="00991915" w:rsidP="0025317F">
            <w:pPr>
              <w:spacing w:after="120"/>
              <w:rPr>
                <w:b/>
                <w:i/>
              </w:rPr>
            </w:pPr>
            <w:r w:rsidRPr="009D11F9">
              <w:rPr>
                <w:b/>
                <w:i/>
              </w:rPr>
              <w:t>Lietu sadales veids/iemesls</w:t>
            </w:r>
          </w:p>
        </w:tc>
      </w:tr>
      <w:tr w:rsidR="00991915" w:rsidRPr="00327DAE" w14:paraId="507EDD4B" w14:textId="77777777" w:rsidTr="00DA5069">
        <w:trPr>
          <w:trHeight w:val="416"/>
        </w:trPr>
        <w:tc>
          <w:tcPr>
            <w:tcW w:w="562" w:type="dxa"/>
            <w:vMerge/>
          </w:tcPr>
          <w:p w14:paraId="302A57FB" w14:textId="77777777" w:rsidR="00991915" w:rsidRPr="00327DAE" w:rsidRDefault="00991915" w:rsidP="0025317F">
            <w:pPr>
              <w:spacing w:after="120"/>
              <w:rPr>
                <w:b/>
                <w:bCs/>
                <w:color w:val="2B2B2B"/>
                <w:sz w:val="24"/>
                <w:szCs w:val="24"/>
                <w:shd w:val="clear" w:color="auto" w:fill="FFFFFF"/>
              </w:rPr>
            </w:pPr>
          </w:p>
        </w:tc>
        <w:tc>
          <w:tcPr>
            <w:tcW w:w="1560" w:type="dxa"/>
            <w:shd w:val="clear" w:color="auto" w:fill="E7E6E6" w:themeFill="background2"/>
            <w:noWrap/>
            <w:vAlign w:val="bottom"/>
          </w:tcPr>
          <w:p w14:paraId="637DFD1E" w14:textId="7BD2B987" w:rsidR="00991915" w:rsidRPr="009D11F9" w:rsidRDefault="00991915" w:rsidP="0025317F">
            <w:pPr>
              <w:spacing w:after="120"/>
              <w:rPr>
                <w:i/>
                <w:color w:val="2B2B2B"/>
                <w:shd w:val="clear" w:color="auto" w:fill="FFFFFF"/>
              </w:rPr>
            </w:pPr>
            <w:r w:rsidRPr="009D11F9">
              <w:rPr>
                <w:i/>
              </w:rPr>
              <w:t>30.09.2010</w:t>
            </w:r>
          </w:p>
        </w:tc>
        <w:tc>
          <w:tcPr>
            <w:tcW w:w="2409" w:type="dxa"/>
            <w:shd w:val="clear" w:color="auto" w:fill="E7E6E6" w:themeFill="background2"/>
            <w:vAlign w:val="bottom"/>
          </w:tcPr>
          <w:p w14:paraId="736445EE" w14:textId="33D0F6A4" w:rsidR="00991915" w:rsidRPr="009D11F9" w:rsidRDefault="00991915" w:rsidP="0025317F">
            <w:pPr>
              <w:spacing w:after="120"/>
              <w:rPr>
                <w:i/>
              </w:rPr>
            </w:pPr>
            <w:r w:rsidRPr="009D11F9">
              <w:rPr>
                <w:i/>
              </w:rPr>
              <w:t xml:space="preserve">Iveta </w:t>
            </w:r>
            <w:proofErr w:type="spellStart"/>
            <w:r w:rsidRPr="009D11F9">
              <w:rPr>
                <w:i/>
              </w:rPr>
              <w:t>Krēvica</w:t>
            </w:r>
            <w:proofErr w:type="spellEnd"/>
          </w:p>
        </w:tc>
        <w:tc>
          <w:tcPr>
            <w:tcW w:w="3828" w:type="dxa"/>
            <w:shd w:val="clear" w:color="auto" w:fill="E7E6E6" w:themeFill="background2"/>
            <w:vAlign w:val="bottom"/>
          </w:tcPr>
          <w:p w14:paraId="68DBBA16" w14:textId="3AF46993" w:rsidR="00991915" w:rsidRPr="009D11F9" w:rsidRDefault="00991915" w:rsidP="0025317F">
            <w:pPr>
              <w:spacing w:after="120"/>
              <w:rPr>
                <w:i/>
              </w:rPr>
            </w:pPr>
            <w:r w:rsidRPr="009D11F9">
              <w:rPr>
                <w:i/>
              </w:rPr>
              <w:t>Datorizēta lietu sadale</w:t>
            </w:r>
          </w:p>
        </w:tc>
      </w:tr>
      <w:tr w:rsidR="00917C22" w:rsidRPr="00327DAE" w14:paraId="1D41BBFE" w14:textId="77777777" w:rsidTr="00B40DAA">
        <w:trPr>
          <w:trHeight w:val="416"/>
        </w:trPr>
        <w:tc>
          <w:tcPr>
            <w:tcW w:w="562" w:type="dxa"/>
            <w:vMerge/>
          </w:tcPr>
          <w:p w14:paraId="024D06A0"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0E34DE53" w14:textId="06AB162A" w:rsidR="00917C22" w:rsidRPr="00327DAE" w:rsidRDefault="00917C22" w:rsidP="0025317F">
            <w:pPr>
              <w:spacing w:after="120"/>
              <w:rPr>
                <w:sz w:val="24"/>
                <w:szCs w:val="24"/>
              </w:rPr>
            </w:pPr>
            <w:r w:rsidRPr="00327DAE">
              <w:rPr>
                <w:sz w:val="24"/>
                <w:szCs w:val="24"/>
              </w:rPr>
              <w:t xml:space="preserve">Protests par tiesneses pieņemtajiem lēmumiem </w:t>
            </w:r>
            <w:r w:rsidR="00536A07" w:rsidRPr="00327DAE">
              <w:rPr>
                <w:sz w:val="24"/>
                <w:szCs w:val="24"/>
              </w:rPr>
              <w:t>Augstākajā tiesā nav iesniegts.</w:t>
            </w:r>
          </w:p>
        </w:tc>
      </w:tr>
      <w:tr w:rsidR="00917C22" w:rsidRPr="00327DAE" w14:paraId="2556B3FA" w14:textId="77777777" w:rsidTr="00B40DAA">
        <w:trPr>
          <w:trHeight w:val="416"/>
        </w:trPr>
        <w:tc>
          <w:tcPr>
            <w:tcW w:w="562" w:type="dxa"/>
            <w:vMerge/>
          </w:tcPr>
          <w:p w14:paraId="7DD5CEB2"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0E677130" w14:textId="77777777" w:rsidR="00917C22" w:rsidRPr="00327DAE" w:rsidRDefault="00917C22" w:rsidP="0025317F">
            <w:pPr>
              <w:spacing w:after="120"/>
              <w:rPr>
                <w:i/>
                <w:sz w:val="24"/>
                <w:szCs w:val="24"/>
              </w:rPr>
            </w:pPr>
            <w:r w:rsidRPr="00327DAE">
              <w:rPr>
                <w:i/>
                <w:sz w:val="24"/>
                <w:szCs w:val="24"/>
              </w:rPr>
              <w:t>Ekspertu secinājumi</w:t>
            </w:r>
          </w:p>
          <w:p w14:paraId="617374DA" w14:textId="07A9EFE3" w:rsidR="00917C22" w:rsidRPr="00327DAE" w:rsidRDefault="001D0C89" w:rsidP="0025317F">
            <w:pPr>
              <w:spacing w:after="120"/>
              <w:rPr>
                <w:sz w:val="24"/>
                <w:szCs w:val="24"/>
              </w:rPr>
            </w:pPr>
            <w:r w:rsidRPr="00327DAE">
              <w:rPr>
                <w:sz w:val="24"/>
                <w:szCs w:val="24"/>
              </w:rPr>
              <w:t>Administrators nav atzinis kreditora prasību. Tiesnese noraida sūdzību. Prokuratūra ir izprasījusi lietas materiālus, tomēr protests nav iesniegts, kas</w:t>
            </w:r>
            <w:r w:rsidR="000010BB">
              <w:rPr>
                <w:sz w:val="24"/>
                <w:szCs w:val="24"/>
              </w:rPr>
              <w:t>,</w:t>
            </w:r>
            <w:r w:rsidRPr="00327DAE">
              <w:rPr>
                <w:sz w:val="24"/>
                <w:szCs w:val="24"/>
              </w:rPr>
              <w:t xml:space="preserve"> visticamāk</w:t>
            </w:r>
            <w:r w:rsidR="000010BB">
              <w:rPr>
                <w:sz w:val="24"/>
                <w:szCs w:val="24"/>
              </w:rPr>
              <w:t>,</w:t>
            </w:r>
            <w:r w:rsidRPr="00327DAE">
              <w:rPr>
                <w:sz w:val="24"/>
                <w:szCs w:val="24"/>
              </w:rPr>
              <w:t xml:space="preserve"> norāda uz to, ka</w:t>
            </w:r>
            <w:r w:rsidR="000010BB">
              <w:rPr>
                <w:sz w:val="24"/>
                <w:szCs w:val="24"/>
              </w:rPr>
              <w:t>,</w:t>
            </w:r>
            <w:r w:rsidRPr="00327DAE">
              <w:rPr>
                <w:sz w:val="24"/>
                <w:szCs w:val="24"/>
              </w:rPr>
              <w:t xml:space="preserve"> prokuratūras ieskatā</w:t>
            </w:r>
            <w:r w:rsidR="000010BB">
              <w:rPr>
                <w:sz w:val="24"/>
                <w:szCs w:val="24"/>
              </w:rPr>
              <w:t>,</w:t>
            </w:r>
            <w:r w:rsidRPr="00327DAE">
              <w:rPr>
                <w:sz w:val="24"/>
                <w:szCs w:val="24"/>
              </w:rPr>
              <w:t xml:space="preserve"> protesta iesniegšanai nav pamata.</w:t>
            </w:r>
          </w:p>
        </w:tc>
      </w:tr>
      <w:tr w:rsidR="00917C22" w:rsidRPr="00327DAE" w14:paraId="0A2936AE" w14:textId="77777777" w:rsidTr="00B40DAA">
        <w:trPr>
          <w:trHeight w:val="416"/>
        </w:trPr>
        <w:tc>
          <w:tcPr>
            <w:tcW w:w="562" w:type="dxa"/>
            <w:vMerge w:val="restart"/>
          </w:tcPr>
          <w:p w14:paraId="0A433D10" w14:textId="439A2842" w:rsidR="00917C22" w:rsidRPr="00327DAE" w:rsidRDefault="00140A7A" w:rsidP="0025317F">
            <w:pPr>
              <w:spacing w:after="120"/>
              <w:rPr>
                <w:b/>
                <w:sz w:val="24"/>
                <w:szCs w:val="24"/>
              </w:rPr>
            </w:pPr>
            <w:r w:rsidRPr="00327DAE">
              <w:rPr>
                <w:b/>
                <w:sz w:val="24"/>
                <w:szCs w:val="24"/>
              </w:rPr>
              <w:t>33</w:t>
            </w:r>
            <w:r w:rsidR="00917C22" w:rsidRPr="00327DAE">
              <w:rPr>
                <w:b/>
                <w:sz w:val="24"/>
                <w:szCs w:val="24"/>
              </w:rPr>
              <w:t>.</w:t>
            </w:r>
          </w:p>
        </w:tc>
        <w:tc>
          <w:tcPr>
            <w:tcW w:w="1560" w:type="dxa"/>
            <w:shd w:val="clear" w:color="auto" w:fill="auto"/>
            <w:noWrap/>
            <w:vAlign w:val="bottom"/>
            <w:hideMark/>
          </w:tcPr>
          <w:p w14:paraId="508A4DFA" w14:textId="77777777" w:rsidR="00917C22" w:rsidRPr="00327DAE" w:rsidRDefault="00917C22" w:rsidP="0025317F">
            <w:pPr>
              <w:spacing w:after="120"/>
              <w:rPr>
                <w:b/>
                <w:sz w:val="24"/>
                <w:szCs w:val="24"/>
              </w:rPr>
            </w:pPr>
            <w:r w:rsidRPr="00327DAE">
              <w:rPr>
                <w:b/>
                <w:sz w:val="24"/>
                <w:szCs w:val="24"/>
              </w:rPr>
              <w:t>C30525410</w:t>
            </w:r>
            <w:r w:rsidRPr="00327DAE">
              <w:rPr>
                <w:rStyle w:val="FootnoteReference"/>
                <w:b/>
                <w:sz w:val="24"/>
                <w:szCs w:val="24"/>
              </w:rPr>
              <w:footnoteReference w:id="33"/>
            </w:r>
          </w:p>
        </w:tc>
        <w:tc>
          <w:tcPr>
            <w:tcW w:w="2409" w:type="dxa"/>
            <w:shd w:val="clear" w:color="auto" w:fill="auto"/>
            <w:vAlign w:val="bottom"/>
            <w:hideMark/>
          </w:tcPr>
          <w:p w14:paraId="64DE4E61" w14:textId="77777777" w:rsidR="00917C22" w:rsidRPr="00327DAE" w:rsidRDefault="00917C22" w:rsidP="0025317F">
            <w:pPr>
              <w:spacing w:after="120"/>
              <w:rPr>
                <w:b/>
                <w:sz w:val="24"/>
                <w:szCs w:val="24"/>
              </w:rPr>
            </w:pPr>
          </w:p>
        </w:tc>
        <w:tc>
          <w:tcPr>
            <w:tcW w:w="3828" w:type="dxa"/>
            <w:shd w:val="clear" w:color="auto" w:fill="auto"/>
            <w:vAlign w:val="bottom"/>
            <w:hideMark/>
          </w:tcPr>
          <w:p w14:paraId="3F71C1EB" w14:textId="173219FB" w:rsidR="00917C22" w:rsidRPr="00DA5069" w:rsidRDefault="00917C22" w:rsidP="0025317F">
            <w:pPr>
              <w:pStyle w:val="Heading3"/>
            </w:pPr>
            <w:bookmarkStart w:id="46" w:name="_Toc522527520"/>
            <w:r w:rsidRPr="00DA5069">
              <w:t xml:space="preserve">SIA </w:t>
            </w:r>
            <w:r w:rsidR="001E7B78">
              <w:t>„</w:t>
            </w:r>
            <w:r w:rsidRPr="00DA5069">
              <w:t>Viesnīca „Majori”</w:t>
            </w:r>
            <w:r w:rsidR="000010BB">
              <w:t>”</w:t>
            </w:r>
            <w:r w:rsidRPr="00DA5069">
              <w:t>: Pieteikums par maksātnespējas procesa pasludināšanu</w:t>
            </w:r>
            <w:bookmarkEnd w:id="46"/>
          </w:p>
        </w:tc>
      </w:tr>
      <w:tr w:rsidR="00991915" w:rsidRPr="00327DAE" w14:paraId="3FE2964C" w14:textId="77777777" w:rsidTr="00DA5069">
        <w:trPr>
          <w:trHeight w:val="416"/>
        </w:trPr>
        <w:tc>
          <w:tcPr>
            <w:tcW w:w="562" w:type="dxa"/>
            <w:vMerge/>
          </w:tcPr>
          <w:p w14:paraId="49BE75FA" w14:textId="77777777" w:rsidR="00991915" w:rsidRPr="00327DAE" w:rsidRDefault="00991915" w:rsidP="0025317F">
            <w:pPr>
              <w:spacing w:after="120"/>
              <w:rPr>
                <w:b/>
                <w:sz w:val="24"/>
                <w:szCs w:val="24"/>
              </w:rPr>
            </w:pPr>
          </w:p>
        </w:tc>
        <w:tc>
          <w:tcPr>
            <w:tcW w:w="1560" w:type="dxa"/>
            <w:shd w:val="clear" w:color="auto" w:fill="E7E6E6" w:themeFill="background2"/>
            <w:noWrap/>
            <w:vAlign w:val="center"/>
          </w:tcPr>
          <w:p w14:paraId="2AC0E73E" w14:textId="3BC43E4D" w:rsidR="00991915" w:rsidRPr="009D11F9" w:rsidRDefault="00991915" w:rsidP="0025317F">
            <w:pPr>
              <w:spacing w:after="120"/>
              <w:rPr>
                <w:b/>
                <w:i/>
              </w:rPr>
            </w:pPr>
            <w:r w:rsidRPr="009D11F9">
              <w:rPr>
                <w:b/>
                <w:i/>
              </w:rPr>
              <w:t>Sadales datums</w:t>
            </w:r>
          </w:p>
        </w:tc>
        <w:tc>
          <w:tcPr>
            <w:tcW w:w="2409" w:type="dxa"/>
            <w:shd w:val="clear" w:color="auto" w:fill="E7E6E6" w:themeFill="background2"/>
            <w:vAlign w:val="center"/>
          </w:tcPr>
          <w:p w14:paraId="4573ECD2" w14:textId="7296EAB5"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14:paraId="0B511014" w14:textId="22B720AF" w:rsidR="00991915" w:rsidRPr="009D11F9" w:rsidRDefault="00991915" w:rsidP="0025317F">
            <w:pPr>
              <w:spacing w:after="120"/>
              <w:rPr>
                <w:b/>
                <w:i/>
              </w:rPr>
            </w:pPr>
            <w:r w:rsidRPr="009D11F9">
              <w:rPr>
                <w:b/>
                <w:i/>
              </w:rPr>
              <w:t>Lietu sadales veids/iemesls</w:t>
            </w:r>
          </w:p>
        </w:tc>
      </w:tr>
      <w:tr w:rsidR="00991915" w:rsidRPr="00327DAE" w14:paraId="5D43F3D7" w14:textId="77777777" w:rsidTr="00DA5069">
        <w:trPr>
          <w:trHeight w:val="416"/>
        </w:trPr>
        <w:tc>
          <w:tcPr>
            <w:tcW w:w="562" w:type="dxa"/>
            <w:vMerge/>
          </w:tcPr>
          <w:p w14:paraId="22059145"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4AA2B585" w14:textId="556D30F2" w:rsidR="00991915" w:rsidRPr="009D11F9" w:rsidRDefault="00991915" w:rsidP="0025317F">
            <w:pPr>
              <w:spacing w:after="120"/>
              <w:rPr>
                <w:i/>
              </w:rPr>
            </w:pPr>
            <w:r w:rsidRPr="009D11F9">
              <w:rPr>
                <w:i/>
              </w:rPr>
              <w:t>14.06.2010</w:t>
            </w:r>
          </w:p>
        </w:tc>
        <w:tc>
          <w:tcPr>
            <w:tcW w:w="2409" w:type="dxa"/>
            <w:shd w:val="clear" w:color="auto" w:fill="E7E6E6" w:themeFill="background2"/>
            <w:vAlign w:val="bottom"/>
          </w:tcPr>
          <w:p w14:paraId="5F1A84A8" w14:textId="4499C0DF" w:rsidR="00991915" w:rsidRPr="009D11F9" w:rsidRDefault="00991915" w:rsidP="0025317F">
            <w:pPr>
              <w:spacing w:after="120"/>
              <w:rPr>
                <w:i/>
              </w:rPr>
            </w:pPr>
            <w:r w:rsidRPr="009D11F9">
              <w:rPr>
                <w:i/>
              </w:rPr>
              <w:t xml:space="preserve">Antra </w:t>
            </w:r>
            <w:proofErr w:type="spellStart"/>
            <w:r w:rsidRPr="009D11F9">
              <w:rPr>
                <w:i/>
              </w:rPr>
              <w:t>Zute</w:t>
            </w:r>
            <w:proofErr w:type="spellEnd"/>
          </w:p>
        </w:tc>
        <w:tc>
          <w:tcPr>
            <w:tcW w:w="3828" w:type="dxa"/>
            <w:shd w:val="clear" w:color="auto" w:fill="E7E6E6" w:themeFill="background2"/>
            <w:vAlign w:val="bottom"/>
          </w:tcPr>
          <w:p w14:paraId="17601CF7" w14:textId="7AA8588D" w:rsidR="00991915" w:rsidRPr="009D11F9" w:rsidRDefault="00991915" w:rsidP="0025317F">
            <w:pPr>
              <w:spacing w:after="120"/>
              <w:rPr>
                <w:i/>
              </w:rPr>
            </w:pPr>
            <w:r w:rsidRPr="009D11F9">
              <w:rPr>
                <w:i/>
              </w:rPr>
              <w:t>Datorizēta lietu sadale</w:t>
            </w:r>
          </w:p>
        </w:tc>
      </w:tr>
      <w:tr w:rsidR="00991915" w:rsidRPr="00327DAE" w14:paraId="2A07E5A5" w14:textId="77777777" w:rsidTr="00DA5069">
        <w:trPr>
          <w:trHeight w:val="416"/>
        </w:trPr>
        <w:tc>
          <w:tcPr>
            <w:tcW w:w="562" w:type="dxa"/>
            <w:vMerge/>
          </w:tcPr>
          <w:p w14:paraId="0A75C4F2" w14:textId="77777777" w:rsidR="00991915" w:rsidRPr="00327DAE" w:rsidRDefault="00991915" w:rsidP="0025317F">
            <w:pPr>
              <w:spacing w:after="120"/>
              <w:rPr>
                <w:b/>
                <w:sz w:val="24"/>
                <w:szCs w:val="24"/>
              </w:rPr>
            </w:pPr>
          </w:p>
        </w:tc>
        <w:tc>
          <w:tcPr>
            <w:tcW w:w="1560" w:type="dxa"/>
            <w:shd w:val="clear" w:color="auto" w:fill="E7E6E6" w:themeFill="background2"/>
            <w:noWrap/>
            <w:vAlign w:val="bottom"/>
          </w:tcPr>
          <w:p w14:paraId="631121B9" w14:textId="275A117C" w:rsidR="00991915" w:rsidRPr="009D11F9" w:rsidRDefault="00991915" w:rsidP="0025317F">
            <w:pPr>
              <w:spacing w:after="120"/>
              <w:rPr>
                <w:i/>
              </w:rPr>
            </w:pPr>
            <w:r w:rsidRPr="009D11F9">
              <w:rPr>
                <w:i/>
              </w:rPr>
              <w:t>14.06.2010</w:t>
            </w:r>
          </w:p>
        </w:tc>
        <w:tc>
          <w:tcPr>
            <w:tcW w:w="2409" w:type="dxa"/>
            <w:shd w:val="clear" w:color="auto" w:fill="E7E6E6" w:themeFill="background2"/>
            <w:vAlign w:val="bottom"/>
          </w:tcPr>
          <w:p w14:paraId="2347B4AE" w14:textId="455D8A0E" w:rsidR="00991915" w:rsidRPr="009D11F9" w:rsidRDefault="00991915" w:rsidP="0025317F">
            <w:pPr>
              <w:spacing w:after="120"/>
              <w:rPr>
                <w:i/>
              </w:rPr>
            </w:pPr>
            <w:r w:rsidRPr="009D11F9">
              <w:rPr>
                <w:i/>
              </w:rPr>
              <w:t xml:space="preserve">Iveta </w:t>
            </w:r>
            <w:proofErr w:type="spellStart"/>
            <w:r w:rsidRPr="009D11F9">
              <w:rPr>
                <w:i/>
              </w:rPr>
              <w:t>Krēvica</w:t>
            </w:r>
            <w:proofErr w:type="spellEnd"/>
          </w:p>
        </w:tc>
        <w:tc>
          <w:tcPr>
            <w:tcW w:w="3828" w:type="dxa"/>
            <w:shd w:val="clear" w:color="auto" w:fill="E7E6E6" w:themeFill="background2"/>
            <w:vAlign w:val="bottom"/>
          </w:tcPr>
          <w:p w14:paraId="10EB32C8" w14:textId="77D0AE33" w:rsidR="00991915" w:rsidRPr="009D11F9" w:rsidRDefault="00991915" w:rsidP="0025317F">
            <w:pPr>
              <w:spacing w:after="120"/>
              <w:rPr>
                <w:i/>
              </w:rPr>
            </w:pPr>
            <w:r w:rsidRPr="009D11F9">
              <w:rPr>
                <w:i/>
              </w:rPr>
              <w:t>Manuāla lietu sadale - rezolūcija</w:t>
            </w:r>
          </w:p>
        </w:tc>
      </w:tr>
      <w:tr w:rsidR="00917C22" w:rsidRPr="00327DAE" w14:paraId="5C49D38E" w14:textId="77777777" w:rsidTr="00B40DAA">
        <w:trPr>
          <w:trHeight w:val="416"/>
        </w:trPr>
        <w:tc>
          <w:tcPr>
            <w:tcW w:w="562" w:type="dxa"/>
            <w:vMerge/>
          </w:tcPr>
          <w:p w14:paraId="6A2370AC" w14:textId="77777777" w:rsidR="00917C22" w:rsidRPr="00327DAE" w:rsidRDefault="00917C22" w:rsidP="0025317F">
            <w:pPr>
              <w:spacing w:after="120"/>
              <w:rPr>
                <w:sz w:val="24"/>
                <w:szCs w:val="24"/>
              </w:rPr>
            </w:pPr>
          </w:p>
        </w:tc>
        <w:tc>
          <w:tcPr>
            <w:tcW w:w="7797" w:type="dxa"/>
            <w:gridSpan w:val="3"/>
            <w:shd w:val="clear" w:color="auto" w:fill="auto"/>
            <w:noWrap/>
            <w:vAlign w:val="bottom"/>
          </w:tcPr>
          <w:p w14:paraId="4846B991" w14:textId="402EBE1C" w:rsidR="00917C22" w:rsidRPr="00327DAE" w:rsidRDefault="00917C22" w:rsidP="0025317F">
            <w:pPr>
              <w:spacing w:after="120"/>
              <w:rPr>
                <w:sz w:val="24"/>
                <w:szCs w:val="24"/>
              </w:rPr>
            </w:pPr>
            <w:r w:rsidRPr="00327DAE">
              <w:rPr>
                <w:sz w:val="24"/>
                <w:szCs w:val="24"/>
              </w:rPr>
              <w:t xml:space="preserve">Protests par tiesneses pieņemtajiem lēmumiem </w:t>
            </w:r>
            <w:r w:rsidR="00536A07" w:rsidRPr="00327DAE">
              <w:rPr>
                <w:sz w:val="24"/>
                <w:szCs w:val="24"/>
              </w:rPr>
              <w:t>Augstākajā tiesā nav iesniegts.</w:t>
            </w:r>
          </w:p>
        </w:tc>
      </w:tr>
      <w:tr w:rsidR="00917C22" w:rsidRPr="00327DAE" w14:paraId="4DC05EC4" w14:textId="77777777" w:rsidTr="00B40DAA">
        <w:trPr>
          <w:trHeight w:val="416"/>
        </w:trPr>
        <w:tc>
          <w:tcPr>
            <w:tcW w:w="562" w:type="dxa"/>
            <w:vMerge/>
            <w:tcBorders>
              <w:bottom w:val="single" w:sz="4" w:space="0" w:color="auto"/>
            </w:tcBorders>
          </w:tcPr>
          <w:p w14:paraId="1745CD4C" w14:textId="77777777" w:rsidR="00917C22" w:rsidRPr="00327DAE" w:rsidRDefault="00917C22" w:rsidP="0025317F">
            <w:pPr>
              <w:spacing w:after="120"/>
              <w:rPr>
                <w:sz w:val="24"/>
                <w:szCs w:val="24"/>
              </w:rPr>
            </w:pPr>
          </w:p>
        </w:tc>
        <w:tc>
          <w:tcPr>
            <w:tcW w:w="7797" w:type="dxa"/>
            <w:gridSpan w:val="3"/>
            <w:tcBorders>
              <w:bottom w:val="single" w:sz="4" w:space="0" w:color="auto"/>
            </w:tcBorders>
            <w:shd w:val="clear" w:color="auto" w:fill="auto"/>
            <w:noWrap/>
            <w:vAlign w:val="bottom"/>
          </w:tcPr>
          <w:p w14:paraId="6BE1A6DC" w14:textId="77777777" w:rsidR="00917C22" w:rsidRPr="00327DAE" w:rsidRDefault="00917C22" w:rsidP="0025317F">
            <w:pPr>
              <w:spacing w:after="120"/>
              <w:rPr>
                <w:i/>
                <w:sz w:val="24"/>
                <w:szCs w:val="24"/>
              </w:rPr>
            </w:pPr>
            <w:r w:rsidRPr="00327DAE">
              <w:rPr>
                <w:i/>
                <w:sz w:val="24"/>
                <w:szCs w:val="24"/>
              </w:rPr>
              <w:t>Ekspertu secinājumi</w:t>
            </w:r>
          </w:p>
          <w:p w14:paraId="49FE9F34" w14:textId="5471DB3F" w:rsidR="001D0C89" w:rsidRPr="00327DAE" w:rsidRDefault="001D0C89" w:rsidP="0025317F">
            <w:pPr>
              <w:spacing w:after="120"/>
              <w:rPr>
                <w:sz w:val="24"/>
                <w:szCs w:val="24"/>
              </w:rPr>
            </w:pPr>
            <w:r w:rsidRPr="00327DAE">
              <w:rPr>
                <w:sz w:val="24"/>
                <w:szCs w:val="24"/>
              </w:rPr>
              <w:t>Šajā lietā ĀTAP procedūra izmantota, lai izvairītos no īpašuma pārdošanas izsolē, tād</w:t>
            </w:r>
            <w:r w:rsidR="000010BB">
              <w:rPr>
                <w:sz w:val="24"/>
                <w:szCs w:val="24"/>
              </w:rPr>
              <w:t>ē</w:t>
            </w:r>
            <w:r w:rsidRPr="00327DAE">
              <w:rPr>
                <w:sz w:val="24"/>
                <w:szCs w:val="24"/>
              </w:rPr>
              <w:t>jādi pretdarbojoties bankas īstenotai nekustamā īpašuma ātrai realizācijai. Tas arī pamato bankas kā nodrošinātā kreditora sākotnējo attieksmi pret plānu</w:t>
            </w:r>
            <w:r w:rsidR="000010BB">
              <w:rPr>
                <w:sz w:val="24"/>
                <w:szCs w:val="24"/>
              </w:rPr>
              <w:t>,</w:t>
            </w:r>
            <w:r w:rsidRPr="00327DAE">
              <w:rPr>
                <w:sz w:val="24"/>
                <w:szCs w:val="24"/>
              </w:rPr>
              <w:t xml:space="preserve"> to nesaskaņojot un iesniedzot sūdzības. Publikācijā aprakstītais neapstiprinās, jo maksātnespējas procesā bijušas vairākas sanācijas, tomēr beigās, mantu pārdodot, kreditora prasība segta. </w:t>
            </w:r>
          </w:p>
          <w:p w14:paraId="7356AB0E" w14:textId="77777777" w:rsidR="00917C22" w:rsidRPr="00327DAE" w:rsidRDefault="00917C22" w:rsidP="0025317F">
            <w:pPr>
              <w:spacing w:after="120"/>
              <w:rPr>
                <w:sz w:val="24"/>
                <w:szCs w:val="24"/>
              </w:rPr>
            </w:pPr>
            <w:r w:rsidRPr="00327DAE">
              <w:rPr>
                <w:sz w:val="24"/>
                <w:szCs w:val="24"/>
              </w:rPr>
              <w:t>Tiesnese izlēmusi visus pieteiktos pieteikumus, kā arī iesniegtās sūdzības par administratora lēmumiem, tās apmierinot.</w:t>
            </w:r>
          </w:p>
          <w:p w14:paraId="5EED3969" w14:textId="77777777" w:rsidR="00917C22" w:rsidRPr="00327DAE" w:rsidRDefault="00917C22" w:rsidP="0025317F">
            <w:pPr>
              <w:spacing w:after="120"/>
              <w:rPr>
                <w:sz w:val="24"/>
                <w:szCs w:val="24"/>
              </w:rPr>
            </w:pPr>
            <w:r w:rsidRPr="00327DAE">
              <w:rPr>
                <w:sz w:val="24"/>
                <w:szCs w:val="24"/>
              </w:rPr>
              <w:t xml:space="preserve">Maksātnespējas process noticis likumā noteiktajās robežās, pat vairākkārtēju sanācijas plānu iesniegšana nenozīmē, ka tiesnesim būtu jāveic kādas darbības </w:t>
            </w:r>
            <w:proofErr w:type="spellStart"/>
            <w:r w:rsidRPr="00327DAE">
              <w:rPr>
                <w:i/>
                <w:sz w:val="24"/>
                <w:szCs w:val="24"/>
              </w:rPr>
              <w:t>ex</w:t>
            </w:r>
            <w:proofErr w:type="spellEnd"/>
            <w:r w:rsidRPr="00327DAE">
              <w:rPr>
                <w:i/>
                <w:sz w:val="24"/>
                <w:szCs w:val="24"/>
              </w:rPr>
              <w:t xml:space="preserve"> </w:t>
            </w:r>
            <w:proofErr w:type="spellStart"/>
            <w:r w:rsidRPr="00327DAE">
              <w:rPr>
                <w:i/>
                <w:sz w:val="24"/>
                <w:szCs w:val="24"/>
              </w:rPr>
              <w:t>officio</w:t>
            </w:r>
            <w:proofErr w:type="spellEnd"/>
            <w:r w:rsidRPr="00327DAE">
              <w:rPr>
                <w:sz w:val="24"/>
                <w:szCs w:val="24"/>
              </w:rPr>
              <w:t xml:space="preserve">. </w:t>
            </w:r>
          </w:p>
        </w:tc>
      </w:tr>
      <w:tr w:rsidR="00917C22" w:rsidRPr="00327DAE" w14:paraId="4BDB03D9" w14:textId="77777777" w:rsidTr="00B40DAA">
        <w:trPr>
          <w:trHeight w:val="416"/>
        </w:trPr>
        <w:tc>
          <w:tcPr>
            <w:tcW w:w="562" w:type="dxa"/>
            <w:tcBorders>
              <w:bottom w:val="single" w:sz="4" w:space="0" w:color="auto"/>
            </w:tcBorders>
          </w:tcPr>
          <w:p w14:paraId="68005513" w14:textId="77777777" w:rsidR="00917C22" w:rsidRPr="00327DAE" w:rsidRDefault="00917C22" w:rsidP="0025317F">
            <w:pPr>
              <w:spacing w:after="120"/>
              <w:rPr>
                <w:sz w:val="24"/>
                <w:szCs w:val="24"/>
              </w:rPr>
            </w:pPr>
          </w:p>
        </w:tc>
        <w:tc>
          <w:tcPr>
            <w:tcW w:w="7797" w:type="dxa"/>
            <w:gridSpan w:val="3"/>
            <w:tcBorders>
              <w:bottom w:val="single" w:sz="4" w:space="0" w:color="auto"/>
            </w:tcBorders>
            <w:shd w:val="clear" w:color="auto" w:fill="auto"/>
            <w:noWrap/>
            <w:vAlign w:val="bottom"/>
          </w:tcPr>
          <w:p w14:paraId="3E7CEB5B" w14:textId="32CC9F12" w:rsidR="00917C22" w:rsidRPr="00327DAE" w:rsidRDefault="00917C22" w:rsidP="0025317F">
            <w:pPr>
              <w:spacing w:after="120"/>
              <w:rPr>
                <w:i/>
                <w:sz w:val="24"/>
                <w:szCs w:val="24"/>
              </w:rPr>
            </w:pPr>
            <w:r w:rsidRPr="00E27399">
              <w:rPr>
                <w:i/>
                <w:sz w:val="24"/>
                <w:szCs w:val="24"/>
              </w:rPr>
              <w:t xml:space="preserve">Apkopojoši ekspertu secinājumi par tiesneses </w:t>
            </w:r>
            <w:r w:rsidR="00922310">
              <w:rPr>
                <w:i/>
                <w:sz w:val="24"/>
                <w:szCs w:val="24"/>
              </w:rPr>
              <w:t>I. </w:t>
            </w:r>
            <w:proofErr w:type="spellStart"/>
            <w:r w:rsidRPr="00E27399">
              <w:rPr>
                <w:i/>
                <w:sz w:val="24"/>
                <w:szCs w:val="24"/>
              </w:rPr>
              <w:t>Krēvicas</w:t>
            </w:r>
            <w:proofErr w:type="spellEnd"/>
            <w:r w:rsidRPr="00E27399">
              <w:rPr>
                <w:i/>
                <w:sz w:val="24"/>
                <w:szCs w:val="24"/>
              </w:rPr>
              <w:t xml:space="preserve"> nolēmumiem:</w:t>
            </w:r>
          </w:p>
          <w:p w14:paraId="19EA480E" w14:textId="7655C508" w:rsidR="0073320A" w:rsidRPr="00E27399" w:rsidRDefault="0073320A" w:rsidP="0025317F">
            <w:pPr>
              <w:spacing w:after="120"/>
              <w:rPr>
                <w:sz w:val="24"/>
                <w:szCs w:val="24"/>
              </w:rPr>
            </w:pPr>
            <w:r w:rsidRPr="00E27399">
              <w:rPr>
                <w:sz w:val="24"/>
                <w:szCs w:val="24"/>
              </w:rPr>
              <w:lastRenderedPageBreak/>
              <w:t xml:space="preserve">Tiesnese </w:t>
            </w:r>
            <w:r w:rsidR="00FD0FC9">
              <w:rPr>
                <w:sz w:val="24"/>
                <w:szCs w:val="24"/>
              </w:rPr>
              <w:t>I. </w:t>
            </w:r>
            <w:proofErr w:type="spellStart"/>
            <w:r w:rsidRPr="00E27399">
              <w:rPr>
                <w:sz w:val="24"/>
                <w:szCs w:val="24"/>
              </w:rPr>
              <w:t>Krēvica</w:t>
            </w:r>
            <w:proofErr w:type="spellEnd"/>
            <w:r w:rsidRPr="00E27399">
              <w:rPr>
                <w:sz w:val="24"/>
                <w:szCs w:val="24"/>
              </w:rPr>
              <w:t xml:space="preserve"> 2008.</w:t>
            </w:r>
            <w:r w:rsidR="000010BB">
              <w:rPr>
                <w:sz w:val="24"/>
                <w:szCs w:val="24"/>
              </w:rPr>
              <w:t>–</w:t>
            </w:r>
            <w:proofErr w:type="gramStart"/>
            <w:r w:rsidRPr="00E27399">
              <w:rPr>
                <w:sz w:val="24"/>
                <w:szCs w:val="24"/>
              </w:rPr>
              <w:t>2014.gad</w:t>
            </w:r>
            <w:r w:rsidR="000010BB">
              <w:rPr>
                <w:sz w:val="24"/>
                <w:szCs w:val="24"/>
              </w:rPr>
              <w:t>ā</w:t>
            </w:r>
            <w:proofErr w:type="gramEnd"/>
            <w:r w:rsidRPr="00E27399">
              <w:rPr>
                <w:sz w:val="24"/>
                <w:szCs w:val="24"/>
              </w:rPr>
              <w:t xml:space="preserve"> izskatījusi 606 lietas, no tām 599 civillietas. TIS šajā laika posmā civillietās pievienoti 5287 nolēmumi. Kasācijas instancē saņemti protesti par 6 nolēmumiem (un 1 protests palicis neizskatīts no iepriekšējā perioda). Šajā laika periodā 6 nolēmumi atcelti pilnīgi vai daļēji un jautājums nosūtīts jaunai izskatīšanai.</w:t>
            </w:r>
            <w:r w:rsidR="00443874" w:rsidRPr="00E27399">
              <w:rPr>
                <w:sz w:val="24"/>
                <w:szCs w:val="24"/>
              </w:rPr>
              <w:t xml:space="preserve"> No apskatītajām 5 lietām </w:t>
            </w:r>
            <w:r w:rsidR="001409AA" w:rsidRPr="00E27399">
              <w:rPr>
                <w:sz w:val="24"/>
                <w:szCs w:val="24"/>
              </w:rPr>
              <w:t>1 konstatējama nopietna kļūda.</w:t>
            </w:r>
          </w:p>
        </w:tc>
      </w:tr>
    </w:tbl>
    <w:p w14:paraId="4F538FA3" w14:textId="77777777" w:rsidR="00917C22" w:rsidRPr="00327DAE" w:rsidRDefault="00917C22" w:rsidP="0025317F">
      <w:pPr>
        <w:spacing w:after="120"/>
        <w:rPr>
          <w:sz w:val="24"/>
          <w:szCs w:val="24"/>
        </w:rPr>
      </w:pPr>
    </w:p>
    <w:p w14:paraId="1BC85589" w14:textId="5C401CF3" w:rsidR="002D7D2C" w:rsidRPr="00327DAE" w:rsidRDefault="002D7D2C" w:rsidP="0025317F">
      <w:pPr>
        <w:pStyle w:val="Heading2"/>
        <w:rPr>
          <w:rFonts w:cs="Times New Roman"/>
          <w:szCs w:val="24"/>
        </w:rPr>
      </w:pPr>
      <w:bookmarkStart w:id="47" w:name="_Toc518292276"/>
      <w:bookmarkStart w:id="48" w:name="_Toc522527521"/>
      <w:r w:rsidRPr="00327DAE">
        <w:rPr>
          <w:rFonts w:cs="Times New Roman"/>
          <w:szCs w:val="24"/>
        </w:rPr>
        <w:t>Tiesnesis Dainis Plaudis</w:t>
      </w:r>
      <w:bookmarkEnd w:id="47"/>
      <w:bookmarkEnd w:id="48"/>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A61EB0" w:rsidRPr="00327DAE" w14:paraId="4B3934F8" w14:textId="77777777" w:rsidTr="00A75539">
        <w:trPr>
          <w:trHeight w:val="326"/>
        </w:trPr>
        <w:tc>
          <w:tcPr>
            <w:tcW w:w="562" w:type="dxa"/>
            <w:vMerge w:val="restart"/>
          </w:tcPr>
          <w:p w14:paraId="5AE282C1" w14:textId="0C480909" w:rsidR="00A61EB0" w:rsidRPr="00327DAE" w:rsidRDefault="00140A7A" w:rsidP="0025317F">
            <w:pPr>
              <w:spacing w:after="120"/>
              <w:rPr>
                <w:b/>
                <w:sz w:val="24"/>
                <w:szCs w:val="24"/>
              </w:rPr>
            </w:pPr>
            <w:r w:rsidRPr="00327DAE">
              <w:rPr>
                <w:b/>
                <w:sz w:val="24"/>
                <w:szCs w:val="24"/>
              </w:rPr>
              <w:t>34</w:t>
            </w:r>
            <w:r w:rsidR="00A61EB0" w:rsidRPr="00327DAE">
              <w:rPr>
                <w:b/>
                <w:sz w:val="24"/>
                <w:szCs w:val="24"/>
              </w:rPr>
              <w:t>.</w:t>
            </w:r>
          </w:p>
        </w:tc>
        <w:tc>
          <w:tcPr>
            <w:tcW w:w="1701" w:type="dxa"/>
            <w:shd w:val="clear" w:color="auto" w:fill="auto"/>
            <w:noWrap/>
            <w:vAlign w:val="bottom"/>
            <w:hideMark/>
          </w:tcPr>
          <w:p w14:paraId="3EBF1096" w14:textId="77777777" w:rsidR="00A61EB0" w:rsidRPr="00327DAE" w:rsidRDefault="00A61EB0" w:rsidP="0025317F">
            <w:pPr>
              <w:spacing w:after="120"/>
              <w:rPr>
                <w:b/>
                <w:sz w:val="24"/>
                <w:szCs w:val="24"/>
              </w:rPr>
            </w:pPr>
            <w:r w:rsidRPr="00327DAE">
              <w:rPr>
                <w:b/>
                <w:sz w:val="24"/>
                <w:szCs w:val="24"/>
              </w:rPr>
              <w:t>C24103109</w:t>
            </w:r>
            <w:r w:rsidRPr="00327DAE">
              <w:rPr>
                <w:rStyle w:val="FootnoteReference"/>
                <w:b/>
                <w:sz w:val="24"/>
                <w:szCs w:val="24"/>
              </w:rPr>
              <w:footnoteReference w:id="34"/>
            </w:r>
          </w:p>
          <w:p w14:paraId="42EC289A" w14:textId="77777777" w:rsidR="00A61EB0" w:rsidRPr="00327DAE" w:rsidRDefault="00AB4F91" w:rsidP="0025317F">
            <w:pPr>
              <w:spacing w:after="120"/>
              <w:rPr>
                <w:b/>
                <w:sz w:val="24"/>
                <w:szCs w:val="24"/>
              </w:rPr>
            </w:pPr>
            <w:hyperlink r:id="rId11" w:history="1">
              <w:r w:rsidR="00A57C3A" w:rsidRPr="00327DAE">
                <w:rPr>
                  <w:b/>
                  <w:sz w:val="24"/>
                  <w:szCs w:val="24"/>
                </w:rPr>
                <w:t>SPC-180/20</w:t>
              </w:r>
              <w:r w:rsidR="00A61EB0" w:rsidRPr="00327DAE">
                <w:rPr>
                  <w:b/>
                  <w:sz w:val="24"/>
                  <w:szCs w:val="24"/>
                </w:rPr>
                <w:t>10</w:t>
              </w:r>
            </w:hyperlink>
          </w:p>
        </w:tc>
        <w:tc>
          <w:tcPr>
            <w:tcW w:w="2410" w:type="dxa"/>
            <w:shd w:val="clear" w:color="auto" w:fill="auto"/>
            <w:vAlign w:val="bottom"/>
            <w:hideMark/>
          </w:tcPr>
          <w:p w14:paraId="78DE7B2D" w14:textId="77777777" w:rsidR="00A61EB0" w:rsidRPr="00327DAE" w:rsidRDefault="00A61EB0" w:rsidP="0025317F">
            <w:pPr>
              <w:spacing w:after="120"/>
              <w:rPr>
                <w:b/>
                <w:sz w:val="24"/>
                <w:szCs w:val="24"/>
              </w:rPr>
            </w:pPr>
            <w:r w:rsidRPr="00327DAE">
              <w:rPr>
                <w:b/>
                <w:sz w:val="24"/>
                <w:szCs w:val="24"/>
              </w:rPr>
              <w:t>30.09.2009. spriedums, 07.01.2010. lēmums</w:t>
            </w:r>
          </w:p>
        </w:tc>
        <w:tc>
          <w:tcPr>
            <w:tcW w:w="3686" w:type="dxa"/>
            <w:shd w:val="clear" w:color="auto" w:fill="auto"/>
            <w:vAlign w:val="bottom"/>
            <w:hideMark/>
          </w:tcPr>
          <w:p w14:paraId="0A286862" w14:textId="77777777" w:rsidR="00A61EB0" w:rsidRPr="00327DAE" w:rsidRDefault="00A61EB0" w:rsidP="0025317F">
            <w:pPr>
              <w:pStyle w:val="Heading3"/>
            </w:pPr>
            <w:bookmarkStart w:id="49" w:name="_Toc522527522"/>
            <w:r w:rsidRPr="00327DAE">
              <w:t>Fiziskās personas maksātnespējas pieteikums</w:t>
            </w:r>
            <w:bookmarkEnd w:id="49"/>
          </w:p>
        </w:tc>
      </w:tr>
      <w:tr w:rsidR="00747072" w:rsidRPr="00327DAE" w14:paraId="53250AC4" w14:textId="77777777" w:rsidTr="00DA5069">
        <w:trPr>
          <w:trHeight w:val="326"/>
        </w:trPr>
        <w:tc>
          <w:tcPr>
            <w:tcW w:w="562" w:type="dxa"/>
            <w:vMerge/>
          </w:tcPr>
          <w:p w14:paraId="5D18F413"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594E974B" w14:textId="39B6A449"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02669D0F" w14:textId="20E7042D" w:rsidR="00747072" w:rsidRPr="00DA5069" w:rsidRDefault="00747072" w:rsidP="0025317F">
            <w:pPr>
              <w:spacing w:after="120"/>
              <w:rPr>
                <w:b/>
                <w:i/>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370EF04A" w14:textId="7C3EB7B9" w:rsidR="00747072" w:rsidRPr="00DA5069" w:rsidRDefault="00747072" w:rsidP="0025317F">
            <w:pPr>
              <w:spacing w:after="120"/>
              <w:rPr>
                <w:b/>
                <w:i/>
              </w:rPr>
            </w:pPr>
            <w:r w:rsidRPr="00DA5069">
              <w:rPr>
                <w:b/>
                <w:bCs/>
                <w:i/>
                <w:color w:val="000000"/>
              </w:rPr>
              <w:t>Lietu sadales veids/iemesls</w:t>
            </w:r>
          </w:p>
        </w:tc>
      </w:tr>
      <w:tr w:rsidR="00747072" w:rsidRPr="00327DAE" w14:paraId="2A891B37" w14:textId="77777777" w:rsidTr="00DA5069">
        <w:trPr>
          <w:trHeight w:val="326"/>
        </w:trPr>
        <w:tc>
          <w:tcPr>
            <w:tcW w:w="562" w:type="dxa"/>
            <w:vMerge/>
          </w:tcPr>
          <w:p w14:paraId="16194912"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375769CB" w14:textId="31E7D891" w:rsidR="00747072" w:rsidRPr="00DA5069" w:rsidRDefault="00747072" w:rsidP="0025317F">
            <w:pPr>
              <w:spacing w:after="120"/>
              <w:rPr>
                <w:i/>
              </w:rPr>
            </w:pPr>
            <w:r w:rsidRPr="00DA5069">
              <w:rPr>
                <w:i/>
                <w:color w:val="000000"/>
              </w:rPr>
              <w:t>18.06.2009</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2F826FAE" w14:textId="266BFCDB" w:rsidR="00747072" w:rsidRPr="00DA5069" w:rsidRDefault="00747072" w:rsidP="0025317F">
            <w:pPr>
              <w:spacing w:after="120"/>
              <w:rPr>
                <w:i/>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3A03455F" w14:textId="17D030A8" w:rsidR="00747072" w:rsidRPr="00DA5069" w:rsidRDefault="00747072" w:rsidP="0025317F">
            <w:pPr>
              <w:spacing w:after="120"/>
              <w:rPr>
                <w:i/>
              </w:rPr>
            </w:pPr>
            <w:r w:rsidRPr="00DA5069">
              <w:rPr>
                <w:i/>
                <w:color w:val="000000"/>
              </w:rPr>
              <w:t xml:space="preserve">Datorizēta lietu sadale. </w:t>
            </w:r>
          </w:p>
        </w:tc>
      </w:tr>
      <w:tr w:rsidR="00315FEF" w:rsidRPr="00327DAE" w14:paraId="25EE3378" w14:textId="77777777" w:rsidTr="00A75539">
        <w:trPr>
          <w:trHeight w:val="326"/>
        </w:trPr>
        <w:tc>
          <w:tcPr>
            <w:tcW w:w="562" w:type="dxa"/>
            <w:vMerge/>
          </w:tcPr>
          <w:p w14:paraId="6CB1DEDD"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674DF509" w14:textId="185C8CCC" w:rsidR="00B831FB" w:rsidRPr="00327DAE" w:rsidRDefault="00B831FB" w:rsidP="0025317F">
            <w:pPr>
              <w:spacing w:after="120"/>
              <w:rPr>
                <w:i/>
                <w:sz w:val="24"/>
                <w:szCs w:val="24"/>
              </w:rPr>
            </w:pPr>
            <w:r w:rsidRPr="00327DAE">
              <w:rPr>
                <w:i/>
                <w:sz w:val="24"/>
                <w:szCs w:val="24"/>
              </w:rPr>
              <w:t>Augstākās tiesas norādītais pamats nolēmumu atcelšanai</w:t>
            </w:r>
          </w:p>
          <w:p w14:paraId="1CC80DD5" w14:textId="40804456" w:rsidR="00315FEF" w:rsidRPr="00327DAE" w:rsidRDefault="00315FEF" w:rsidP="0025317F">
            <w:pPr>
              <w:spacing w:after="120"/>
              <w:rPr>
                <w:sz w:val="24"/>
                <w:szCs w:val="24"/>
              </w:rPr>
            </w:pPr>
            <w:r w:rsidRPr="00327DAE">
              <w:rPr>
                <w:sz w:val="24"/>
                <w:szCs w:val="24"/>
              </w:rPr>
              <w:t>Tiesa spriedumā nav vērtējusi un apsvērusi darījumus ar parādniecei piederošajiem nekustamajiem īpašumiem, kuri notikuši mazāk nekā triju gadu laikā pirms maksātnespējas procesa ierosināšanas</w:t>
            </w:r>
            <w:r w:rsidR="00951D10">
              <w:rPr>
                <w:sz w:val="24"/>
                <w:szCs w:val="24"/>
              </w:rPr>
              <w:t>.</w:t>
            </w:r>
            <w:r w:rsidRPr="00327DAE">
              <w:rPr>
                <w:sz w:val="24"/>
                <w:szCs w:val="24"/>
              </w:rPr>
              <w:t xml:space="preserve"> </w:t>
            </w:r>
            <w:r w:rsidR="00951D10">
              <w:rPr>
                <w:sz w:val="24"/>
                <w:szCs w:val="24"/>
              </w:rPr>
              <w:t>V</w:t>
            </w:r>
            <w:r w:rsidRPr="00327DAE">
              <w:rPr>
                <w:sz w:val="24"/>
                <w:szCs w:val="24"/>
              </w:rPr>
              <w:t xml:space="preserve">iens darījums veikts astoņas dienas pirms maksātnespējas procesa ierosināšanas, bet otrs – jau maksātnespējas procesa ierosināšanas dienā. </w:t>
            </w:r>
          </w:p>
          <w:p w14:paraId="41C772AE" w14:textId="77777777" w:rsidR="00315FEF" w:rsidRPr="00327DAE" w:rsidRDefault="00315FEF" w:rsidP="0025317F">
            <w:pPr>
              <w:spacing w:after="120"/>
              <w:rPr>
                <w:sz w:val="24"/>
                <w:szCs w:val="24"/>
              </w:rPr>
            </w:pPr>
            <w:r w:rsidRPr="00327DAE">
              <w:rPr>
                <w:sz w:val="24"/>
                <w:szCs w:val="24"/>
              </w:rPr>
              <w:t>Tiesa nav noskaidrojusi, kur izlietota nauda, kas iegūta no darījumiem ar nekustamajiem īpašumiem.</w:t>
            </w:r>
          </w:p>
          <w:p w14:paraId="31124BAF" w14:textId="74D44C43" w:rsidR="00315FEF" w:rsidRPr="00327DAE" w:rsidRDefault="00315FEF" w:rsidP="0025317F">
            <w:pPr>
              <w:spacing w:after="120"/>
              <w:rPr>
                <w:sz w:val="24"/>
                <w:szCs w:val="24"/>
              </w:rPr>
            </w:pPr>
            <w:r w:rsidRPr="00327DAE">
              <w:rPr>
                <w:sz w:val="24"/>
                <w:szCs w:val="24"/>
              </w:rPr>
              <w:t xml:space="preserve">Tiesa nav vērtējusi plāna un tā grozījumu atbilstību </w:t>
            </w:r>
            <w:r w:rsidR="00536A07" w:rsidRPr="00327DAE">
              <w:rPr>
                <w:sz w:val="24"/>
                <w:szCs w:val="24"/>
              </w:rPr>
              <w:t>Maksātnespējas likuma prasībām.</w:t>
            </w:r>
          </w:p>
        </w:tc>
      </w:tr>
      <w:tr w:rsidR="00315FEF" w:rsidRPr="00327DAE" w14:paraId="0D714E97" w14:textId="77777777" w:rsidTr="00A75539">
        <w:trPr>
          <w:trHeight w:val="326"/>
        </w:trPr>
        <w:tc>
          <w:tcPr>
            <w:tcW w:w="562" w:type="dxa"/>
            <w:vMerge/>
          </w:tcPr>
          <w:p w14:paraId="3E395397"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3848AF42" w14:textId="77777777" w:rsidR="00315FEF" w:rsidRPr="00327DAE" w:rsidRDefault="00315FEF" w:rsidP="0025317F">
            <w:pPr>
              <w:spacing w:after="120"/>
              <w:rPr>
                <w:i/>
                <w:sz w:val="24"/>
                <w:szCs w:val="24"/>
              </w:rPr>
            </w:pPr>
            <w:r w:rsidRPr="00327DAE">
              <w:rPr>
                <w:i/>
                <w:sz w:val="24"/>
                <w:szCs w:val="24"/>
              </w:rPr>
              <w:t>Ekspertu secinājumi</w:t>
            </w:r>
          </w:p>
          <w:p w14:paraId="3BD2C9D8" w14:textId="65B6D774" w:rsidR="00315FEF" w:rsidRPr="006F6917" w:rsidRDefault="00315FEF" w:rsidP="0025317F">
            <w:pPr>
              <w:spacing w:after="120"/>
              <w:rPr>
                <w:sz w:val="24"/>
                <w:szCs w:val="24"/>
              </w:rPr>
            </w:pPr>
            <w:r w:rsidRPr="006F6917">
              <w:rPr>
                <w:sz w:val="24"/>
                <w:szCs w:val="24"/>
              </w:rPr>
              <w:t xml:space="preserve">Publikācijā konstatējama kļūda, kas bijusi arī Senāta nolēmumā, proti, pareizi būtu „ar 0,9 miljonu eiro parādsaistībām un </w:t>
            </w:r>
            <w:r w:rsidRPr="006F6917">
              <w:rPr>
                <w:b/>
                <w:sz w:val="24"/>
                <w:szCs w:val="24"/>
              </w:rPr>
              <w:t>0,3</w:t>
            </w:r>
            <w:r w:rsidRPr="006F6917">
              <w:rPr>
                <w:sz w:val="24"/>
                <w:szCs w:val="24"/>
              </w:rPr>
              <w:t xml:space="preserve"> miljonus vērtu mantu” – attiecīgi nav šaubu par personas faktisku maksātnespēju.</w:t>
            </w:r>
          </w:p>
          <w:p w14:paraId="209628C8" w14:textId="4561CA43" w:rsidR="00315FEF" w:rsidRPr="00327DAE" w:rsidRDefault="00315FEF" w:rsidP="0025317F">
            <w:pPr>
              <w:spacing w:after="120"/>
              <w:rPr>
                <w:sz w:val="24"/>
                <w:szCs w:val="24"/>
              </w:rPr>
            </w:pPr>
            <w:r w:rsidRPr="00327DAE">
              <w:rPr>
                <w:sz w:val="24"/>
                <w:szCs w:val="24"/>
              </w:rPr>
              <w:t xml:space="preserve">Tiesnesis paļāvās uz administratora viedokli, ka mantas pārdošanas un kreditoru prasījumu apmierināšanas plāns sastādīts </w:t>
            </w:r>
            <w:r w:rsidRPr="00E27399">
              <w:rPr>
                <w:sz w:val="24"/>
                <w:szCs w:val="24"/>
              </w:rPr>
              <w:t>atbilstoši likuma prasībām</w:t>
            </w:r>
            <w:r w:rsidR="00841F1B" w:rsidRPr="00E27399">
              <w:rPr>
                <w:sz w:val="24"/>
                <w:szCs w:val="24"/>
              </w:rPr>
              <w:t xml:space="preserve"> un ka nav šķēršļu maksātnespējas pasludināš</w:t>
            </w:r>
            <w:r w:rsidR="00951D10">
              <w:rPr>
                <w:sz w:val="24"/>
                <w:szCs w:val="24"/>
              </w:rPr>
              <w:t>a</w:t>
            </w:r>
            <w:r w:rsidR="00841F1B" w:rsidRPr="00E27399">
              <w:rPr>
                <w:sz w:val="24"/>
                <w:szCs w:val="24"/>
              </w:rPr>
              <w:t>nai, lai gan</w:t>
            </w:r>
            <w:r w:rsidR="001C2BD2" w:rsidRPr="00E27399">
              <w:rPr>
                <w:sz w:val="24"/>
                <w:szCs w:val="24"/>
              </w:rPr>
              <w:t xml:space="preserve"> uzticēšanās administratora viedoklim nebija vispārēja parādība arī tajā laikā</w:t>
            </w:r>
            <w:r w:rsidR="00841F1B" w:rsidRPr="00E27399">
              <w:rPr>
                <w:sz w:val="24"/>
                <w:szCs w:val="24"/>
              </w:rPr>
              <w:t>, piemēram, iepriekš Rīgas rajona tiesā tiesnesis tieši pretēji pārbaudīja plānu un atzina to par neatbilstošu likumam</w:t>
            </w:r>
            <w:r w:rsidR="001C2BD2" w:rsidRPr="00E27399">
              <w:rPr>
                <w:sz w:val="24"/>
                <w:szCs w:val="24"/>
              </w:rPr>
              <w:t>.</w:t>
            </w:r>
            <w:r w:rsidRPr="00E27399">
              <w:rPr>
                <w:sz w:val="24"/>
                <w:szCs w:val="24"/>
              </w:rPr>
              <w:t xml:space="preserve"> Šajā sakarā jāno</w:t>
            </w:r>
            <w:r w:rsidRPr="00327DAE">
              <w:rPr>
                <w:sz w:val="24"/>
                <w:szCs w:val="24"/>
              </w:rPr>
              <w:t xml:space="preserve">rāda, ka maksātnespējas administratoram ir piešķirta publiska funkcija – sniegt atbalstu tiesai, administratoram ir pienākums tiesai sniegt ziņas, kas palīdzētu pieņemt taisnīgāko lēmumu. Gadījumos, kad administrators rīkojas kā maksātnespējīgās personas aizstāvis, nevis kā publisko interešu nodrošinātājs, šis institūts nedarbojas atbilstoši likuma mērķim. </w:t>
            </w:r>
            <w:r w:rsidRPr="00327DAE">
              <w:rPr>
                <w:sz w:val="24"/>
                <w:szCs w:val="24"/>
              </w:rPr>
              <w:lastRenderedPageBreak/>
              <w:t>Piemēram, administratoram būtu jāsniedz pilnīga informācija par personas nesenajiem darījumiem, kuri varētu liecināt par mēģinājumu izvairīties no parādsaistību nokārtošanas.</w:t>
            </w:r>
          </w:p>
          <w:p w14:paraId="22904E0C" w14:textId="48936E72" w:rsidR="001D0C89" w:rsidRPr="00327DAE" w:rsidRDefault="001D0C89" w:rsidP="0025317F">
            <w:pPr>
              <w:spacing w:after="120"/>
              <w:rPr>
                <w:sz w:val="24"/>
                <w:szCs w:val="24"/>
              </w:rPr>
            </w:pPr>
            <w:r w:rsidRPr="00327DAE">
              <w:rPr>
                <w:sz w:val="24"/>
                <w:szCs w:val="24"/>
              </w:rPr>
              <w:t xml:space="preserve">Konkrētajā lietā tiesnesis </w:t>
            </w:r>
            <w:r w:rsidR="00FD0FC9">
              <w:rPr>
                <w:sz w:val="24"/>
                <w:szCs w:val="24"/>
              </w:rPr>
              <w:t>D. </w:t>
            </w:r>
            <w:r w:rsidRPr="00327DAE">
              <w:rPr>
                <w:sz w:val="24"/>
                <w:szCs w:val="24"/>
              </w:rPr>
              <w:t>Plaudis ir vērtējis personas darījumus ar nekustamajiem īpašumiem – iespējams, konkrētajos apstākļos persona varēja atsavināt nekustamos īpašumus, lai izvairītos no cenu krituma radītiem zaudējumiem, nevis lai izvairītos no saistību izpildes – tomēr Augstākā tiesa nav piekritusi tiesneša vērtējumam. Šāda iespējama kļūda pierādījumu vērtēšanā nebūtu uzskatāma par rupju tiesību normu pārkāpumu.</w:t>
            </w:r>
          </w:p>
          <w:p w14:paraId="18A1ACDD" w14:textId="26E81D51" w:rsidR="00315FEF" w:rsidRPr="00327DAE" w:rsidRDefault="001D0C89" w:rsidP="0025317F">
            <w:pPr>
              <w:spacing w:after="120"/>
              <w:rPr>
                <w:sz w:val="24"/>
                <w:szCs w:val="24"/>
              </w:rPr>
            </w:pPr>
            <w:r w:rsidRPr="00E27399">
              <w:rPr>
                <w:sz w:val="24"/>
                <w:szCs w:val="24"/>
                <w:shd w:val="clear" w:color="auto" w:fill="FFFFFF" w:themeFill="background1"/>
              </w:rPr>
              <w:t>Tomēr tiesai būtu jānoskaidro, kā izlietota šajos darījumos iegūtā nauda, jo tas var būt kritērijs parādnieka labticīgumam.</w:t>
            </w:r>
            <w:r w:rsidRPr="00E27399">
              <w:rPr>
                <w:sz w:val="24"/>
                <w:szCs w:val="24"/>
              </w:rPr>
              <w:t xml:space="preserve"> </w:t>
            </w:r>
          </w:p>
        </w:tc>
      </w:tr>
      <w:tr w:rsidR="00315FEF" w:rsidRPr="00327DAE" w14:paraId="1DF3FD7D" w14:textId="77777777" w:rsidTr="00A75539">
        <w:trPr>
          <w:trHeight w:val="326"/>
        </w:trPr>
        <w:tc>
          <w:tcPr>
            <w:tcW w:w="562" w:type="dxa"/>
            <w:vMerge/>
          </w:tcPr>
          <w:p w14:paraId="4EE0A217"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1AB71EC7" w14:textId="54B90B4D" w:rsidR="00315FEF" w:rsidRPr="00327DAE" w:rsidRDefault="00315FEF"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14:paraId="7E248AA3" w14:textId="50B2B810" w:rsidR="00315FEF" w:rsidRPr="00327DAE" w:rsidRDefault="00315FEF" w:rsidP="0025317F">
            <w:pPr>
              <w:spacing w:after="120"/>
              <w:rPr>
                <w:sz w:val="24"/>
                <w:szCs w:val="24"/>
              </w:rPr>
            </w:pPr>
            <w:r w:rsidRPr="00327DAE">
              <w:rPr>
                <w:sz w:val="24"/>
                <w:szCs w:val="24"/>
              </w:rPr>
              <w:t>Lietas 1. sējuma 208.</w:t>
            </w:r>
            <w:r w:rsidR="00951D10">
              <w:rPr>
                <w:sz w:val="24"/>
                <w:szCs w:val="24"/>
              </w:rPr>
              <w:t>–</w:t>
            </w:r>
            <w:r w:rsidRPr="00327DAE">
              <w:rPr>
                <w:sz w:val="24"/>
                <w:szCs w:val="24"/>
              </w:rPr>
              <w:t>217. lpp. ir dokumenti, ka pieteikums jau skatīts un noraidīts Rīgas rajona tiesā 2009. gada 26. maijā. Skatot lietu pēc neilga laika, 2009. gada 30. septembrī</w:t>
            </w:r>
            <w:r w:rsidR="00951D10">
              <w:rPr>
                <w:sz w:val="24"/>
                <w:szCs w:val="24"/>
              </w:rPr>
              <w:t>,</w:t>
            </w:r>
            <w:r w:rsidRPr="00327DAE">
              <w:rPr>
                <w:sz w:val="24"/>
                <w:szCs w:val="24"/>
              </w:rPr>
              <w:t xml:space="preserve"> </w:t>
            </w:r>
            <w:r w:rsidR="001E7B78">
              <w:rPr>
                <w:sz w:val="24"/>
                <w:szCs w:val="24"/>
              </w:rPr>
              <w:t>Ogres rajona tiesā tiesnesim D. </w:t>
            </w:r>
            <w:r w:rsidRPr="00327DAE">
              <w:rPr>
                <w:sz w:val="24"/>
                <w:szCs w:val="24"/>
              </w:rPr>
              <w:t>Plaudim bija iespēja un pienākums izrādīt īpašu uzmanību un noskaidrot, vai piecu nekustamo īpašumu pārdošana nedeva iespēju būtiski samazināt pieteicēja parādu saistības pret kreditoriem un tātad, vai nav mēģinājums izvairīties no parādsaistību nokārtošanas.</w:t>
            </w:r>
          </w:p>
          <w:p w14:paraId="5AE780F4" w14:textId="182DA442" w:rsidR="00315FEF" w:rsidRPr="00327DAE" w:rsidRDefault="00315FEF" w:rsidP="0025317F">
            <w:pPr>
              <w:spacing w:after="120"/>
              <w:rPr>
                <w:sz w:val="24"/>
                <w:szCs w:val="24"/>
              </w:rPr>
            </w:pPr>
            <w:r w:rsidRPr="00327DAE">
              <w:rPr>
                <w:sz w:val="24"/>
                <w:szCs w:val="24"/>
              </w:rPr>
              <w:t>No lietas materiāliem redzams, ka [pers. A]</w:t>
            </w:r>
            <w:r w:rsidRPr="00327DAE">
              <w:rPr>
                <w:i/>
                <w:sz w:val="24"/>
                <w:szCs w:val="24"/>
              </w:rPr>
              <w:t>.</w:t>
            </w:r>
            <w:r w:rsidRPr="00327DAE">
              <w:rPr>
                <w:sz w:val="24"/>
                <w:szCs w:val="24"/>
              </w:rPr>
              <w:t xml:space="preserve"> pieder manta 272</w:t>
            </w:r>
            <w:r w:rsidR="00951D10">
              <w:rPr>
                <w:sz w:val="24"/>
                <w:szCs w:val="24"/>
              </w:rPr>
              <w:t> </w:t>
            </w:r>
            <w:proofErr w:type="gramStart"/>
            <w:r w:rsidRPr="00327DAE">
              <w:rPr>
                <w:sz w:val="24"/>
                <w:szCs w:val="24"/>
              </w:rPr>
              <w:t xml:space="preserve">358 </w:t>
            </w:r>
            <w:r w:rsidR="00951D10" w:rsidRPr="00327DAE">
              <w:rPr>
                <w:sz w:val="24"/>
                <w:szCs w:val="24"/>
              </w:rPr>
              <w:t>Ls</w:t>
            </w:r>
            <w:proofErr w:type="gramEnd"/>
            <w:r w:rsidR="00951D10" w:rsidRPr="00327DAE">
              <w:rPr>
                <w:sz w:val="24"/>
                <w:szCs w:val="24"/>
              </w:rPr>
              <w:t xml:space="preserve"> </w:t>
            </w:r>
            <w:r w:rsidRPr="00327DAE">
              <w:rPr>
                <w:sz w:val="24"/>
                <w:szCs w:val="24"/>
              </w:rPr>
              <w:t>vērtībā un viņas mērķis ir atbrīvoties no saistībām, kuru kopējā summa ir 663</w:t>
            </w:r>
            <w:r w:rsidR="00951D10">
              <w:rPr>
                <w:sz w:val="24"/>
                <w:szCs w:val="24"/>
              </w:rPr>
              <w:t> </w:t>
            </w:r>
            <w:r w:rsidRPr="00327DAE">
              <w:rPr>
                <w:sz w:val="24"/>
                <w:szCs w:val="24"/>
              </w:rPr>
              <w:t>453</w:t>
            </w:r>
            <w:r w:rsidR="00951D10" w:rsidRPr="00327DAE">
              <w:rPr>
                <w:sz w:val="24"/>
                <w:szCs w:val="24"/>
              </w:rPr>
              <w:t xml:space="preserve"> Ls</w:t>
            </w:r>
            <w:r w:rsidRPr="00327DAE">
              <w:rPr>
                <w:sz w:val="24"/>
                <w:szCs w:val="24"/>
              </w:rPr>
              <w:t>, pēdējos mēnešos kavēti maksājumi par 20 027,46</w:t>
            </w:r>
            <w:r w:rsidR="00951D10" w:rsidRPr="00327DAE">
              <w:rPr>
                <w:sz w:val="24"/>
                <w:szCs w:val="24"/>
              </w:rPr>
              <w:t xml:space="preserve"> Ls</w:t>
            </w:r>
            <w:r w:rsidRPr="00327DAE">
              <w:rPr>
                <w:sz w:val="24"/>
                <w:szCs w:val="24"/>
              </w:rPr>
              <w:t>, bet parādu saistības, kuru izpildes termiņš iestāsies gada laikā</w:t>
            </w:r>
            <w:r w:rsidR="00951D10">
              <w:rPr>
                <w:sz w:val="24"/>
                <w:szCs w:val="24"/>
              </w:rPr>
              <w:t>,</w:t>
            </w:r>
            <w:r w:rsidRPr="00327DAE">
              <w:rPr>
                <w:sz w:val="24"/>
                <w:szCs w:val="24"/>
              </w:rPr>
              <w:t xml:space="preserve"> sastāda 32 733,18</w:t>
            </w:r>
            <w:r w:rsidR="00951D10" w:rsidRPr="00327DAE">
              <w:rPr>
                <w:sz w:val="24"/>
                <w:szCs w:val="24"/>
              </w:rPr>
              <w:t xml:space="preserve"> Ls</w:t>
            </w:r>
            <w:r w:rsidRPr="00327DAE">
              <w:rPr>
                <w:sz w:val="24"/>
                <w:szCs w:val="24"/>
              </w:rPr>
              <w:t>.</w:t>
            </w:r>
          </w:p>
          <w:p w14:paraId="1F4B11BB" w14:textId="2A033EB6" w:rsidR="00315FEF" w:rsidRPr="00327DAE" w:rsidRDefault="00315FEF" w:rsidP="0025317F">
            <w:pPr>
              <w:spacing w:after="120"/>
              <w:rPr>
                <w:sz w:val="24"/>
                <w:szCs w:val="24"/>
              </w:rPr>
            </w:pPr>
            <w:r w:rsidRPr="00327DAE">
              <w:rPr>
                <w:sz w:val="24"/>
                <w:szCs w:val="24"/>
              </w:rPr>
              <w:t>Konkrētajā situācijā apsvērumi, kāpēc pārdoti nekustamie īpašumi, nav nozīmīgi, iespējamais zaudējumu mazināšanas mērķis ir apsverams kopsakarā ar jautājumu, vai, neesot pierādījumiem par saņemto summu izlietošanu saistību dzēšanai, nav pamats Maksātnespējas likuma 152. panta pirmās daļas 1. punkta normas piemērošanai. Tieši tādā nozīmē Augstākā tiesa ir norādījusi uz Ogres rajona tiesas sprieduma prettiesiskumu. Tas vērtējams kā b</w:t>
            </w:r>
            <w:r w:rsidR="00536A07" w:rsidRPr="00327DAE">
              <w:rPr>
                <w:sz w:val="24"/>
                <w:szCs w:val="24"/>
              </w:rPr>
              <w:t>ūtisks</w:t>
            </w:r>
            <w:r w:rsidR="00207BE7" w:rsidRPr="00327DAE">
              <w:rPr>
                <w:sz w:val="24"/>
                <w:szCs w:val="24"/>
              </w:rPr>
              <w:t xml:space="preserve"> </w:t>
            </w:r>
            <w:r w:rsidR="00207BE7" w:rsidRPr="00E27399">
              <w:rPr>
                <w:sz w:val="24"/>
                <w:szCs w:val="24"/>
              </w:rPr>
              <w:t>(rupjš)</w:t>
            </w:r>
            <w:r w:rsidR="00536A07" w:rsidRPr="00E27399">
              <w:rPr>
                <w:sz w:val="24"/>
                <w:szCs w:val="24"/>
              </w:rPr>
              <w:t xml:space="preserve"> tiesību</w:t>
            </w:r>
            <w:r w:rsidR="00536A07" w:rsidRPr="00327DAE">
              <w:rPr>
                <w:sz w:val="24"/>
                <w:szCs w:val="24"/>
              </w:rPr>
              <w:t xml:space="preserve"> normu pārkāpums.</w:t>
            </w:r>
          </w:p>
        </w:tc>
      </w:tr>
      <w:tr w:rsidR="00315FEF" w:rsidRPr="00327DAE" w14:paraId="395E0813" w14:textId="77777777" w:rsidTr="00A75539">
        <w:trPr>
          <w:trHeight w:val="387"/>
        </w:trPr>
        <w:tc>
          <w:tcPr>
            <w:tcW w:w="562" w:type="dxa"/>
            <w:vMerge w:val="restart"/>
          </w:tcPr>
          <w:p w14:paraId="345073FC" w14:textId="0F0660A6" w:rsidR="00315FEF" w:rsidRPr="00327DAE" w:rsidRDefault="00315FEF" w:rsidP="0025317F">
            <w:pPr>
              <w:spacing w:after="120"/>
              <w:rPr>
                <w:b/>
                <w:sz w:val="24"/>
                <w:szCs w:val="24"/>
              </w:rPr>
            </w:pPr>
            <w:r w:rsidRPr="00327DAE">
              <w:rPr>
                <w:b/>
                <w:sz w:val="24"/>
                <w:szCs w:val="24"/>
              </w:rPr>
              <w:t>35.</w:t>
            </w:r>
          </w:p>
        </w:tc>
        <w:tc>
          <w:tcPr>
            <w:tcW w:w="1701" w:type="dxa"/>
            <w:shd w:val="clear" w:color="auto" w:fill="auto"/>
            <w:noWrap/>
            <w:vAlign w:val="bottom"/>
            <w:hideMark/>
          </w:tcPr>
          <w:p w14:paraId="0D7E60A5" w14:textId="77777777" w:rsidR="00315FEF" w:rsidRPr="00327DAE" w:rsidRDefault="00315FEF" w:rsidP="0025317F">
            <w:pPr>
              <w:spacing w:after="120"/>
              <w:rPr>
                <w:b/>
                <w:sz w:val="24"/>
                <w:szCs w:val="24"/>
              </w:rPr>
            </w:pPr>
            <w:r w:rsidRPr="00327DAE">
              <w:rPr>
                <w:b/>
                <w:sz w:val="24"/>
                <w:szCs w:val="24"/>
              </w:rPr>
              <w:t>C24064010</w:t>
            </w:r>
            <w:r w:rsidRPr="00327DAE">
              <w:rPr>
                <w:rStyle w:val="FootnoteReference"/>
                <w:b/>
                <w:sz w:val="24"/>
                <w:szCs w:val="24"/>
              </w:rPr>
              <w:footnoteReference w:id="35"/>
            </w:r>
          </w:p>
          <w:p w14:paraId="444E421A" w14:textId="77777777" w:rsidR="00315FEF" w:rsidRPr="00327DAE" w:rsidRDefault="00AB4F91" w:rsidP="0025317F">
            <w:pPr>
              <w:spacing w:after="120"/>
              <w:rPr>
                <w:b/>
                <w:sz w:val="24"/>
                <w:szCs w:val="24"/>
              </w:rPr>
            </w:pPr>
            <w:hyperlink r:id="rId12" w:history="1">
              <w:r w:rsidR="00315FEF" w:rsidRPr="00327DAE">
                <w:rPr>
                  <w:b/>
                  <w:sz w:val="24"/>
                  <w:szCs w:val="24"/>
                </w:rPr>
                <w:t>SPC-206/2010</w:t>
              </w:r>
            </w:hyperlink>
          </w:p>
        </w:tc>
        <w:tc>
          <w:tcPr>
            <w:tcW w:w="2410" w:type="dxa"/>
            <w:shd w:val="clear" w:color="auto" w:fill="auto"/>
            <w:hideMark/>
          </w:tcPr>
          <w:p w14:paraId="094AC713" w14:textId="77777777" w:rsidR="00315FEF" w:rsidRPr="00327DAE" w:rsidRDefault="00315FEF" w:rsidP="0025317F">
            <w:pPr>
              <w:spacing w:after="120"/>
              <w:rPr>
                <w:b/>
                <w:color w:val="000000"/>
                <w:sz w:val="24"/>
                <w:szCs w:val="24"/>
              </w:rPr>
            </w:pPr>
            <w:r w:rsidRPr="00327DAE">
              <w:rPr>
                <w:b/>
                <w:sz w:val="24"/>
                <w:szCs w:val="24"/>
              </w:rPr>
              <w:t xml:space="preserve">31.03.2010. </w:t>
            </w:r>
            <w:r w:rsidRPr="00327DAE">
              <w:rPr>
                <w:b/>
                <w:color w:val="000000"/>
                <w:sz w:val="24"/>
                <w:szCs w:val="24"/>
              </w:rPr>
              <w:t>spriedums</w:t>
            </w:r>
          </w:p>
        </w:tc>
        <w:tc>
          <w:tcPr>
            <w:tcW w:w="3686" w:type="dxa"/>
            <w:shd w:val="clear" w:color="auto" w:fill="auto"/>
            <w:vAlign w:val="bottom"/>
            <w:hideMark/>
          </w:tcPr>
          <w:p w14:paraId="14C3DF66" w14:textId="4E6CCDAD" w:rsidR="00315FEF" w:rsidRPr="00327DAE" w:rsidRDefault="00315FEF" w:rsidP="0025317F">
            <w:pPr>
              <w:pStyle w:val="Heading3"/>
              <w:rPr>
                <w:color w:val="000000"/>
              </w:rPr>
            </w:pPr>
            <w:bookmarkStart w:id="50" w:name="_Toc522527523"/>
            <w:r w:rsidRPr="00327DAE">
              <w:t>Fiziskās personas maksātnespējas piet</w:t>
            </w:r>
            <w:r w:rsidR="00951D10">
              <w:t>e</w:t>
            </w:r>
            <w:r w:rsidRPr="00327DAE">
              <w:t>ikums</w:t>
            </w:r>
            <w:bookmarkEnd w:id="50"/>
          </w:p>
        </w:tc>
      </w:tr>
      <w:tr w:rsidR="00747072" w:rsidRPr="00327DAE" w14:paraId="46779415" w14:textId="77777777" w:rsidTr="00DA5069">
        <w:trPr>
          <w:trHeight w:val="387"/>
        </w:trPr>
        <w:tc>
          <w:tcPr>
            <w:tcW w:w="562" w:type="dxa"/>
            <w:vMerge/>
          </w:tcPr>
          <w:p w14:paraId="135D449C"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D942B7B" w14:textId="30617AE5"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39C0F927" w14:textId="3538ABBA" w:rsidR="00747072" w:rsidRPr="00DA5069" w:rsidRDefault="00747072" w:rsidP="0025317F">
            <w:pPr>
              <w:spacing w:after="120"/>
              <w:rPr>
                <w:b/>
                <w:i/>
                <w:color w:val="000000"/>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5854C0DC" w14:textId="71C394E4" w:rsidR="00747072" w:rsidRPr="00DA5069" w:rsidRDefault="00747072" w:rsidP="0025317F">
            <w:pPr>
              <w:spacing w:after="120"/>
              <w:rPr>
                <w:b/>
                <w:i/>
                <w:color w:val="000000"/>
              </w:rPr>
            </w:pPr>
            <w:r w:rsidRPr="00DA5069">
              <w:rPr>
                <w:b/>
                <w:bCs/>
                <w:i/>
                <w:color w:val="000000"/>
              </w:rPr>
              <w:t>Lietu sadales veids/iemesls</w:t>
            </w:r>
          </w:p>
        </w:tc>
      </w:tr>
      <w:tr w:rsidR="00747072" w:rsidRPr="00327DAE" w14:paraId="4AB7EBE0" w14:textId="77777777" w:rsidTr="00DA5069">
        <w:trPr>
          <w:trHeight w:val="387"/>
        </w:trPr>
        <w:tc>
          <w:tcPr>
            <w:tcW w:w="562" w:type="dxa"/>
            <w:vMerge/>
          </w:tcPr>
          <w:p w14:paraId="14F895B1"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769D8CF7" w14:textId="593CCB5E" w:rsidR="00747072" w:rsidRPr="00DA5069" w:rsidRDefault="00747072" w:rsidP="0025317F">
            <w:pPr>
              <w:spacing w:after="120"/>
              <w:rPr>
                <w:i/>
              </w:rPr>
            </w:pPr>
            <w:r w:rsidRPr="00DA5069">
              <w:rPr>
                <w:i/>
                <w:color w:val="000000"/>
              </w:rPr>
              <w:t>04.02.2010</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1535DD77" w14:textId="0C52C6D1" w:rsidR="00747072" w:rsidRPr="00DA5069" w:rsidRDefault="00747072" w:rsidP="0025317F">
            <w:pPr>
              <w:spacing w:after="120"/>
              <w:rPr>
                <w:i/>
                <w:color w:val="000000"/>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4E7DC9EA" w14:textId="5EA20874" w:rsidR="00747072" w:rsidRPr="00DA5069" w:rsidRDefault="00747072" w:rsidP="0025317F">
            <w:pPr>
              <w:spacing w:after="120"/>
              <w:rPr>
                <w:i/>
                <w:color w:val="000000"/>
              </w:rPr>
            </w:pPr>
            <w:r w:rsidRPr="00DA5069">
              <w:rPr>
                <w:i/>
                <w:color w:val="000000"/>
              </w:rPr>
              <w:t xml:space="preserve">Datorizēta lietu sadale. </w:t>
            </w:r>
          </w:p>
        </w:tc>
      </w:tr>
      <w:tr w:rsidR="00315FEF" w:rsidRPr="00327DAE" w14:paraId="7503313E" w14:textId="77777777" w:rsidTr="00A75539">
        <w:trPr>
          <w:trHeight w:val="387"/>
        </w:trPr>
        <w:tc>
          <w:tcPr>
            <w:tcW w:w="562" w:type="dxa"/>
            <w:vMerge/>
          </w:tcPr>
          <w:p w14:paraId="67688755"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31921F30" w14:textId="77777777" w:rsidR="00B831FB" w:rsidRPr="00327DAE" w:rsidRDefault="00B831FB" w:rsidP="0025317F">
            <w:pPr>
              <w:spacing w:after="120"/>
              <w:rPr>
                <w:i/>
                <w:sz w:val="24"/>
                <w:szCs w:val="24"/>
              </w:rPr>
            </w:pPr>
            <w:r w:rsidRPr="00327DAE">
              <w:rPr>
                <w:i/>
                <w:sz w:val="24"/>
                <w:szCs w:val="24"/>
              </w:rPr>
              <w:t>Augstākās tiesas norādītais pamats sprieduma atcelšanai</w:t>
            </w:r>
          </w:p>
          <w:p w14:paraId="30818CCC" w14:textId="02C9D3D6" w:rsidR="00315FEF" w:rsidRPr="00327DAE" w:rsidRDefault="00315FEF" w:rsidP="0025317F">
            <w:pPr>
              <w:spacing w:after="120"/>
              <w:rPr>
                <w:sz w:val="24"/>
                <w:szCs w:val="24"/>
              </w:rPr>
            </w:pPr>
            <w:r w:rsidRPr="00327DAE">
              <w:rPr>
                <w:sz w:val="24"/>
                <w:szCs w:val="24"/>
              </w:rPr>
              <w:t>Pamatots ir protesta arguments, ka parādniece sev piederošos īpašumus atsavinājusi mazāk nekā triju gadu laikā pirms maksāt</w:t>
            </w:r>
            <w:r w:rsidR="00536A07" w:rsidRPr="00327DAE">
              <w:rPr>
                <w:sz w:val="24"/>
                <w:szCs w:val="24"/>
              </w:rPr>
              <w:t>nespējas procesa ierosināšanas.</w:t>
            </w:r>
          </w:p>
        </w:tc>
      </w:tr>
      <w:tr w:rsidR="00315FEF" w:rsidRPr="00327DAE" w14:paraId="21EDC76B" w14:textId="77777777" w:rsidTr="00A75539">
        <w:trPr>
          <w:trHeight w:val="387"/>
        </w:trPr>
        <w:tc>
          <w:tcPr>
            <w:tcW w:w="562" w:type="dxa"/>
            <w:vMerge/>
          </w:tcPr>
          <w:p w14:paraId="16850E23"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097C1CE0" w14:textId="77777777" w:rsidR="00315FEF" w:rsidRPr="00327DAE" w:rsidRDefault="00315FEF" w:rsidP="0025317F">
            <w:pPr>
              <w:spacing w:after="120"/>
              <w:rPr>
                <w:i/>
                <w:sz w:val="24"/>
                <w:szCs w:val="24"/>
              </w:rPr>
            </w:pPr>
            <w:r w:rsidRPr="00327DAE">
              <w:rPr>
                <w:i/>
                <w:sz w:val="24"/>
                <w:szCs w:val="24"/>
              </w:rPr>
              <w:t>Ekspertu secinājumi</w:t>
            </w:r>
          </w:p>
          <w:p w14:paraId="6332B56B" w14:textId="77777777" w:rsidR="001D0C89" w:rsidRPr="00327DAE" w:rsidRDefault="001D0C89" w:rsidP="0025317F">
            <w:pPr>
              <w:spacing w:after="120"/>
              <w:rPr>
                <w:sz w:val="24"/>
                <w:szCs w:val="24"/>
              </w:rPr>
            </w:pPr>
            <w:r w:rsidRPr="00327DAE">
              <w:rPr>
                <w:sz w:val="24"/>
                <w:szCs w:val="24"/>
              </w:rPr>
              <w:t xml:space="preserve">Par “ceļošanu”: lietas materiāli liecina, ka informācija par iepriekš Jūrmalas </w:t>
            </w:r>
            <w:r w:rsidRPr="00327DAE">
              <w:rPr>
                <w:sz w:val="24"/>
                <w:szCs w:val="24"/>
              </w:rPr>
              <w:lastRenderedPageBreak/>
              <w:t xml:space="preserve">pilsētas tiesā izskatīto lietu šajā lietā pirmo reizi pieminēta vien paskaidrojumos pie Augstākajai tiesai iesniegtā protesta. Tiesnesim nevarētu pārmest, ka viņš nepārbaudīja, vai Tiesu informācijas sistēmā nav reģistrētas ziņas par agrāk izskatītajām lietām, likums šādu prasību neizvirzīja. </w:t>
            </w:r>
          </w:p>
          <w:p w14:paraId="7962358F" w14:textId="31B973FC" w:rsidR="001D0C89" w:rsidRPr="00327DAE" w:rsidRDefault="001D0C89" w:rsidP="0025317F">
            <w:pPr>
              <w:spacing w:after="120"/>
              <w:rPr>
                <w:sz w:val="24"/>
                <w:szCs w:val="24"/>
              </w:rPr>
            </w:pPr>
            <w:r w:rsidRPr="00327DAE">
              <w:rPr>
                <w:sz w:val="24"/>
                <w:szCs w:val="24"/>
              </w:rPr>
              <w:t>Apstāklis, ka pirms maksātnespējas pieteikuma iesniegšanas dienas persona atsavinājusi tai piederošās uzņēmuma kapitāla daļas, varētu neliecināt par vēlmi izvairīties no saistībām, bet iespējams – par mēģinājumu samazināt zaudējumus. Tomēr desmit mēnešus pirms maksātnespējas pieteikuma iesniegšanas ir veikts nekustamā īpašuma dāvinājums, kas liecina par iespējami kreditoru interesēm pretēju rīcību, taču tiesneša spriedumā nav atrodams šī apstākļa vērtējums. Tādējādi ir konstatējam</w:t>
            </w:r>
            <w:r w:rsidR="00D33E0A" w:rsidRPr="00327DAE">
              <w:rPr>
                <w:sz w:val="24"/>
                <w:szCs w:val="24"/>
              </w:rPr>
              <w:t>a nopietna kļūda</w:t>
            </w:r>
            <w:r w:rsidRPr="00327DAE">
              <w:rPr>
                <w:sz w:val="24"/>
                <w:szCs w:val="24"/>
              </w:rPr>
              <w:t>, kas noveda pie sprieduma atcelšanas.</w:t>
            </w:r>
          </w:p>
          <w:p w14:paraId="06A92499" w14:textId="73C0B5A7" w:rsidR="00315FEF" w:rsidRPr="00327DAE" w:rsidRDefault="001D0C89" w:rsidP="0025317F">
            <w:pPr>
              <w:spacing w:after="120"/>
              <w:rPr>
                <w:sz w:val="24"/>
                <w:szCs w:val="24"/>
              </w:rPr>
            </w:pPr>
            <w:r w:rsidRPr="00327DAE">
              <w:rPr>
                <w:sz w:val="24"/>
                <w:szCs w:val="24"/>
              </w:rPr>
              <w:t>Tomēr</w:t>
            </w:r>
            <w:r w:rsidR="00951D10">
              <w:rPr>
                <w:sz w:val="24"/>
                <w:szCs w:val="24"/>
              </w:rPr>
              <w:t>,</w:t>
            </w:r>
            <w:r w:rsidRPr="00327DAE">
              <w:rPr>
                <w:sz w:val="24"/>
                <w:szCs w:val="24"/>
              </w:rPr>
              <w:t xml:space="preserve"> arī atkārtoti skatot lietu, maksātnespēja</w:t>
            </w:r>
            <w:r w:rsidR="009409DC">
              <w:rPr>
                <w:sz w:val="24"/>
                <w:szCs w:val="24"/>
              </w:rPr>
              <w:t>,</w:t>
            </w:r>
            <w:r w:rsidRPr="00327DAE">
              <w:rPr>
                <w:sz w:val="24"/>
                <w:szCs w:val="24"/>
              </w:rPr>
              <w:t xml:space="preserve"> vienalga</w:t>
            </w:r>
            <w:r w:rsidR="009409DC">
              <w:rPr>
                <w:sz w:val="24"/>
                <w:szCs w:val="24"/>
              </w:rPr>
              <w:t>,</w:t>
            </w:r>
            <w:r w:rsidRPr="00327DAE">
              <w:rPr>
                <w:sz w:val="24"/>
                <w:szCs w:val="24"/>
              </w:rPr>
              <w:t xml:space="preserve"> tika pasludināta, plāns izpildīts</w:t>
            </w:r>
            <w:proofErr w:type="gramStart"/>
            <w:r w:rsidRPr="00327DAE">
              <w:rPr>
                <w:sz w:val="24"/>
                <w:szCs w:val="24"/>
              </w:rPr>
              <w:t xml:space="preserve"> un</w:t>
            </w:r>
            <w:proofErr w:type="gramEnd"/>
            <w:r w:rsidRPr="00327DAE">
              <w:rPr>
                <w:sz w:val="24"/>
                <w:szCs w:val="24"/>
              </w:rPr>
              <w:t xml:space="preserve"> maksātnespēja izbeigta.</w:t>
            </w:r>
          </w:p>
        </w:tc>
      </w:tr>
      <w:tr w:rsidR="00315FEF" w:rsidRPr="00327DAE" w14:paraId="00739FF9" w14:textId="77777777" w:rsidTr="00A75539">
        <w:trPr>
          <w:trHeight w:val="387"/>
        </w:trPr>
        <w:tc>
          <w:tcPr>
            <w:tcW w:w="562" w:type="dxa"/>
            <w:vMerge/>
          </w:tcPr>
          <w:p w14:paraId="3A081270"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62B81FDD" w14:textId="683CA194" w:rsidR="00315FEF" w:rsidRPr="00327DAE" w:rsidRDefault="00315FEF"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14:paraId="608C4659" w14:textId="499BAEAF" w:rsidR="00315FEF" w:rsidRPr="00327DAE" w:rsidRDefault="00315FEF" w:rsidP="0025317F">
            <w:pPr>
              <w:spacing w:after="120"/>
              <w:rPr>
                <w:sz w:val="24"/>
                <w:szCs w:val="24"/>
              </w:rPr>
            </w:pPr>
            <w:r w:rsidRPr="00327DAE">
              <w:rPr>
                <w:sz w:val="24"/>
                <w:szCs w:val="24"/>
              </w:rPr>
              <w:t>Konkrētā lieta apstiprina presē izteikto versiju, ka dažas pe</w:t>
            </w:r>
            <w:r w:rsidR="001E7B78">
              <w:rPr>
                <w:sz w:val="24"/>
                <w:szCs w:val="24"/>
              </w:rPr>
              <w:t>rsonas ir izmantojušas iespēju „</w:t>
            </w:r>
            <w:r w:rsidRPr="00327DAE">
              <w:rPr>
                <w:sz w:val="24"/>
                <w:szCs w:val="24"/>
              </w:rPr>
              <w:t>pārceļot” uz citu tiesu cerībā uz sev labvēlīgāku nolēmumu – Jūrmalas pilsētas tiesa 2010. gada 4. janvārī bija noraidījusi pieteikumu, bet jau 4. februārī Ogres rajon</w:t>
            </w:r>
            <w:r w:rsidR="00536A07" w:rsidRPr="00327DAE">
              <w:rPr>
                <w:sz w:val="24"/>
                <w:szCs w:val="24"/>
              </w:rPr>
              <w:t>a tiesa pieteikumu apmierināja.</w:t>
            </w:r>
          </w:p>
        </w:tc>
      </w:tr>
      <w:tr w:rsidR="00315FEF" w:rsidRPr="00327DAE" w14:paraId="6DA3CDAD" w14:textId="77777777" w:rsidTr="00A75539">
        <w:trPr>
          <w:trHeight w:val="422"/>
        </w:trPr>
        <w:tc>
          <w:tcPr>
            <w:tcW w:w="562" w:type="dxa"/>
            <w:vMerge w:val="restart"/>
          </w:tcPr>
          <w:p w14:paraId="6ECCCC8D" w14:textId="2D4DC847" w:rsidR="00315FEF" w:rsidRPr="00327DAE" w:rsidRDefault="00315FEF" w:rsidP="0025317F">
            <w:pPr>
              <w:spacing w:after="120"/>
              <w:rPr>
                <w:b/>
                <w:sz w:val="24"/>
                <w:szCs w:val="24"/>
              </w:rPr>
            </w:pPr>
            <w:r w:rsidRPr="00327DAE">
              <w:rPr>
                <w:b/>
                <w:sz w:val="24"/>
                <w:szCs w:val="24"/>
              </w:rPr>
              <w:t>36.</w:t>
            </w:r>
          </w:p>
        </w:tc>
        <w:tc>
          <w:tcPr>
            <w:tcW w:w="1701" w:type="dxa"/>
            <w:shd w:val="clear" w:color="auto" w:fill="auto"/>
            <w:noWrap/>
            <w:vAlign w:val="bottom"/>
            <w:hideMark/>
          </w:tcPr>
          <w:p w14:paraId="41D026CC" w14:textId="77777777" w:rsidR="00315FEF" w:rsidRPr="00327DAE" w:rsidRDefault="00315FEF" w:rsidP="0025317F">
            <w:pPr>
              <w:spacing w:after="120"/>
              <w:rPr>
                <w:b/>
                <w:sz w:val="24"/>
                <w:szCs w:val="24"/>
              </w:rPr>
            </w:pPr>
            <w:r w:rsidRPr="00327DAE">
              <w:rPr>
                <w:b/>
                <w:sz w:val="24"/>
                <w:szCs w:val="24"/>
              </w:rPr>
              <w:t>C24166312</w:t>
            </w:r>
            <w:r w:rsidRPr="00327DAE">
              <w:rPr>
                <w:rStyle w:val="FootnoteReference"/>
                <w:b/>
                <w:sz w:val="24"/>
                <w:szCs w:val="24"/>
              </w:rPr>
              <w:footnoteReference w:id="36"/>
            </w:r>
          </w:p>
          <w:p w14:paraId="696D42F0" w14:textId="77777777" w:rsidR="00315FEF" w:rsidRPr="00327DAE" w:rsidRDefault="00AB4F91" w:rsidP="0025317F">
            <w:pPr>
              <w:spacing w:after="120"/>
              <w:rPr>
                <w:b/>
                <w:sz w:val="24"/>
                <w:szCs w:val="24"/>
              </w:rPr>
            </w:pPr>
            <w:hyperlink r:id="rId13" w:history="1">
              <w:r w:rsidR="00315FEF" w:rsidRPr="00327DAE">
                <w:rPr>
                  <w:b/>
                  <w:sz w:val="24"/>
                  <w:szCs w:val="24"/>
                </w:rPr>
                <w:t>SPC-37/2012</w:t>
              </w:r>
            </w:hyperlink>
          </w:p>
        </w:tc>
        <w:tc>
          <w:tcPr>
            <w:tcW w:w="2410" w:type="dxa"/>
            <w:shd w:val="clear" w:color="auto" w:fill="auto"/>
            <w:vAlign w:val="bottom"/>
            <w:hideMark/>
          </w:tcPr>
          <w:p w14:paraId="1FADE16F" w14:textId="77777777" w:rsidR="00315FEF" w:rsidRPr="00327DAE" w:rsidRDefault="00315FEF" w:rsidP="0025317F">
            <w:pPr>
              <w:spacing w:after="120"/>
              <w:rPr>
                <w:b/>
                <w:sz w:val="24"/>
                <w:szCs w:val="24"/>
              </w:rPr>
            </w:pPr>
            <w:r w:rsidRPr="00327DAE">
              <w:rPr>
                <w:b/>
                <w:sz w:val="24"/>
                <w:szCs w:val="24"/>
              </w:rPr>
              <w:t>16.02.2012. spriedums</w:t>
            </w:r>
          </w:p>
        </w:tc>
        <w:tc>
          <w:tcPr>
            <w:tcW w:w="3686" w:type="dxa"/>
            <w:shd w:val="clear" w:color="auto" w:fill="auto"/>
            <w:vAlign w:val="bottom"/>
            <w:hideMark/>
          </w:tcPr>
          <w:p w14:paraId="6CAE168B" w14:textId="026ECFB4" w:rsidR="00315FEF" w:rsidRPr="00327DAE" w:rsidRDefault="00315FEF" w:rsidP="0025317F">
            <w:pPr>
              <w:pStyle w:val="Heading3"/>
            </w:pPr>
            <w:bookmarkStart w:id="51" w:name="_Toc522527524"/>
            <w:r w:rsidRPr="00327DAE">
              <w:t>Fiziskās personas maksātnespējas pieteikums</w:t>
            </w:r>
            <w:bookmarkEnd w:id="51"/>
          </w:p>
        </w:tc>
      </w:tr>
      <w:tr w:rsidR="00747072" w:rsidRPr="00327DAE" w14:paraId="019C5FA8" w14:textId="77777777" w:rsidTr="00DA5069">
        <w:trPr>
          <w:trHeight w:val="422"/>
        </w:trPr>
        <w:tc>
          <w:tcPr>
            <w:tcW w:w="562" w:type="dxa"/>
            <w:vMerge/>
          </w:tcPr>
          <w:p w14:paraId="3D0BAD8B"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5220A86" w14:textId="27F6BB06"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14:paraId="247DC995" w14:textId="3962E295" w:rsidR="00747072" w:rsidRPr="00DA5069" w:rsidRDefault="00747072" w:rsidP="0025317F">
            <w:pPr>
              <w:spacing w:after="120"/>
              <w:rPr>
                <w:b/>
                <w:i/>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14:paraId="55FA625D" w14:textId="02CAD8BD" w:rsidR="00747072" w:rsidRPr="00DA5069" w:rsidRDefault="00747072" w:rsidP="0025317F">
            <w:pPr>
              <w:spacing w:after="120"/>
              <w:rPr>
                <w:b/>
                <w:i/>
              </w:rPr>
            </w:pPr>
            <w:r w:rsidRPr="00DA5069">
              <w:rPr>
                <w:b/>
                <w:bCs/>
                <w:i/>
                <w:color w:val="000000"/>
              </w:rPr>
              <w:t>Lietu sadales veids/iemesls</w:t>
            </w:r>
          </w:p>
        </w:tc>
      </w:tr>
      <w:tr w:rsidR="00747072" w:rsidRPr="00327DAE" w14:paraId="2E0F3A46" w14:textId="77777777" w:rsidTr="00DA5069">
        <w:trPr>
          <w:trHeight w:val="422"/>
        </w:trPr>
        <w:tc>
          <w:tcPr>
            <w:tcW w:w="562" w:type="dxa"/>
            <w:vMerge/>
          </w:tcPr>
          <w:p w14:paraId="154FAEA2" w14:textId="77777777"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569B4D53" w14:textId="5A9230AB" w:rsidR="00747072" w:rsidRPr="00DA5069" w:rsidRDefault="00747072" w:rsidP="0025317F">
            <w:pPr>
              <w:spacing w:after="120"/>
              <w:rPr>
                <w:i/>
              </w:rPr>
            </w:pPr>
            <w:r w:rsidRPr="00DA5069">
              <w:rPr>
                <w:i/>
                <w:color w:val="000000"/>
              </w:rPr>
              <w:t>08.02.2012</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1EF241A5" w14:textId="3561F161" w:rsidR="00747072" w:rsidRPr="00DA5069" w:rsidRDefault="00747072" w:rsidP="0025317F">
            <w:pPr>
              <w:spacing w:after="120"/>
              <w:rPr>
                <w:i/>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14:paraId="4ECD1E46" w14:textId="0975E73D" w:rsidR="00747072" w:rsidRPr="00DA5069" w:rsidRDefault="00747072" w:rsidP="0025317F">
            <w:pPr>
              <w:spacing w:after="120"/>
              <w:rPr>
                <w:i/>
              </w:rPr>
            </w:pPr>
            <w:r w:rsidRPr="00DA5069">
              <w:rPr>
                <w:i/>
                <w:color w:val="000000"/>
              </w:rPr>
              <w:t>Datorizēta lietu sadale. Tiesneša nozīmēšana.</w:t>
            </w:r>
          </w:p>
        </w:tc>
      </w:tr>
      <w:tr w:rsidR="00315FEF" w:rsidRPr="00327DAE" w14:paraId="65F44630" w14:textId="77777777" w:rsidTr="00A75539">
        <w:trPr>
          <w:trHeight w:val="422"/>
        </w:trPr>
        <w:tc>
          <w:tcPr>
            <w:tcW w:w="562" w:type="dxa"/>
            <w:vMerge/>
          </w:tcPr>
          <w:p w14:paraId="4016575D"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4DC34D4D" w14:textId="77777777" w:rsidR="00B831FB" w:rsidRPr="00327DAE" w:rsidRDefault="00B831FB" w:rsidP="0025317F">
            <w:pPr>
              <w:spacing w:after="120"/>
              <w:rPr>
                <w:i/>
                <w:sz w:val="24"/>
                <w:szCs w:val="24"/>
              </w:rPr>
            </w:pPr>
            <w:r w:rsidRPr="00327DAE">
              <w:rPr>
                <w:i/>
                <w:sz w:val="24"/>
                <w:szCs w:val="24"/>
              </w:rPr>
              <w:t>Augstākās tiesas norādītais pamats sprieduma atcelšanai</w:t>
            </w:r>
          </w:p>
          <w:p w14:paraId="36E76401" w14:textId="02330FB9" w:rsidR="00315FEF" w:rsidRPr="00327DAE" w:rsidRDefault="00315FEF" w:rsidP="0025317F">
            <w:pPr>
              <w:spacing w:after="120"/>
              <w:rPr>
                <w:sz w:val="24"/>
                <w:szCs w:val="24"/>
              </w:rPr>
            </w:pPr>
            <w:r w:rsidRPr="00327DAE">
              <w:rPr>
                <w:sz w:val="24"/>
                <w:szCs w:val="24"/>
              </w:rPr>
              <w:t>Tiesa spriedumā nav vērtējusi pieteicēja iespējas kārtot parādsaistības, ņemot vērā viņa ikmēneša ienākumus; tiesa nav ņēmusi vērā Cēsu rajona tiesas spriedumu, kas taisīts par to pašu p</w:t>
            </w:r>
            <w:r w:rsidR="00536A07" w:rsidRPr="00327DAE">
              <w:rPr>
                <w:sz w:val="24"/>
                <w:szCs w:val="24"/>
              </w:rPr>
              <w:t>riekšmetu un uz tā paša pamata.</w:t>
            </w:r>
          </w:p>
        </w:tc>
      </w:tr>
      <w:tr w:rsidR="00315FEF" w:rsidRPr="00327DAE" w14:paraId="6BF52470" w14:textId="77777777" w:rsidTr="00A75539">
        <w:trPr>
          <w:trHeight w:val="422"/>
        </w:trPr>
        <w:tc>
          <w:tcPr>
            <w:tcW w:w="562" w:type="dxa"/>
            <w:vMerge/>
          </w:tcPr>
          <w:p w14:paraId="673598BF"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0E31B427" w14:textId="77777777" w:rsidR="00315FEF" w:rsidRPr="00327DAE" w:rsidRDefault="00315FEF" w:rsidP="0025317F">
            <w:pPr>
              <w:spacing w:after="120"/>
              <w:rPr>
                <w:i/>
                <w:sz w:val="24"/>
                <w:szCs w:val="24"/>
              </w:rPr>
            </w:pPr>
            <w:r w:rsidRPr="00327DAE">
              <w:rPr>
                <w:i/>
                <w:sz w:val="24"/>
                <w:szCs w:val="24"/>
              </w:rPr>
              <w:t>Ekspertu secinājumi</w:t>
            </w:r>
          </w:p>
          <w:p w14:paraId="3B0939A4" w14:textId="77906A73" w:rsidR="00315FEF" w:rsidRPr="00327DAE" w:rsidRDefault="001E7B78" w:rsidP="0025317F">
            <w:pPr>
              <w:spacing w:after="120"/>
              <w:rPr>
                <w:sz w:val="24"/>
                <w:szCs w:val="24"/>
              </w:rPr>
            </w:pPr>
            <w:r>
              <w:rPr>
                <w:sz w:val="24"/>
                <w:szCs w:val="24"/>
              </w:rPr>
              <w:t>Par „</w:t>
            </w:r>
            <w:r w:rsidR="001D0C89" w:rsidRPr="00327DAE">
              <w:rPr>
                <w:sz w:val="24"/>
                <w:szCs w:val="24"/>
              </w:rPr>
              <w:t xml:space="preserve">ceļošanu”: </w:t>
            </w:r>
            <w:r w:rsidR="009409DC">
              <w:rPr>
                <w:sz w:val="24"/>
                <w:szCs w:val="24"/>
              </w:rPr>
              <w:t>l</w:t>
            </w:r>
            <w:r w:rsidR="009409DC" w:rsidRPr="00327DAE">
              <w:rPr>
                <w:sz w:val="24"/>
                <w:szCs w:val="24"/>
              </w:rPr>
              <w:t xml:space="preserve">ietas </w:t>
            </w:r>
            <w:r w:rsidR="001D0C89" w:rsidRPr="00327DAE">
              <w:rPr>
                <w:sz w:val="24"/>
                <w:szCs w:val="24"/>
              </w:rPr>
              <w:t xml:space="preserve">materiāli liecina, ka uz lietas izskatīšanas brīdi lietā nebija ziņu par </w:t>
            </w:r>
            <w:r w:rsidR="00315FEF" w:rsidRPr="00327DAE">
              <w:rPr>
                <w:sz w:val="24"/>
                <w:szCs w:val="24"/>
              </w:rPr>
              <w:t>iepriekš pieņemto Cēsu rajona tiesas spriedumu. Lietas materiāli liecina, ka tiesnesim bija pieejama informācija par pieteikuma iesniedzēja ikmēneša ienākumiem, tomēr spriedumā nav atspoguļots šīs informācijas vērtējums kontekstā ar pieteikuma iesniedzēja spēju nokārtot parādsaistības, tāpēc nav iespējams pārliecināties, vai tiesnesis šos apstākļus ir vērtējis. Tādējādi ir konsta</w:t>
            </w:r>
            <w:r w:rsidR="00536A07" w:rsidRPr="00327DAE">
              <w:rPr>
                <w:sz w:val="24"/>
                <w:szCs w:val="24"/>
              </w:rPr>
              <w:t>tējam</w:t>
            </w:r>
            <w:r w:rsidR="00D33E0A" w:rsidRPr="00327DAE">
              <w:rPr>
                <w:sz w:val="24"/>
                <w:szCs w:val="24"/>
              </w:rPr>
              <w:t>a nopietna kļūda</w:t>
            </w:r>
            <w:r w:rsidR="00536A07" w:rsidRPr="00327DAE">
              <w:rPr>
                <w:sz w:val="24"/>
                <w:szCs w:val="24"/>
              </w:rPr>
              <w:t>.</w:t>
            </w:r>
            <w:r w:rsidR="00AE5B7C" w:rsidRPr="00327DAE">
              <w:rPr>
                <w:sz w:val="24"/>
                <w:szCs w:val="24"/>
              </w:rPr>
              <w:t xml:space="preserve"> </w:t>
            </w:r>
          </w:p>
        </w:tc>
      </w:tr>
      <w:tr w:rsidR="00315FEF" w:rsidRPr="00327DAE" w14:paraId="0A62C4BE" w14:textId="77777777" w:rsidTr="00A75539">
        <w:trPr>
          <w:trHeight w:val="416"/>
        </w:trPr>
        <w:tc>
          <w:tcPr>
            <w:tcW w:w="562" w:type="dxa"/>
            <w:vMerge w:val="restart"/>
          </w:tcPr>
          <w:p w14:paraId="3683D10D" w14:textId="22E7C3B5" w:rsidR="00315FEF" w:rsidRPr="00327DAE" w:rsidRDefault="00315FEF" w:rsidP="0025317F">
            <w:pPr>
              <w:spacing w:after="120"/>
              <w:rPr>
                <w:b/>
                <w:sz w:val="24"/>
                <w:szCs w:val="24"/>
              </w:rPr>
            </w:pPr>
            <w:r w:rsidRPr="00327DAE">
              <w:rPr>
                <w:b/>
                <w:sz w:val="24"/>
                <w:szCs w:val="24"/>
              </w:rPr>
              <w:t>37.</w:t>
            </w:r>
          </w:p>
        </w:tc>
        <w:tc>
          <w:tcPr>
            <w:tcW w:w="1701" w:type="dxa"/>
            <w:shd w:val="clear" w:color="auto" w:fill="auto"/>
            <w:noWrap/>
            <w:vAlign w:val="bottom"/>
            <w:hideMark/>
          </w:tcPr>
          <w:p w14:paraId="79F7BD01" w14:textId="77777777" w:rsidR="00315FEF" w:rsidRPr="00327DAE" w:rsidRDefault="00315FEF" w:rsidP="0025317F">
            <w:pPr>
              <w:spacing w:after="120"/>
              <w:rPr>
                <w:b/>
                <w:sz w:val="24"/>
                <w:szCs w:val="24"/>
              </w:rPr>
            </w:pPr>
            <w:r w:rsidRPr="00327DAE">
              <w:rPr>
                <w:b/>
                <w:sz w:val="24"/>
                <w:szCs w:val="24"/>
              </w:rPr>
              <w:t>C24194714</w:t>
            </w:r>
            <w:r w:rsidRPr="00327DAE">
              <w:rPr>
                <w:rStyle w:val="FootnoteReference"/>
                <w:b/>
                <w:sz w:val="24"/>
                <w:szCs w:val="24"/>
              </w:rPr>
              <w:footnoteReference w:id="37"/>
            </w:r>
          </w:p>
        </w:tc>
        <w:tc>
          <w:tcPr>
            <w:tcW w:w="2410" w:type="dxa"/>
            <w:shd w:val="clear" w:color="auto" w:fill="auto"/>
            <w:vAlign w:val="bottom"/>
            <w:hideMark/>
          </w:tcPr>
          <w:p w14:paraId="301AD509" w14:textId="77777777" w:rsidR="00315FEF" w:rsidRPr="00327DAE" w:rsidRDefault="00315FEF" w:rsidP="0025317F">
            <w:pPr>
              <w:spacing w:after="120"/>
              <w:rPr>
                <w:b/>
                <w:color w:val="000000"/>
                <w:sz w:val="24"/>
                <w:szCs w:val="24"/>
              </w:rPr>
            </w:pPr>
          </w:p>
        </w:tc>
        <w:tc>
          <w:tcPr>
            <w:tcW w:w="3686" w:type="dxa"/>
            <w:shd w:val="clear" w:color="auto" w:fill="auto"/>
            <w:vAlign w:val="bottom"/>
            <w:hideMark/>
          </w:tcPr>
          <w:p w14:paraId="106B95E9" w14:textId="77777777" w:rsidR="00315FEF" w:rsidRPr="00327DAE" w:rsidRDefault="00315FEF" w:rsidP="0025317F">
            <w:pPr>
              <w:pStyle w:val="Heading3"/>
            </w:pPr>
            <w:bookmarkStart w:id="52" w:name="_Toc522527525"/>
            <w:r w:rsidRPr="00327DAE">
              <w:t>SIA „</w:t>
            </w:r>
            <w:proofErr w:type="spellStart"/>
            <w:r w:rsidRPr="00327DAE">
              <w:t>Europe</w:t>
            </w:r>
            <w:proofErr w:type="spellEnd"/>
            <w:r w:rsidRPr="00327DAE">
              <w:t xml:space="preserve"> </w:t>
            </w:r>
            <w:proofErr w:type="spellStart"/>
            <w:r w:rsidRPr="00327DAE">
              <w:t>chain</w:t>
            </w:r>
            <w:proofErr w:type="spellEnd"/>
            <w:r w:rsidRPr="00327DAE">
              <w:t xml:space="preserve"> store”: ĀTAP pieteikums</w:t>
            </w:r>
            <w:bookmarkEnd w:id="52"/>
          </w:p>
        </w:tc>
      </w:tr>
      <w:tr w:rsidR="00991915" w:rsidRPr="00327DAE" w14:paraId="19B17092" w14:textId="77777777" w:rsidTr="00DA5069">
        <w:trPr>
          <w:trHeight w:val="416"/>
        </w:trPr>
        <w:tc>
          <w:tcPr>
            <w:tcW w:w="562" w:type="dxa"/>
            <w:vMerge/>
          </w:tcPr>
          <w:p w14:paraId="177190D6" w14:textId="77777777" w:rsidR="00991915" w:rsidRPr="00327DAE" w:rsidRDefault="00991915" w:rsidP="0025317F">
            <w:pPr>
              <w:spacing w:after="120"/>
              <w:rPr>
                <w:b/>
                <w:sz w:val="24"/>
                <w:szCs w:val="24"/>
              </w:rPr>
            </w:pPr>
          </w:p>
        </w:tc>
        <w:tc>
          <w:tcPr>
            <w:tcW w:w="1701" w:type="dxa"/>
            <w:shd w:val="clear" w:color="auto" w:fill="E7E6E6" w:themeFill="background2"/>
            <w:noWrap/>
            <w:vAlign w:val="center"/>
          </w:tcPr>
          <w:p w14:paraId="7ACE2B05" w14:textId="4390662E" w:rsidR="00991915" w:rsidRPr="009D11F9" w:rsidRDefault="00991915" w:rsidP="0025317F">
            <w:pPr>
              <w:spacing w:after="120"/>
              <w:rPr>
                <w:b/>
                <w:i/>
              </w:rPr>
            </w:pPr>
            <w:r w:rsidRPr="009D11F9">
              <w:rPr>
                <w:b/>
                <w:i/>
              </w:rPr>
              <w:t>Sadales datums</w:t>
            </w:r>
          </w:p>
        </w:tc>
        <w:tc>
          <w:tcPr>
            <w:tcW w:w="2410" w:type="dxa"/>
            <w:shd w:val="clear" w:color="auto" w:fill="E7E6E6" w:themeFill="background2"/>
            <w:vAlign w:val="center"/>
          </w:tcPr>
          <w:p w14:paraId="52555162" w14:textId="15ACCFED" w:rsidR="00991915" w:rsidRPr="009D11F9" w:rsidRDefault="00991915" w:rsidP="0025317F">
            <w:pPr>
              <w:spacing w:after="120"/>
              <w:rPr>
                <w:b/>
                <w:i/>
              </w:rPr>
            </w:pPr>
            <w:r w:rsidRPr="009D11F9">
              <w:rPr>
                <w:b/>
                <w:i/>
              </w:rPr>
              <w:t>Tiesnesis pēc sadales</w:t>
            </w:r>
          </w:p>
        </w:tc>
        <w:tc>
          <w:tcPr>
            <w:tcW w:w="3686" w:type="dxa"/>
            <w:shd w:val="clear" w:color="auto" w:fill="E7E6E6" w:themeFill="background2"/>
            <w:vAlign w:val="bottom"/>
          </w:tcPr>
          <w:p w14:paraId="2E1FEC1A" w14:textId="21B16914" w:rsidR="00991915" w:rsidRPr="009D11F9" w:rsidRDefault="00991915" w:rsidP="0025317F">
            <w:pPr>
              <w:spacing w:after="120"/>
              <w:rPr>
                <w:b/>
                <w:i/>
              </w:rPr>
            </w:pPr>
            <w:r w:rsidRPr="009D11F9">
              <w:rPr>
                <w:b/>
                <w:i/>
              </w:rPr>
              <w:t>Lietu sadales veids/iemesls</w:t>
            </w:r>
          </w:p>
        </w:tc>
      </w:tr>
      <w:tr w:rsidR="00246E58" w:rsidRPr="00327DAE" w14:paraId="1716A757" w14:textId="77777777" w:rsidTr="00DA5069">
        <w:trPr>
          <w:trHeight w:val="416"/>
        </w:trPr>
        <w:tc>
          <w:tcPr>
            <w:tcW w:w="562" w:type="dxa"/>
            <w:vMerge/>
          </w:tcPr>
          <w:p w14:paraId="60B353F7" w14:textId="77777777" w:rsidR="00246E58" w:rsidRPr="00327DAE" w:rsidRDefault="00246E58" w:rsidP="0025317F">
            <w:pPr>
              <w:spacing w:after="120"/>
              <w:rPr>
                <w:b/>
                <w:sz w:val="24"/>
                <w:szCs w:val="24"/>
              </w:rPr>
            </w:pPr>
          </w:p>
        </w:tc>
        <w:tc>
          <w:tcPr>
            <w:tcW w:w="1701" w:type="dxa"/>
            <w:shd w:val="clear" w:color="auto" w:fill="E7E6E6" w:themeFill="background2"/>
            <w:noWrap/>
            <w:vAlign w:val="bottom"/>
          </w:tcPr>
          <w:p w14:paraId="5AA90C49" w14:textId="28852811" w:rsidR="00246E58" w:rsidRPr="009D11F9" w:rsidRDefault="00246E58" w:rsidP="0025317F">
            <w:pPr>
              <w:spacing w:after="120"/>
              <w:rPr>
                <w:i/>
              </w:rPr>
            </w:pPr>
            <w:r w:rsidRPr="009D11F9">
              <w:rPr>
                <w:i/>
              </w:rPr>
              <w:t>26.09.2014</w:t>
            </w:r>
          </w:p>
        </w:tc>
        <w:tc>
          <w:tcPr>
            <w:tcW w:w="2410" w:type="dxa"/>
            <w:shd w:val="clear" w:color="auto" w:fill="E7E6E6" w:themeFill="background2"/>
            <w:vAlign w:val="bottom"/>
          </w:tcPr>
          <w:p w14:paraId="22493964" w14:textId="2F11CA4F" w:rsidR="00246E58" w:rsidRPr="009D11F9" w:rsidRDefault="00246E58" w:rsidP="0025317F">
            <w:pPr>
              <w:spacing w:after="120"/>
              <w:rPr>
                <w:i/>
              </w:rPr>
            </w:pPr>
            <w:r w:rsidRPr="009D11F9">
              <w:rPr>
                <w:i/>
              </w:rPr>
              <w:t>Dainis Plaudis</w:t>
            </w:r>
          </w:p>
        </w:tc>
        <w:tc>
          <w:tcPr>
            <w:tcW w:w="3686" w:type="dxa"/>
            <w:shd w:val="clear" w:color="auto" w:fill="E7E6E6" w:themeFill="background2"/>
            <w:vAlign w:val="bottom"/>
          </w:tcPr>
          <w:p w14:paraId="6E2B883E" w14:textId="681CC348" w:rsidR="00246E58" w:rsidRPr="009D11F9" w:rsidRDefault="00246E58" w:rsidP="0025317F">
            <w:pPr>
              <w:spacing w:after="120"/>
              <w:rPr>
                <w:i/>
              </w:rPr>
            </w:pPr>
            <w:r w:rsidRPr="009D11F9">
              <w:rPr>
                <w:i/>
              </w:rPr>
              <w:t>Datorizēta lietu sadale</w:t>
            </w:r>
          </w:p>
        </w:tc>
      </w:tr>
      <w:tr w:rsidR="00246E58" w:rsidRPr="00327DAE" w14:paraId="2FFF08A3" w14:textId="77777777" w:rsidTr="00DA5069">
        <w:trPr>
          <w:trHeight w:val="416"/>
        </w:trPr>
        <w:tc>
          <w:tcPr>
            <w:tcW w:w="562" w:type="dxa"/>
            <w:vMerge/>
          </w:tcPr>
          <w:p w14:paraId="176E2F70" w14:textId="77777777" w:rsidR="00246E58" w:rsidRPr="00327DAE" w:rsidRDefault="00246E58" w:rsidP="0025317F">
            <w:pPr>
              <w:spacing w:after="120"/>
              <w:rPr>
                <w:b/>
                <w:sz w:val="24"/>
                <w:szCs w:val="24"/>
              </w:rPr>
            </w:pPr>
          </w:p>
        </w:tc>
        <w:tc>
          <w:tcPr>
            <w:tcW w:w="1701" w:type="dxa"/>
            <w:shd w:val="clear" w:color="auto" w:fill="E7E6E6" w:themeFill="background2"/>
            <w:noWrap/>
            <w:vAlign w:val="bottom"/>
          </w:tcPr>
          <w:p w14:paraId="791EA171" w14:textId="327C80C4" w:rsidR="00246E58" w:rsidRPr="009D11F9" w:rsidRDefault="00246E58" w:rsidP="0025317F">
            <w:pPr>
              <w:spacing w:after="120"/>
              <w:rPr>
                <w:i/>
              </w:rPr>
            </w:pPr>
            <w:r w:rsidRPr="009D11F9">
              <w:rPr>
                <w:i/>
              </w:rPr>
              <w:t>08.12.2014</w:t>
            </w:r>
          </w:p>
        </w:tc>
        <w:tc>
          <w:tcPr>
            <w:tcW w:w="2410" w:type="dxa"/>
            <w:shd w:val="clear" w:color="auto" w:fill="E7E6E6" w:themeFill="background2"/>
            <w:vAlign w:val="bottom"/>
          </w:tcPr>
          <w:p w14:paraId="27247060" w14:textId="6D64B059" w:rsidR="00246E58" w:rsidRPr="009D11F9" w:rsidRDefault="00246E58" w:rsidP="0025317F">
            <w:pPr>
              <w:spacing w:after="120"/>
              <w:rPr>
                <w:i/>
              </w:rPr>
            </w:pPr>
            <w:r w:rsidRPr="009D11F9">
              <w:rPr>
                <w:i/>
              </w:rPr>
              <w:t>Dainis Plaudis</w:t>
            </w:r>
          </w:p>
        </w:tc>
        <w:tc>
          <w:tcPr>
            <w:tcW w:w="3686" w:type="dxa"/>
            <w:shd w:val="clear" w:color="auto" w:fill="E7E6E6" w:themeFill="background2"/>
            <w:vAlign w:val="bottom"/>
          </w:tcPr>
          <w:p w14:paraId="3BF7E453" w14:textId="3337D909" w:rsidR="00246E58" w:rsidRPr="009D11F9" w:rsidRDefault="00246E58" w:rsidP="0025317F">
            <w:pPr>
              <w:spacing w:after="120"/>
              <w:rPr>
                <w:i/>
              </w:rPr>
            </w:pPr>
            <w:r w:rsidRPr="009D11F9">
              <w:rPr>
                <w:i/>
              </w:rPr>
              <w:t>Manuāla lietu sadale</w:t>
            </w:r>
          </w:p>
        </w:tc>
      </w:tr>
      <w:tr w:rsidR="00315FEF" w:rsidRPr="00327DAE" w14:paraId="2256E8AF" w14:textId="77777777" w:rsidTr="00A75539">
        <w:trPr>
          <w:trHeight w:val="416"/>
        </w:trPr>
        <w:tc>
          <w:tcPr>
            <w:tcW w:w="562" w:type="dxa"/>
            <w:vMerge/>
          </w:tcPr>
          <w:p w14:paraId="0A22703D"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2153AE6A" w14:textId="49CA61F3" w:rsidR="00315FEF" w:rsidRPr="00327DAE" w:rsidRDefault="00315FEF" w:rsidP="0025317F">
            <w:pPr>
              <w:spacing w:after="120"/>
              <w:rPr>
                <w:sz w:val="24"/>
                <w:szCs w:val="24"/>
              </w:rPr>
            </w:pPr>
            <w:r w:rsidRPr="00327DAE">
              <w:rPr>
                <w:sz w:val="24"/>
                <w:szCs w:val="24"/>
              </w:rPr>
              <w:t xml:space="preserve">Protests par tiesneša pieņemtajiem lēmumiem </w:t>
            </w:r>
            <w:r w:rsidR="00536A07" w:rsidRPr="00327DAE">
              <w:rPr>
                <w:sz w:val="24"/>
                <w:szCs w:val="24"/>
              </w:rPr>
              <w:t>Augstākajā tiesā nav iesniegts.</w:t>
            </w:r>
          </w:p>
        </w:tc>
      </w:tr>
      <w:tr w:rsidR="00315FEF" w:rsidRPr="00327DAE" w14:paraId="57CCD656" w14:textId="77777777" w:rsidTr="00A75539">
        <w:trPr>
          <w:trHeight w:val="416"/>
        </w:trPr>
        <w:tc>
          <w:tcPr>
            <w:tcW w:w="562" w:type="dxa"/>
            <w:vMerge/>
          </w:tcPr>
          <w:p w14:paraId="7B2942AF" w14:textId="77777777" w:rsidR="00315FEF" w:rsidRPr="00327DAE" w:rsidRDefault="00315FEF" w:rsidP="0025317F">
            <w:pPr>
              <w:spacing w:after="120"/>
              <w:rPr>
                <w:sz w:val="24"/>
                <w:szCs w:val="24"/>
              </w:rPr>
            </w:pPr>
          </w:p>
        </w:tc>
        <w:tc>
          <w:tcPr>
            <w:tcW w:w="7797" w:type="dxa"/>
            <w:gridSpan w:val="3"/>
            <w:shd w:val="clear" w:color="auto" w:fill="auto"/>
            <w:noWrap/>
            <w:vAlign w:val="bottom"/>
          </w:tcPr>
          <w:p w14:paraId="78F02DDB" w14:textId="77777777" w:rsidR="00315FEF" w:rsidRPr="00327DAE" w:rsidRDefault="00315FEF" w:rsidP="0025317F">
            <w:pPr>
              <w:spacing w:after="120"/>
              <w:rPr>
                <w:i/>
                <w:sz w:val="24"/>
                <w:szCs w:val="24"/>
              </w:rPr>
            </w:pPr>
            <w:r w:rsidRPr="00327DAE">
              <w:rPr>
                <w:i/>
                <w:sz w:val="24"/>
                <w:szCs w:val="24"/>
              </w:rPr>
              <w:t>Ekspertu secinājumi</w:t>
            </w:r>
          </w:p>
          <w:p w14:paraId="1D6571D6" w14:textId="79D48A55" w:rsidR="00315FEF" w:rsidRPr="00327DAE" w:rsidRDefault="00315FEF" w:rsidP="0025317F">
            <w:pPr>
              <w:spacing w:after="120"/>
              <w:rPr>
                <w:sz w:val="24"/>
                <w:szCs w:val="24"/>
              </w:rPr>
            </w:pPr>
            <w:r w:rsidRPr="00327DAE">
              <w:rPr>
                <w:sz w:val="24"/>
                <w:szCs w:val="24"/>
              </w:rPr>
              <w:t>Šajā gadījumā maksātnespējas lieta bija noslēgusies sekmīgi, visi kreditoru prasījumi tika apmierināti un kreditoru sūdzības nav saņemtas, protests Augstākajā tiesā nav iesniegts. Tiesnesim nevar pārmest, ka uzņēmums nomainījis juridisko adresi, lai varētu iesniegt pieteikumu konkrētajā tiesā. Līdz ar to nav konstat</w:t>
            </w:r>
            <w:r w:rsidR="00536A07" w:rsidRPr="00327DAE">
              <w:rPr>
                <w:sz w:val="24"/>
                <w:szCs w:val="24"/>
              </w:rPr>
              <w:t>ējami normatīvo aktu pārkāpumi.</w:t>
            </w:r>
          </w:p>
        </w:tc>
      </w:tr>
      <w:tr w:rsidR="00922310" w:rsidRPr="00327DAE" w14:paraId="33A35EA1" w14:textId="77777777" w:rsidTr="00CE5959">
        <w:trPr>
          <w:trHeight w:val="416"/>
        </w:trPr>
        <w:tc>
          <w:tcPr>
            <w:tcW w:w="8359" w:type="dxa"/>
            <w:gridSpan w:val="4"/>
          </w:tcPr>
          <w:p w14:paraId="25F76172" w14:textId="4D703F70" w:rsidR="00922310" w:rsidRPr="00327DAE" w:rsidRDefault="00922310" w:rsidP="0025317F">
            <w:pPr>
              <w:spacing w:after="120"/>
              <w:rPr>
                <w:i/>
                <w:sz w:val="24"/>
                <w:szCs w:val="24"/>
              </w:rPr>
            </w:pPr>
            <w:r w:rsidRPr="00327DAE">
              <w:rPr>
                <w:i/>
                <w:sz w:val="24"/>
                <w:szCs w:val="24"/>
              </w:rPr>
              <w:t xml:space="preserve">Apkopojoši ekspertu secinājumi par tiesneša </w:t>
            </w:r>
            <w:r>
              <w:rPr>
                <w:i/>
                <w:sz w:val="24"/>
                <w:szCs w:val="24"/>
              </w:rPr>
              <w:t>D. </w:t>
            </w:r>
            <w:r w:rsidRPr="00327DAE">
              <w:rPr>
                <w:i/>
                <w:sz w:val="24"/>
                <w:szCs w:val="24"/>
              </w:rPr>
              <w:t xml:space="preserve">Plauža nolēmumiem </w:t>
            </w:r>
          </w:p>
          <w:p w14:paraId="1E621A7F" w14:textId="783A7E80" w:rsidR="00922310" w:rsidRPr="00327DAE" w:rsidRDefault="00922310" w:rsidP="0025317F">
            <w:pPr>
              <w:spacing w:after="120"/>
              <w:rPr>
                <w:sz w:val="24"/>
                <w:szCs w:val="24"/>
              </w:rPr>
            </w:pPr>
            <w:r w:rsidRPr="00327DAE">
              <w:rPr>
                <w:sz w:val="24"/>
                <w:szCs w:val="24"/>
              </w:rPr>
              <w:t xml:space="preserve">Tiesnesis </w:t>
            </w:r>
            <w:r w:rsidR="00FD0FC9">
              <w:rPr>
                <w:sz w:val="24"/>
                <w:szCs w:val="24"/>
              </w:rPr>
              <w:t>D. </w:t>
            </w:r>
            <w:r w:rsidRPr="00327DAE">
              <w:rPr>
                <w:sz w:val="24"/>
                <w:szCs w:val="24"/>
              </w:rPr>
              <w:t>Plaudis 2008.</w:t>
            </w:r>
            <w:r w:rsidR="009409DC">
              <w:rPr>
                <w:sz w:val="24"/>
                <w:szCs w:val="24"/>
              </w:rPr>
              <w:t>–</w:t>
            </w:r>
            <w:r w:rsidRPr="00327DAE">
              <w:rPr>
                <w:sz w:val="24"/>
                <w:szCs w:val="24"/>
              </w:rPr>
              <w:t>2014.</w:t>
            </w:r>
            <w:r w:rsidR="009409DC">
              <w:rPr>
                <w:sz w:val="24"/>
                <w:szCs w:val="24"/>
              </w:rPr>
              <w:t> </w:t>
            </w:r>
            <w:r w:rsidRPr="00327DAE">
              <w:rPr>
                <w:sz w:val="24"/>
                <w:szCs w:val="24"/>
              </w:rPr>
              <w:t>gad</w:t>
            </w:r>
            <w:r w:rsidR="009409DC">
              <w:rPr>
                <w:sz w:val="24"/>
                <w:szCs w:val="24"/>
              </w:rPr>
              <w:t>ā</w:t>
            </w:r>
            <w:r w:rsidRPr="00327DAE">
              <w:rPr>
                <w:sz w:val="24"/>
                <w:szCs w:val="24"/>
              </w:rPr>
              <w:t xml:space="preserve"> izskatījis 5454 liet</w:t>
            </w:r>
            <w:r w:rsidR="009409DC">
              <w:rPr>
                <w:sz w:val="24"/>
                <w:szCs w:val="24"/>
              </w:rPr>
              <w:t>as</w:t>
            </w:r>
            <w:r w:rsidRPr="00327DAE">
              <w:rPr>
                <w:sz w:val="24"/>
                <w:szCs w:val="24"/>
              </w:rPr>
              <w:t>, no tām 1063 civillietas. TIS šajā laika posmā civillietās pievienoti 9877 nolēmumi. Kasācijas instancē saņemti protesti par 8 nolēmumiem, no tiem 7 nolēmumi atcelti pilnīgi vai daļēji</w:t>
            </w:r>
            <w:r w:rsidR="009409DC">
              <w:rPr>
                <w:sz w:val="24"/>
                <w:szCs w:val="24"/>
              </w:rPr>
              <w:t>,</w:t>
            </w:r>
            <w:r w:rsidRPr="00327DAE">
              <w:rPr>
                <w:sz w:val="24"/>
                <w:szCs w:val="24"/>
              </w:rPr>
              <w:t xml:space="preserve"> un jautājums nosūtīts jaunai izskatīšanai.</w:t>
            </w:r>
          </w:p>
          <w:p w14:paraId="349F49F0" w14:textId="6A1962B7" w:rsidR="00922310" w:rsidRPr="00327DAE" w:rsidRDefault="00922310" w:rsidP="0025317F">
            <w:pPr>
              <w:spacing w:after="120"/>
              <w:rPr>
                <w:sz w:val="24"/>
                <w:szCs w:val="24"/>
              </w:rPr>
            </w:pPr>
            <w:r w:rsidRPr="00327DAE">
              <w:rPr>
                <w:sz w:val="24"/>
                <w:szCs w:val="24"/>
              </w:rPr>
              <w:t>Lai pārbaudītu izskanējušo apgalvojumu, ka personas mērķtiecīgi mainīja dzīvesvietas vai juridisko adresi, lai to maksātnespējas pieteikumus skatītu Ogres rajona tiesā, kurā strādāja arī tiesnesi</w:t>
            </w:r>
            <w:r w:rsidR="009409DC">
              <w:rPr>
                <w:sz w:val="24"/>
                <w:szCs w:val="24"/>
              </w:rPr>
              <w:t>s</w:t>
            </w:r>
            <w:r w:rsidRPr="00327DAE">
              <w:rPr>
                <w:sz w:val="24"/>
                <w:szCs w:val="24"/>
              </w:rPr>
              <w:t xml:space="preserve"> </w:t>
            </w:r>
            <w:r w:rsidR="00FD0FC9">
              <w:rPr>
                <w:sz w:val="24"/>
                <w:szCs w:val="24"/>
              </w:rPr>
              <w:t>D. </w:t>
            </w:r>
            <w:r w:rsidRPr="00327DAE">
              <w:rPr>
                <w:sz w:val="24"/>
                <w:szCs w:val="24"/>
              </w:rPr>
              <w:t xml:space="preserve">Plaudis, izmantojot Tiesu informācijas sistēmā pieejamos nolēmumus. </w:t>
            </w:r>
          </w:p>
          <w:p w14:paraId="5DE440D2" w14:textId="6AECF645" w:rsidR="00922310" w:rsidRPr="00327DAE" w:rsidRDefault="00922310" w:rsidP="0025317F">
            <w:pPr>
              <w:spacing w:after="120"/>
              <w:rPr>
                <w:sz w:val="24"/>
                <w:szCs w:val="24"/>
              </w:rPr>
            </w:pPr>
            <w:r w:rsidRPr="00327DAE">
              <w:rPr>
                <w:sz w:val="24"/>
                <w:szCs w:val="24"/>
              </w:rPr>
              <w:t>Fizisko personu maksātnespējas procesos līdz 2010.</w:t>
            </w:r>
            <w:r w:rsidR="009409DC">
              <w:rPr>
                <w:sz w:val="24"/>
                <w:szCs w:val="24"/>
              </w:rPr>
              <w:t> </w:t>
            </w:r>
            <w:r w:rsidRPr="00327DAE">
              <w:rPr>
                <w:sz w:val="24"/>
                <w:szCs w:val="24"/>
              </w:rPr>
              <w:t xml:space="preserve">gada likuma pieņemšanai pastāvēja šaubas par normatīvā regulējuma piemērošanas iespēju fiziskām personām, kuru rīcībā saskatāmas saimnieciskās darbības veikšanas pazīmes. </w:t>
            </w:r>
          </w:p>
          <w:p w14:paraId="1897A0D1" w14:textId="53717135" w:rsidR="00922310" w:rsidRPr="00327DAE" w:rsidRDefault="00922310" w:rsidP="0025317F">
            <w:pPr>
              <w:spacing w:after="120"/>
              <w:rPr>
                <w:sz w:val="24"/>
                <w:szCs w:val="24"/>
              </w:rPr>
            </w:pPr>
            <w:r w:rsidRPr="00327DAE">
              <w:rPr>
                <w:sz w:val="24"/>
                <w:szCs w:val="24"/>
              </w:rPr>
              <w:t xml:space="preserve">Tika atsevišķi analizēti tiesneša </w:t>
            </w:r>
            <w:r>
              <w:rPr>
                <w:sz w:val="24"/>
                <w:szCs w:val="24"/>
              </w:rPr>
              <w:t>D. </w:t>
            </w:r>
            <w:r w:rsidRPr="00327DAE">
              <w:rPr>
                <w:sz w:val="24"/>
                <w:szCs w:val="24"/>
              </w:rPr>
              <w:t xml:space="preserve">Plauža nolēmumi, lai noskaidrotu, kāds bija viņa pamatojums atteikties pieņemt fizisko personu maksātnespējas pieteikumu. Secināts, ka nevienā no Tiesu informatīvās sistēmas datubāzē ar dažādiem meklēšanas veidiem atrastajiem 14 nolēmumiem arguments atteikumam pasludināt fiziskās personas maksātnespēju nav bijis tās veikto darījumu iespējamais saimnieciskās darbības raksturs. Atteikuma pamatojums bija: </w:t>
            </w:r>
          </w:p>
          <w:p w14:paraId="0C013451" w14:textId="77777777" w:rsidR="00922310" w:rsidRPr="00327DAE" w:rsidRDefault="00922310" w:rsidP="0025317F">
            <w:pPr>
              <w:spacing w:after="120"/>
              <w:rPr>
                <w:sz w:val="24"/>
                <w:szCs w:val="24"/>
              </w:rPr>
            </w:pPr>
            <w:r w:rsidRPr="00327DAE">
              <w:rPr>
                <w:sz w:val="24"/>
                <w:szCs w:val="24"/>
              </w:rPr>
              <w:t xml:space="preserve">1) nav bijis nodokļu maksātājs pēdējo 6 mēnešu laikā (atbilst Augstākās tiesas atziņām lietā SPC-77/2011); </w:t>
            </w:r>
          </w:p>
          <w:p w14:paraId="2540B85B" w14:textId="77777777" w:rsidR="00922310" w:rsidRPr="00327DAE" w:rsidRDefault="00922310" w:rsidP="0025317F">
            <w:pPr>
              <w:spacing w:after="120"/>
              <w:rPr>
                <w:sz w:val="24"/>
                <w:szCs w:val="24"/>
              </w:rPr>
            </w:pPr>
            <w:r w:rsidRPr="00327DAE">
              <w:rPr>
                <w:sz w:val="24"/>
                <w:szCs w:val="24"/>
              </w:rPr>
              <w:t xml:space="preserve">2) kontā nav līdzekļu, lai samaksātu minimālo administratora atlīdzību; </w:t>
            </w:r>
          </w:p>
          <w:p w14:paraId="3EED45FD" w14:textId="7A50B1FD" w:rsidR="00922310" w:rsidRPr="00327DAE" w:rsidRDefault="00922310" w:rsidP="0025317F">
            <w:pPr>
              <w:spacing w:after="120"/>
              <w:rPr>
                <w:sz w:val="24"/>
                <w:szCs w:val="24"/>
              </w:rPr>
            </w:pPr>
            <w:r w:rsidRPr="00327DAE">
              <w:rPr>
                <w:sz w:val="24"/>
                <w:szCs w:val="24"/>
              </w:rPr>
              <w:t xml:space="preserve">3) atkārtoti iesniedz pieteikumu, ko tiesa jau izvērtējusi iepriekš (šāds bija Augstākās tiesas lēmuma pamatojums SPC-37/2012, atceļot tiesneša </w:t>
            </w:r>
            <w:r w:rsidR="001E7B78">
              <w:rPr>
                <w:sz w:val="24"/>
                <w:szCs w:val="24"/>
              </w:rPr>
              <w:t>D. </w:t>
            </w:r>
            <w:r w:rsidRPr="00327DAE">
              <w:rPr>
                <w:sz w:val="24"/>
                <w:szCs w:val="24"/>
              </w:rPr>
              <w:t xml:space="preserve">Plauža nolēmumu); </w:t>
            </w:r>
          </w:p>
          <w:p w14:paraId="2FA2C6F7" w14:textId="4210D3E6" w:rsidR="00922310" w:rsidRPr="00327DAE" w:rsidRDefault="00922310" w:rsidP="0025317F">
            <w:pPr>
              <w:spacing w:after="120"/>
              <w:rPr>
                <w:sz w:val="24"/>
                <w:szCs w:val="24"/>
              </w:rPr>
            </w:pPr>
            <w:r w:rsidRPr="00327DAE">
              <w:rPr>
                <w:sz w:val="24"/>
                <w:szCs w:val="24"/>
              </w:rPr>
              <w:t xml:space="preserve">4) nav ievērota piekritība </w:t>
            </w:r>
            <w:r w:rsidR="009409DC">
              <w:rPr>
                <w:sz w:val="24"/>
                <w:szCs w:val="24"/>
              </w:rPr>
              <w:t>–</w:t>
            </w:r>
            <w:r w:rsidRPr="00327DAE">
              <w:rPr>
                <w:sz w:val="24"/>
                <w:szCs w:val="24"/>
              </w:rPr>
              <w:t xml:space="preserve"> pieteicējas galveno interešu centrs atrodas Lietuvas Republikā; </w:t>
            </w:r>
          </w:p>
          <w:p w14:paraId="12B7B339" w14:textId="77777777" w:rsidR="00922310" w:rsidRPr="00327DAE" w:rsidRDefault="00922310" w:rsidP="0025317F">
            <w:pPr>
              <w:spacing w:after="120"/>
              <w:rPr>
                <w:sz w:val="24"/>
                <w:szCs w:val="24"/>
              </w:rPr>
            </w:pPr>
            <w:r w:rsidRPr="00327DAE">
              <w:rPr>
                <w:sz w:val="24"/>
                <w:szCs w:val="24"/>
              </w:rPr>
              <w:t xml:space="preserve">5) pieteikums nosūtīts pa pastu, nevis iesniegts personīgi. </w:t>
            </w:r>
          </w:p>
          <w:p w14:paraId="2C633BBE" w14:textId="77777777" w:rsidR="00922310" w:rsidRPr="00E27399" w:rsidRDefault="00922310" w:rsidP="0025317F">
            <w:pPr>
              <w:spacing w:after="120"/>
              <w:rPr>
                <w:sz w:val="24"/>
                <w:szCs w:val="24"/>
              </w:rPr>
            </w:pPr>
            <w:r w:rsidRPr="00327DAE">
              <w:rPr>
                <w:sz w:val="24"/>
                <w:szCs w:val="24"/>
              </w:rPr>
              <w:t xml:space="preserve">Secināms, ka tiesnesis konsekventi izlēmis jautājumu par fiziskās personas maksātnespējas procesa </w:t>
            </w:r>
            <w:r w:rsidRPr="00E27399">
              <w:rPr>
                <w:sz w:val="24"/>
                <w:szCs w:val="24"/>
              </w:rPr>
              <w:t xml:space="preserve">attiecināšanu uz fiziskām personām, kuru rīcībā varētu būt saskatāmas saimnieciskās darbības veikšanas pazīmes. No tā var secināt, ka tiesnesis konsekventi pieturējies vienai doktrīnai, kas arī var būt par iemeslu fizisko personu, </w:t>
            </w:r>
            <w:r w:rsidRPr="00E27399">
              <w:rPr>
                <w:sz w:val="24"/>
                <w:szCs w:val="24"/>
              </w:rPr>
              <w:lastRenderedPageBreak/>
              <w:t>kuras veic saimniecisko darbību, bet nav komersanti, vēlmei nokļūt pie konkrētā tiesneša. Tas nekādā ziņā nav pamats, lai izteiktu pārmetumus tiesnesim.</w:t>
            </w:r>
          </w:p>
          <w:p w14:paraId="75F7BE0A" w14:textId="06A532D3" w:rsidR="00922310" w:rsidRPr="00E27399" w:rsidRDefault="00922310" w:rsidP="0025317F">
            <w:pPr>
              <w:spacing w:after="120"/>
              <w:rPr>
                <w:sz w:val="24"/>
                <w:szCs w:val="24"/>
              </w:rPr>
            </w:pPr>
            <w:r w:rsidRPr="001E7B78">
              <w:rPr>
                <w:sz w:val="24"/>
                <w:szCs w:val="24"/>
              </w:rPr>
              <w:t>Pi</w:t>
            </w:r>
            <w:r w:rsidRPr="00E27399">
              <w:rPr>
                <w:sz w:val="24"/>
                <w:szCs w:val="24"/>
              </w:rPr>
              <w:t>eņēmums – ka iemesls ir fizisko personu maksātnespējas attiecināšana uz saimn</w:t>
            </w:r>
            <w:r w:rsidR="001E7B78">
              <w:rPr>
                <w:sz w:val="24"/>
                <w:szCs w:val="24"/>
              </w:rPr>
              <w:t xml:space="preserve">ieciskās </w:t>
            </w:r>
            <w:r w:rsidRPr="00E27399">
              <w:rPr>
                <w:sz w:val="24"/>
                <w:szCs w:val="24"/>
              </w:rPr>
              <w:t>darbības veicējiem – ir tikai viens no vairākiem iespējamiem.</w:t>
            </w:r>
          </w:p>
          <w:p w14:paraId="3C42738E" w14:textId="77777777" w:rsidR="00922310" w:rsidRPr="00E27399" w:rsidRDefault="00922310" w:rsidP="0025317F">
            <w:pPr>
              <w:spacing w:after="120"/>
              <w:rPr>
                <w:sz w:val="24"/>
                <w:szCs w:val="24"/>
              </w:rPr>
            </w:pPr>
            <w:r w:rsidRPr="00E27399">
              <w:rPr>
                <w:sz w:val="24"/>
                <w:szCs w:val="24"/>
              </w:rPr>
              <w:t>Darba grupas pārbaudītās lietas nesniedz atbildi (pat pieņēmuma līmenī), kāds tieši ir izskaidrojums pieteicēju mērķtiecīgai adreses maiņai.</w:t>
            </w:r>
          </w:p>
          <w:p w14:paraId="60799704" w14:textId="5C57D40B" w:rsidR="00922310" w:rsidRPr="00327DAE" w:rsidRDefault="00922310" w:rsidP="0025317F">
            <w:pPr>
              <w:spacing w:after="120"/>
              <w:rPr>
                <w:i/>
                <w:sz w:val="24"/>
                <w:szCs w:val="24"/>
              </w:rPr>
            </w:pPr>
            <w:r w:rsidRPr="00E27399">
              <w:rPr>
                <w:sz w:val="24"/>
                <w:szCs w:val="24"/>
              </w:rPr>
              <w:t xml:space="preserve">Ņemot vērā, ka no četrām žurnāla publikācijās norādītajām lietām nopietnas kļūdas ir saskatāmas divās lietās un šīs kļūdas pēc to rakstura ir atšķirīgas (nav vērtēts pirms fiziskās personas maksātnespējas pieteikuma iesniegšanas veikts darījums, nav vērtēti fiziskās personas ikmēneša ienākumi kontekstā ar iespēju nokārtot parādsaistības), atzīstams, ka tiesneša nolēmumos nav saskatāma sistēmiska kļūdu </w:t>
            </w:r>
            <w:r w:rsidRPr="00E27399">
              <w:rPr>
                <w:i/>
                <w:sz w:val="24"/>
                <w:szCs w:val="24"/>
              </w:rPr>
              <w:t>tendence</w:t>
            </w:r>
            <w:r w:rsidRPr="00E27399">
              <w:rPr>
                <w:sz w:val="24"/>
                <w:szCs w:val="24"/>
              </w:rPr>
              <w:t>. Kļūdas novērstas ar augstākas instances tiesas nolēmumu.</w:t>
            </w:r>
          </w:p>
        </w:tc>
      </w:tr>
    </w:tbl>
    <w:p w14:paraId="25CAF5DF" w14:textId="77777777" w:rsidR="0088381C" w:rsidRPr="00327DAE" w:rsidRDefault="0088381C" w:rsidP="0025317F">
      <w:pPr>
        <w:spacing w:after="120"/>
        <w:rPr>
          <w:sz w:val="24"/>
          <w:szCs w:val="24"/>
        </w:rPr>
      </w:pPr>
    </w:p>
    <w:p w14:paraId="014A758F" w14:textId="02B1C336" w:rsidR="00DE37BC" w:rsidRPr="00327DAE" w:rsidRDefault="00DE37BC" w:rsidP="0025317F">
      <w:pPr>
        <w:pStyle w:val="Heading2"/>
        <w:rPr>
          <w:rFonts w:cs="Times New Roman"/>
          <w:szCs w:val="24"/>
        </w:rPr>
      </w:pPr>
      <w:bookmarkStart w:id="53" w:name="_Toc522527526"/>
      <w:r w:rsidRPr="00327DAE">
        <w:rPr>
          <w:rFonts w:cs="Times New Roman"/>
          <w:szCs w:val="24"/>
        </w:rPr>
        <w:t xml:space="preserve">Tiesnese Jolanta </w:t>
      </w:r>
      <w:proofErr w:type="spellStart"/>
      <w:r w:rsidRPr="00327DAE">
        <w:rPr>
          <w:rFonts w:cs="Times New Roman"/>
          <w:szCs w:val="24"/>
        </w:rPr>
        <w:t>Zaškina</w:t>
      </w:r>
      <w:bookmarkEnd w:id="53"/>
      <w:proofErr w:type="spellEnd"/>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799"/>
      </w:tblGrid>
      <w:tr w:rsidR="00574BB5" w:rsidRPr="00327DAE" w14:paraId="01347A83" w14:textId="77777777" w:rsidTr="00E732C1">
        <w:trPr>
          <w:trHeight w:val="301"/>
        </w:trPr>
        <w:tc>
          <w:tcPr>
            <w:tcW w:w="562" w:type="dxa"/>
            <w:vMerge w:val="restart"/>
          </w:tcPr>
          <w:p w14:paraId="60407AFF" w14:textId="61A34D0B" w:rsidR="00574BB5" w:rsidRPr="00327DAE" w:rsidRDefault="00574BB5" w:rsidP="0025317F">
            <w:pPr>
              <w:spacing w:after="120"/>
              <w:rPr>
                <w:b/>
                <w:color w:val="000000"/>
                <w:sz w:val="24"/>
                <w:szCs w:val="24"/>
              </w:rPr>
            </w:pPr>
            <w:r w:rsidRPr="00327DAE">
              <w:rPr>
                <w:b/>
                <w:color w:val="000000"/>
                <w:sz w:val="24"/>
                <w:szCs w:val="24"/>
              </w:rPr>
              <w:t>38.</w:t>
            </w:r>
          </w:p>
        </w:tc>
        <w:tc>
          <w:tcPr>
            <w:tcW w:w="1560" w:type="dxa"/>
            <w:shd w:val="clear" w:color="auto" w:fill="auto"/>
            <w:noWrap/>
            <w:vAlign w:val="bottom"/>
          </w:tcPr>
          <w:p w14:paraId="24BB6C71" w14:textId="77777777" w:rsidR="00574BB5" w:rsidRPr="00327DAE" w:rsidRDefault="00574BB5" w:rsidP="0025317F">
            <w:pPr>
              <w:spacing w:after="120"/>
              <w:rPr>
                <w:b/>
                <w:color w:val="000000"/>
                <w:sz w:val="24"/>
                <w:szCs w:val="24"/>
              </w:rPr>
            </w:pPr>
            <w:r w:rsidRPr="00327DAE">
              <w:rPr>
                <w:b/>
                <w:color w:val="000000"/>
                <w:sz w:val="24"/>
                <w:szCs w:val="24"/>
              </w:rPr>
              <w:t>C29769013</w:t>
            </w:r>
            <w:r w:rsidRPr="00327DAE">
              <w:rPr>
                <w:rStyle w:val="FootnoteReference"/>
                <w:b/>
                <w:color w:val="000000"/>
                <w:sz w:val="24"/>
                <w:szCs w:val="24"/>
              </w:rPr>
              <w:footnoteReference w:id="38"/>
            </w:r>
          </w:p>
          <w:p w14:paraId="453C02CB" w14:textId="00E0DF3E" w:rsidR="00574BB5" w:rsidRPr="00327DAE" w:rsidRDefault="00574BB5" w:rsidP="0025317F">
            <w:pPr>
              <w:spacing w:after="120"/>
              <w:rPr>
                <w:b/>
                <w:sz w:val="24"/>
                <w:szCs w:val="24"/>
                <w:u w:val="single"/>
              </w:rPr>
            </w:pPr>
            <w:r w:rsidRPr="00327DAE">
              <w:rPr>
                <w:b/>
                <w:sz w:val="24"/>
                <w:szCs w:val="24"/>
              </w:rPr>
              <w:t>SPC-7/2014</w:t>
            </w:r>
          </w:p>
        </w:tc>
        <w:tc>
          <w:tcPr>
            <w:tcW w:w="2409" w:type="dxa"/>
            <w:shd w:val="clear" w:color="auto" w:fill="auto"/>
            <w:vAlign w:val="bottom"/>
          </w:tcPr>
          <w:p w14:paraId="2A43F41F" w14:textId="2AA4AC1C" w:rsidR="00574BB5" w:rsidRPr="00327DAE" w:rsidRDefault="00574BB5" w:rsidP="0025317F">
            <w:pPr>
              <w:spacing w:after="120"/>
              <w:rPr>
                <w:b/>
                <w:sz w:val="24"/>
                <w:szCs w:val="24"/>
              </w:rPr>
            </w:pPr>
            <w:r w:rsidRPr="00327DAE">
              <w:rPr>
                <w:b/>
                <w:sz w:val="24"/>
                <w:szCs w:val="24"/>
              </w:rPr>
              <w:t>04.11.2013.</w:t>
            </w:r>
          </w:p>
          <w:p w14:paraId="0BF922F4" w14:textId="77777777" w:rsidR="00574BB5" w:rsidRPr="00327DAE" w:rsidRDefault="00574BB5" w:rsidP="0025317F">
            <w:pPr>
              <w:spacing w:after="120"/>
              <w:rPr>
                <w:b/>
                <w:color w:val="000000"/>
                <w:sz w:val="24"/>
                <w:szCs w:val="24"/>
              </w:rPr>
            </w:pPr>
            <w:r w:rsidRPr="00327DAE">
              <w:rPr>
                <w:b/>
                <w:color w:val="000000"/>
                <w:sz w:val="24"/>
                <w:szCs w:val="24"/>
              </w:rPr>
              <w:t>lēmums</w:t>
            </w:r>
          </w:p>
        </w:tc>
        <w:tc>
          <w:tcPr>
            <w:tcW w:w="3799" w:type="dxa"/>
            <w:shd w:val="clear" w:color="auto" w:fill="auto"/>
            <w:vAlign w:val="bottom"/>
          </w:tcPr>
          <w:p w14:paraId="6FBEAE60" w14:textId="77777777" w:rsidR="00574BB5" w:rsidRPr="00327DAE" w:rsidRDefault="00574BB5" w:rsidP="0025317F">
            <w:pPr>
              <w:pStyle w:val="Heading3"/>
            </w:pPr>
            <w:bookmarkStart w:id="54" w:name="_Toc522527527"/>
            <w:r w:rsidRPr="00327DAE">
              <w:t>SIA „</w:t>
            </w:r>
            <w:proofErr w:type="spellStart"/>
            <w:r w:rsidRPr="00327DAE">
              <w:t>Winergy</w:t>
            </w:r>
            <w:proofErr w:type="spellEnd"/>
            <w:r w:rsidRPr="00327DAE">
              <w:t>”: Kreditora pieteikums par maksātnespējas pasludināšanu</w:t>
            </w:r>
            <w:bookmarkEnd w:id="54"/>
          </w:p>
        </w:tc>
      </w:tr>
      <w:tr w:rsidR="00246E58" w:rsidRPr="00327DAE" w14:paraId="315D9DAB" w14:textId="77777777" w:rsidTr="00E732C1">
        <w:trPr>
          <w:trHeight w:val="301"/>
        </w:trPr>
        <w:tc>
          <w:tcPr>
            <w:tcW w:w="562" w:type="dxa"/>
            <w:vMerge/>
          </w:tcPr>
          <w:p w14:paraId="2345431F" w14:textId="77777777" w:rsidR="00246E58" w:rsidRPr="00327DAE" w:rsidRDefault="00246E58" w:rsidP="0025317F">
            <w:pPr>
              <w:spacing w:after="120"/>
              <w:rPr>
                <w:b/>
                <w:color w:val="000000"/>
                <w:sz w:val="24"/>
                <w:szCs w:val="24"/>
              </w:rPr>
            </w:pPr>
          </w:p>
        </w:tc>
        <w:tc>
          <w:tcPr>
            <w:tcW w:w="1560" w:type="dxa"/>
            <w:shd w:val="clear" w:color="auto" w:fill="E7E6E6" w:themeFill="background2"/>
            <w:noWrap/>
            <w:vAlign w:val="center"/>
          </w:tcPr>
          <w:p w14:paraId="332CB9DB" w14:textId="6CB22F91" w:rsidR="00246E58" w:rsidRPr="009D11F9" w:rsidRDefault="00246E58" w:rsidP="0025317F">
            <w:pPr>
              <w:spacing w:after="120"/>
              <w:rPr>
                <w:b/>
                <w:i/>
              </w:rPr>
            </w:pPr>
            <w:r w:rsidRPr="009D11F9">
              <w:rPr>
                <w:b/>
                <w:i/>
              </w:rPr>
              <w:t>Sadales datums</w:t>
            </w:r>
          </w:p>
        </w:tc>
        <w:tc>
          <w:tcPr>
            <w:tcW w:w="2409" w:type="dxa"/>
            <w:shd w:val="clear" w:color="auto" w:fill="E7E6E6" w:themeFill="background2"/>
            <w:vAlign w:val="center"/>
          </w:tcPr>
          <w:p w14:paraId="55E2C5DF" w14:textId="0AD7B4B5" w:rsidR="00246E58" w:rsidRPr="009D11F9" w:rsidRDefault="00246E58" w:rsidP="0025317F">
            <w:pPr>
              <w:spacing w:after="120"/>
              <w:rPr>
                <w:b/>
                <w:i/>
              </w:rPr>
            </w:pPr>
            <w:r w:rsidRPr="009D11F9">
              <w:rPr>
                <w:b/>
                <w:i/>
              </w:rPr>
              <w:t>Tiesnesis pēc sadales</w:t>
            </w:r>
          </w:p>
        </w:tc>
        <w:tc>
          <w:tcPr>
            <w:tcW w:w="3799" w:type="dxa"/>
            <w:shd w:val="clear" w:color="auto" w:fill="E7E6E6" w:themeFill="background2"/>
            <w:vAlign w:val="bottom"/>
          </w:tcPr>
          <w:p w14:paraId="77CDE881" w14:textId="103C2DF1" w:rsidR="00246E58" w:rsidRPr="009D11F9" w:rsidRDefault="00246E58" w:rsidP="0025317F">
            <w:pPr>
              <w:spacing w:after="120"/>
              <w:rPr>
                <w:b/>
                <w:i/>
              </w:rPr>
            </w:pPr>
            <w:r w:rsidRPr="009D11F9">
              <w:rPr>
                <w:b/>
                <w:i/>
              </w:rPr>
              <w:t>Lietu sadales veids/iemesls</w:t>
            </w:r>
          </w:p>
        </w:tc>
      </w:tr>
      <w:tr w:rsidR="00246E58" w:rsidRPr="00327DAE" w14:paraId="1BFABA5B" w14:textId="77777777" w:rsidTr="00E732C1">
        <w:trPr>
          <w:trHeight w:val="301"/>
        </w:trPr>
        <w:tc>
          <w:tcPr>
            <w:tcW w:w="562" w:type="dxa"/>
            <w:vMerge/>
          </w:tcPr>
          <w:p w14:paraId="7673F0A7" w14:textId="77777777" w:rsidR="00246E58" w:rsidRPr="00327DAE" w:rsidRDefault="00246E58" w:rsidP="0025317F">
            <w:pPr>
              <w:spacing w:after="120"/>
              <w:rPr>
                <w:b/>
                <w:color w:val="000000"/>
                <w:sz w:val="24"/>
                <w:szCs w:val="24"/>
              </w:rPr>
            </w:pPr>
          </w:p>
        </w:tc>
        <w:tc>
          <w:tcPr>
            <w:tcW w:w="1560" w:type="dxa"/>
            <w:shd w:val="clear" w:color="auto" w:fill="E7E6E6" w:themeFill="background2"/>
            <w:noWrap/>
            <w:vAlign w:val="bottom"/>
          </w:tcPr>
          <w:p w14:paraId="58E42EED" w14:textId="741F8DFB" w:rsidR="00246E58" w:rsidRPr="009D11F9" w:rsidRDefault="00246E58" w:rsidP="0025317F">
            <w:pPr>
              <w:spacing w:after="120"/>
              <w:rPr>
                <w:i/>
              </w:rPr>
            </w:pPr>
            <w:r w:rsidRPr="009D11F9">
              <w:rPr>
                <w:i/>
              </w:rPr>
              <w:t>25.09.2013</w:t>
            </w:r>
          </w:p>
        </w:tc>
        <w:tc>
          <w:tcPr>
            <w:tcW w:w="2409" w:type="dxa"/>
            <w:shd w:val="clear" w:color="auto" w:fill="E7E6E6" w:themeFill="background2"/>
            <w:vAlign w:val="bottom"/>
          </w:tcPr>
          <w:p w14:paraId="44E92878" w14:textId="27CB86D2" w:rsidR="00246E58" w:rsidRPr="009D11F9" w:rsidRDefault="00246E58" w:rsidP="0025317F">
            <w:pPr>
              <w:spacing w:after="120"/>
              <w:rPr>
                <w:i/>
              </w:rPr>
            </w:pPr>
            <w:r w:rsidRPr="009D11F9">
              <w:rPr>
                <w:i/>
              </w:rPr>
              <w:t xml:space="preserve">Jolanta </w:t>
            </w:r>
            <w:proofErr w:type="spellStart"/>
            <w:r w:rsidRPr="009D11F9">
              <w:rPr>
                <w:i/>
              </w:rPr>
              <w:t>Zaškina</w:t>
            </w:r>
            <w:proofErr w:type="spellEnd"/>
          </w:p>
        </w:tc>
        <w:tc>
          <w:tcPr>
            <w:tcW w:w="3799" w:type="dxa"/>
            <w:shd w:val="clear" w:color="auto" w:fill="E7E6E6" w:themeFill="background2"/>
            <w:vAlign w:val="bottom"/>
          </w:tcPr>
          <w:p w14:paraId="3FC24C6D" w14:textId="632A8EAF" w:rsidR="00246E58" w:rsidRPr="009D11F9" w:rsidRDefault="00246E58" w:rsidP="0025317F">
            <w:pPr>
              <w:spacing w:after="120"/>
              <w:rPr>
                <w:i/>
              </w:rPr>
            </w:pPr>
            <w:r w:rsidRPr="009D11F9">
              <w:rPr>
                <w:i/>
              </w:rPr>
              <w:t>Datorizēta lietu sadale</w:t>
            </w:r>
          </w:p>
        </w:tc>
      </w:tr>
      <w:tr w:rsidR="00574BB5" w:rsidRPr="00327DAE" w14:paraId="46D19B13" w14:textId="77777777" w:rsidTr="00E732C1">
        <w:trPr>
          <w:trHeight w:val="301"/>
        </w:trPr>
        <w:tc>
          <w:tcPr>
            <w:tcW w:w="562" w:type="dxa"/>
            <w:vMerge/>
          </w:tcPr>
          <w:p w14:paraId="554C9AC7" w14:textId="77777777" w:rsidR="00574BB5" w:rsidRPr="00327DAE" w:rsidRDefault="00574BB5" w:rsidP="0025317F">
            <w:pPr>
              <w:spacing w:after="120"/>
              <w:rPr>
                <w:sz w:val="24"/>
                <w:szCs w:val="24"/>
              </w:rPr>
            </w:pPr>
          </w:p>
        </w:tc>
        <w:tc>
          <w:tcPr>
            <w:tcW w:w="7768" w:type="dxa"/>
            <w:gridSpan w:val="3"/>
            <w:shd w:val="clear" w:color="auto" w:fill="auto"/>
            <w:noWrap/>
            <w:vAlign w:val="bottom"/>
          </w:tcPr>
          <w:p w14:paraId="58796D25" w14:textId="6F7AD7DD" w:rsidR="00574BB5" w:rsidRPr="00327DAE" w:rsidRDefault="00574BB5" w:rsidP="0025317F">
            <w:pPr>
              <w:spacing w:after="120"/>
              <w:rPr>
                <w:i/>
                <w:sz w:val="24"/>
                <w:szCs w:val="24"/>
              </w:rPr>
            </w:pPr>
            <w:r w:rsidRPr="00327DAE">
              <w:rPr>
                <w:i/>
                <w:sz w:val="24"/>
                <w:szCs w:val="24"/>
              </w:rPr>
              <w:t>Augstākās tiesas norādītais pamats lēmuma atcelšanai</w:t>
            </w:r>
          </w:p>
          <w:p w14:paraId="4709320B" w14:textId="5FC4DED5" w:rsidR="00574BB5" w:rsidRPr="00327DAE" w:rsidRDefault="00574BB5" w:rsidP="0025317F">
            <w:pPr>
              <w:spacing w:after="120"/>
              <w:rPr>
                <w:sz w:val="24"/>
                <w:szCs w:val="24"/>
              </w:rPr>
            </w:pPr>
            <w:r w:rsidRPr="00327DAE">
              <w:rPr>
                <w:sz w:val="24"/>
                <w:szCs w:val="24"/>
              </w:rPr>
              <w:t>Kaut arī no Maksātnespējas likuma 57. panta 2. punkta izriet prezumpcija, ka parādnieks ir uzskatāms par maksātnespējīgu, ja nepilda saistības, par kurām nav strīda, tomēr tiesai, formāli konstatējot šos apstākļus, būtu jāpārbauda arī citi apstākļi, kas liek apšaubīt prezumpciju, ka nemaksāšana i</w:t>
            </w:r>
            <w:r w:rsidR="00536A07" w:rsidRPr="00327DAE">
              <w:rPr>
                <w:sz w:val="24"/>
                <w:szCs w:val="24"/>
              </w:rPr>
              <w:t>r saistīta ar nespēju samaksāt.</w:t>
            </w:r>
          </w:p>
        </w:tc>
      </w:tr>
      <w:tr w:rsidR="00574BB5" w:rsidRPr="00327DAE" w14:paraId="7D865F74" w14:textId="77777777" w:rsidTr="00E732C1">
        <w:trPr>
          <w:trHeight w:val="301"/>
        </w:trPr>
        <w:tc>
          <w:tcPr>
            <w:tcW w:w="562" w:type="dxa"/>
            <w:vMerge/>
          </w:tcPr>
          <w:p w14:paraId="723701E3" w14:textId="77777777" w:rsidR="00574BB5" w:rsidRPr="00327DAE" w:rsidRDefault="00574BB5" w:rsidP="0025317F">
            <w:pPr>
              <w:spacing w:after="120"/>
              <w:rPr>
                <w:sz w:val="24"/>
                <w:szCs w:val="24"/>
              </w:rPr>
            </w:pPr>
          </w:p>
        </w:tc>
        <w:tc>
          <w:tcPr>
            <w:tcW w:w="7768" w:type="dxa"/>
            <w:gridSpan w:val="3"/>
            <w:shd w:val="clear" w:color="auto" w:fill="auto"/>
            <w:noWrap/>
            <w:vAlign w:val="bottom"/>
          </w:tcPr>
          <w:p w14:paraId="43506770" w14:textId="77777777" w:rsidR="00574BB5" w:rsidRPr="00327DAE" w:rsidRDefault="00574BB5" w:rsidP="0025317F">
            <w:pPr>
              <w:spacing w:after="120"/>
              <w:rPr>
                <w:i/>
                <w:sz w:val="24"/>
                <w:szCs w:val="24"/>
              </w:rPr>
            </w:pPr>
            <w:r w:rsidRPr="00327DAE">
              <w:rPr>
                <w:i/>
                <w:sz w:val="24"/>
                <w:szCs w:val="24"/>
              </w:rPr>
              <w:t>Ekspertu secinājumi</w:t>
            </w:r>
          </w:p>
          <w:p w14:paraId="7DC7C657" w14:textId="3718C5D7" w:rsidR="00574BB5" w:rsidRPr="00327DAE" w:rsidRDefault="00574BB5" w:rsidP="0025317F">
            <w:pPr>
              <w:spacing w:after="120"/>
              <w:rPr>
                <w:sz w:val="24"/>
                <w:szCs w:val="24"/>
              </w:rPr>
            </w:pPr>
            <w:r w:rsidRPr="00327DAE">
              <w:rPr>
                <w:sz w:val="24"/>
                <w:szCs w:val="24"/>
              </w:rPr>
              <w:t xml:space="preserve">Pēc būtības tiesai būtu jāvērtē visi dokumenti, kas </w:t>
            </w:r>
            <w:r w:rsidR="00D033A2" w:rsidRPr="00327DAE">
              <w:rPr>
                <w:sz w:val="24"/>
                <w:szCs w:val="24"/>
              </w:rPr>
              <w:t>pievienoti lietai</w:t>
            </w:r>
            <w:r w:rsidRPr="00327DAE">
              <w:rPr>
                <w:sz w:val="24"/>
                <w:szCs w:val="24"/>
              </w:rPr>
              <w:t>. Ja situācijā, kad maksātnespējas pieteikums iesniegts par 3 700 </w:t>
            </w:r>
            <w:proofErr w:type="spellStart"/>
            <w:r w:rsidRPr="00327DAE">
              <w:rPr>
                <w:i/>
                <w:sz w:val="24"/>
                <w:szCs w:val="24"/>
              </w:rPr>
              <w:t>euro</w:t>
            </w:r>
            <w:proofErr w:type="spellEnd"/>
            <w:r w:rsidRPr="00327DAE">
              <w:rPr>
                <w:sz w:val="24"/>
                <w:szCs w:val="24"/>
              </w:rPr>
              <w:t xml:space="preserve"> lielu parādu (pieteikuma iesniedzējs – SIA „</w:t>
            </w:r>
            <w:proofErr w:type="spellStart"/>
            <w:r w:rsidRPr="00327DAE">
              <w:rPr>
                <w:sz w:val="24"/>
                <w:szCs w:val="24"/>
              </w:rPr>
              <w:t>Powernet</w:t>
            </w:r>
            <w:proofErr w:type="spellEnd"/>
            <w:r w:rsidRPr="00327DAE">
              <w:rPr>
                <w:sz w:val="24"/>
                <w:szCs w:val="24"/>
              </w:rPr>
              <w:t>”), nodrošinātais kreditors (banka) norādīja, ka parādniekam ik mēnesi ir ienākumi 280 000 </w:t>
            </w:r>
            <w:proofErr w:type="spellStart"/>
            <w:r w:rsidRPr="00327DAE">
              <w:rPr>
                <w:i/>
                <w:sz w:val="24"/>
                <w:szCs w:val="24"/>
              </w:rPr>
              <w:t>euro</w:t>
            </w:r>
            <w:proofErr w:type="spellEnd"/>
            <w:r w:rsidRPr="00327DAE">
              <w:rPr>
                <w:sz w:val="24"/>
                <w:szCs w:val="24"/>
              </w:rPr>
              <w:t xml:space="preserve"> no elektroenerģijas iepirkuma, tad tiesai šī norāde bija jāvērtē. Tomēr jāņem vērā, ka atbilstoši tā laika praksei maksātnespējas lietās, kamēr persona nebija atzīta par kreditoru, viņa</w:t>
            </w:r>
            <w:r w:rsidR="00D033A2" w:rsidRPr="00327DAE">
              <w:rPr>
                <w:sz w:val="24"/>
                <w:szCs w:val="24"/>
              </w:rPr>
              <w:t>s</w:t>
            </w:r>
            <w:r w:rsidRPr="00327DAE">
              <w:rPr>
                <w:sz w:val="24"/>
                <w:szCs w:val="24"/>
              </w:rPr>
              <w:t xml:space="preserve"> iebildumus tiesa varēja nevērtēt. Tika uzskatīts arī, ka, ja ir maksātnespējas pazīmes, tad lieta ir jāierosina, jo kavēšanās ar maksātnespējas ierosināšanu samazina parādu atgūšanas iespējas. Likums nenosaka tiesas pienākumu pārbaudīt, vai parādnieks vēlas vai nevēlas samaksāt parādu, tiesai jāpārbauda, vai parāds ir vai nav faktiski samaksāts.</w:t>
            </w:r>
          </w:p>
          <w:p w14:paraId="7410E1C7" w14:textId="4037E94B" w:rsidR="00574BB5" w:rsidRPr="00327DAE" w:rsidRDefault="00574BB5" w:rsidP="0025317F">
            <w:pPr>
              <w:spacing w:after="120"/>
              <w:rPr>
                <w:sz w:val="24"/>
                <w:szCs w:val="24"/>
              </w:rPr>
            </w:pPr>
            <w:r w:rsidRPr="00327DAE">
              <w:rPr>
                <w:sz w:val="24"/>
                <w:szCs w:val="24"/>
              </w:rPr>
              <w:t>Vienā dienā ar SIA „</w:t>
            </w:r>
            <w:proofErr w:type="spellStart"/>
            <w:r w:rsidRPr="00327DAE">
              <w:rPr>
                <w:sz w:val="24"/>
                <w:szCs w:val="24"/>
              </w:rPr>
              <w:t>Powernet</w:t>
            </w:r>
            <w:proofErr w:type="spellEnd"/>
            <w:r w:rsidRPr="00327DAE">
              <w:rPr>
                <w:sz w:val="24"/>
                <w:szCs w:val="24"/>
              </w:rPr>
              <w:t>” 2013. gada 25. septembra kreditora pieteikumu par maksātnespējas procesa pasludināšanu iesniedza arī SIA „</w:t>
            </w:r>
            <w:proofErr w:type="spellStart"/>
            <w:r w:rsidRPr="00327DAE">
              <w:rPr>
                <w:sz w:val="24"/>
                <w:szCs w:val="24"/>
              </w:rPr>
              <w:t>Energynet</w:t>
            </w:r>
            <w:proofErr w:type="spellEnd"/>
            <w:r w:rsidRPr="00327DAE">
              <w:rPr>
                <w:sz w:val="24"/>
                <w:szCs w:val="24"/>
              </w:rPr>
              <w:t xml:space="preserve">” </w:t>
            </w:r>
            <w:r w:rsidRPr="00327DAE">
              <w:rPr>
                <w:sz w:val="24"/>
                <w:szCs w:val="24"/>
              </w:rPr>
              <w:lastRenderedPageBreak/>
              <w:t>(izskatīja tiesnese Sviķe) un SIA „</w:t>
            </w:r>
            <w:proofErr w:type="spellStart"/>
            <w:r w:rsidRPr="00327DAE">
              <w:rPr>
                <w:sz w:val="24"/>
                <w:szCs w:val="24"/>
              </w:rPr>
              <w:t>Baltic</w:t>
            </w:r>
            <w:proofErr w:type="spellEnd"/>
            <w:r w:rsidRPr="00327DAE">
              <w:rPr>
                <w:sz w:val="24"/>
                <w:szCs w:val="24"/>
              </w:rPr>
              <w:t xml:space="preserve"> </w:t>
            </w:r>
            <w:proofErr w:type="spellStart"/>
            <w:r w:rsidRPr="00327DAE">
              <w:rPr>
                <w:sz w:val="24"/>
                <w:szCs w:val="24"/>
              </w:rPr>
              <w:t>Wind</w:t>
            </w:r>
            <w:proofErr w:type="spellEnd"/>
            <w:r w:rsidRPr="00327DAE">
              <w:rPr>
                <w:sz w:val="24"/>
                <w:szCs w:val="24"/>
              </w:rPr>
              <w:t xml:space="preserve"> </w:t>
            </w:r>
            <w:proofErr w:type="spellStart"/>
            <w:r w:rsidRPr="00327DAE">
              <w:rPr>
                <w:sz w:val="24"/>
                <w:szCs w:val="24"/>
              </w:rPr>
              <w:t>Solutions</w:t>
            </w:r>
            <w:proofErr w:type="spellEnd"/>
            <w:r w:rsidRPr="00327DAE">
              <w:rPr>
                <w:sz w:val="24"/>
                <w:szCs w:val="24"/>
              </w:rPr>
              <w:t xml:space="preserve">” (izskatīja tiesnese </w:t>
            </w:r>
            <w:r w:rsidR="00A77BA8">
              <w:rPr>
                <w:sz w:val="24"/>
                <w:szCs w:val="24"/>
              </w:rPr>
              <w:t>J. </w:t>
            </w:r>
            <w:proofErr w:type="spellStart"/>
            <w:r w:rsidRPr="00327DAE">
              <w:rPr>
                <w:sz w:val="24"/>
                <w:szCs w:val="24"/>
              </w:rPr>
              <w:t>Zaškina</w:t>
            </w:r>
            <w:proofErr w:type="spellEnd"/>
            <w:r w:rsidRPr="00327DAE">
              <w:rPr>
                <w:sz w:val="24"/>
                <w:szCs w:val="24"/>
              </w:rPr>
              <w:t>). Visi trīs pieteikumi atstāti bez virzības, jo nebija samaksāta pilna valsts nodeva (iemaksāti 50 lati no 450 latiem). Lietās pēc SIA „</w:t>
            </w:r>
            <w:proofErr w:type="spellStart"/>
            <w:r w:rsidRPr="00327DAE">
              <w:rPr>
                <w:sz w:val="24"/>
                <w:szCs w:val="24"/>
              </w:rPr>
              <w:t>Energynet</w:t>
            </w:r>
            <w:proofErr w:type="spellEnd"/>
            <w:r w:rsidRPr="00327DAE">
              <w:rPr>
                <w:sz w:val="24"/>
                <w:szCs w:val="24"/>
              </w:rPr>
              <w:t>” un SIA „</w:t>
            </w:r>
            <w:proofErr w:type="spellStart"/>
            <w:r w:rsidRPr="00327DAE">
              <w:rPr>
                <w:sz w:val="24"/>
                <w:szCs w:val="24"/>
              </w:rPr>
              <w:t>Baltic</w:t>
            </w:r>
            <w:proofErr w:type="spellEnd"/>
            <w:r w:rsidRPr="00327DAE">
              <w:rPr>
                <w:sz w:val="24"/>
                <w:szCs w:val="24"/>
              </w:rPr>
              <w:t xml:space="preserve"> </w:t>
            </w:r>
            <w:proofErr w:type="spellStart"/>
            <w:r w:rsidRPr="00327DAE">
              <w:rPr>
                <w:sz w:val="24"/>
                <w:szCs w:val="24"/>
              </w:rPr>
              <w:t>Wind</w:t>
            </w:r>
            <w:proofErr w:type="spellEnd"/>
            <w:r w:rsidRPr="00327DAE">
              <w:rPr>
                <w:sz w:val="24"/>
                <w:szCs w:val="24"/>
              </w:rPr>
              <w:t xml:space="preserve"> </w:t>
            </w:r>
            <w:proofErr w:type="spellStart"/>
            <w:r w:rsidRPr="00327DAE">
              <w:rPr>
                <w:sz w:val="24"/>
                <w:szCs w:val="24"/>
              </w:rPr>
              <w:t>Solutions</w:t>
            </w:r>
            <w:proofErr w:type="spellEnd"/>
            <w:r w:rsidRPr="00327DAE">
              <w:rPr>
                <w:sz w:val="24"/>
                <w:szCs w:val="24"/>
              </w:rPr>
              <w:t xml:space="preserve">” pieteikumiem valsts nodeva netika samaksāta, pieteikumi tika uzskatīti par neiesniegtiem. Lai arī tas nenorāda uz pārkāpumu tiesneša rīcībā, tomēr šāda kreditoru rīcība var radīt šaubas, proti, tā ir indikācija, ka mērķis bija panākt, lai maksātnespējas pieteikums nonāktu pie tiesneses </w:t>
            </w:r>
            <w:r w:rsidR="00A77BA8">
              <w:rPr>
                <w:sz w:val="24"/>
                <w:szCs w:val="24"/>
              </w:rPr>
              <w:t>J. </w:t>
            </w:r>
            <w:proofErr w:type="spellStart"/>
            <w:r w:rsidRPr="00327DAE">
              <w:rPr>
                <w:sz w:val="24"/>
                <w:szCs w:val="24"/>
              </w:rPr>
              <w:t>Zaškinas</w:t>
            </w:r>
            <w:proofErr w:type="spellEnd"/>
            <w:r w:rsidRPr="00327DAE">
              <w:rPr>
                <w:sz w:val="24"/>
                <w:szCs w:val="24"/>
              </w:rPr>
              <w:t>.</w:t>
            </w:r>
          </w:p>
          <w:p w14:paraId="46B277F8" w14:textId="4C6AA8B7" w:rsidR="00574BB5" w:rsidRPr="00327DAE" w:rsidRDefault="00574BB5" w:rsidP="0025317F">
            <w:pPr>
              <w:spacing w:after="120"/>
              <w:rPr>
                <w:sz w:val="24"/>
                <w:szCs w:val="24"/>
              </w:rPr>
            </w:pPr>
            <w:r w:rsidRPr="00327DAE">
              <w:rPr>
                <w:sz w:val="24"/>
                <w:szCs w:val="24"/>
              </w:rPr>
              <w:t>Iepazīstoties ar lēmumiem, kuros noraidītas sūdzības par administratora lēmumiem, secināms, ka vienā no tiem būtu iespējams saskatīt strīdu par tiesībām, kas skatāms atsevišķā tiesvedībā; otrā lemts par, iespējams, „fiktīvā” kreditora atzīšanu; trešajā nav pamatoti secinājumi par termiņa skaitīšanu maksātnespējas procesu lietās, proti, ka uz tiem nav attiecināmas civilprocesuālās normas par pēdējo izpildes dienu</w:t>
            </w:r>
            <w:r w:rsidR="00BB47A8">
              <w:rPr>
                <w:sz w:val="24"/>
                <w:szCs w:val="24"/>
              </w:rPr>
              <w:t>,</w:t>
            </w:r>
            <w:r w:rsidRPr="00327DAE">
              <w:rPr>
                <w:sz w:val="24"/>
                <w:szCs w:val="24"/>
              </w:rPr>
              <w:t xml:space="preserve"> nododot sūtījumu pastā. </w:t>
            </w:r>
            <w:r w:rsidR="00F00590" w:rsidRPr="00327DAE">
              <w:rPr>
                <w:sz w:val="24"/>
                <w:szCs w:val="24"/>
              </w:rPr>
              <w:t>Secināms, ka sūdzības noraidītas formāli.</w:t>
            </w:r>
          </w:p>
          <w:p w14:paraId="74F1DBB3" w14:textId="7875D4B4" w:rsidR="00574BB5" w:rsidRPr="00327DAE" w:rsidRDefault="00574BB5" w:rsidP="001E7B78">
            <w:pPr>
              <w:spacing w:after="120"/>
              <w:rPr>
                <w:sz w:val="24"/>
                <w:szCs w:val="24"/>
              </w:rPr>
            </w:pPr>
            <w:r w:rsidRPr="00327DAE">
              <w:rPr>
                <w:sz w:val="24"/>
                <w:szCs w:val="24"/>
              </w:rPr>
              <w:t>Ir pieļauta A</w:t>
            </w:r>
            <w:r w:rsidR="001E7B78">
              <w:rPr>
                <w:sz w:val="24"/>
                <w:szCs w:val="24"/>
              </w:rPr>
              <w:t xml:space="preserve">ugstākās tiesas </w:t>
            </w:r>
            <w:r w:rsidRPr="00327DAE">
              <w:rPr>
                <w:sz w:val="24"/>
                <w:szCs w:val="24"/>
              </w:rPr>
              <w:t>norādītā</w:t>
            </w:r>
            <w:r w:rsidR="00D033A2" w:rsidRPr="00327DAE">
              <w:rPr>
                <w:sz w:val="24"/>
                <w:szCs w:val="24"/>
              </w:rPr>
              <w:t xml:space="preserve"> nopietnā</w:t>
            </w:r>
            <w:r w:rsidRPr="00327DAE">
              <w:rPr>
                <w:sz w:val="24"/>
                <w:szCs w:val="24"/>
              </w:rPr>
              <w:t xml:space="preserve"> kļūd</w:t>
            </w:r>
            <w:r w:rsidR="00536A07" w:rsidRPr="00327DAE">
              <w:rPr>
                <w:sz w:val="24"/>
                <w:szCs w:val="24"/>
              </w:rPr>
              <w:t>a, kā rezultātā lēmums atcelts.</w:t>
            </w:r>
          </w:p>
        </w:tc>
      </w:tr>
      <w:tr w:rsidR="00574BB5" w:rsidRPr="00327DAE" w14:paraId="01B6D32D" w14:textId="77777777" w:rsidTr="00E732C1">
        <w:trPr>
          <w:trHeight w:val="301"/>
        </w:trPr>
        <w:tc>
          <w:tcPr>
            <w:tcW w:w="562" w:type="dxa"/>
            <w:vMerge/>
          </w:tcPr>
          <w:p w14:paraId="25DD3731" w14:textId="77777777" w:rsidR="00574BB5" w:rsidRPr="00327DAE" w:rsidRDefault="00574BB5" w:rsidP="0025317F">
            <w:pPr>
              <w:spacing w:after="120"/>
              <w:rPr>
                <w:sz w:val="24"/>
                <w:szCs w:val="24"/>
              </w:rPr>
            </w:pPr>
          </w:p>
        </w:tc>
        <w:tc>
          <w:tcPr>
            <w:tcW w:w="7768" w:type="dxa"/>
            <w:gridSpan w:val="3"/>
            <w:shd w:val="clear" w:color="auto" w:fill="auto"/>
            <w:noWrap/>
            <w:vAlign w:val="bottom"/>
          </w:tcPr>
          <w:p w14:paraId="7767CC3C" w14:textId="73C4FBAC" w:rsidR="00574BB5" w:rsidRPr="00327DAE" w:rsidRDefault="00574BB5" w:rsidP="0025317F">
            <w:pPr>
              <w:spacing w:after="120"/>
              <w:rPr>
                <w:i/>
                <w:sz w:val="24"/>
                <w:szCs w:val="24"/>
              </w:rPr>
            </w:pPr>
            <w:r w:rsidRPr="00327DAE">
              <w:rPr>
                <w:i/>
                <w:sz w:val="24"/>
                <w:szCs w:val="24"/>
              </w:rPr>
              <w:t>H. Jaujas atsevišķie secinājumi</w:t>
            </w:r>
          </w:p>
          <w:p w14:paraId="47E57145" w14:textId="09A5360B" w:rsidR="00574BB5" w:rsidRPr="00327DAE" w:rsidRDefault="00574BB5" w:rsidP="0025317F">
            <w:pPr>
              <w:spacing w:after="120"/>
              <w:rPr>
                <w:sz w:val="24"/>
                <w:szCs w:val="24"/>
              </w:rPr>
            </w:pPr>
            <w:r w:rsidRPr="00327DAE">
              <w:rPr>
                <w:sz w:val="24"/>
                <w:szCs w:val="24"/>
              </w:rPr>
              <w:t>Informēju, ka 2013.</w:t>
            </w:r>
            <w:r w:rsidR="00BB47A8">
              <w:rPr>
                <w:sz w:val="24"/>
                <w:szCs w:val="24"/>
              </w:rPr>
              <w:t>–</w:t>
            </w:r>
            <w:r w:rsidRPr="00327DAE">
              <w:rPr>
                <w:sz w:val="24"/>
                <w:szCs w:val="24"/>
              </w:rPr>
              <w:t>2014.</w:t>
            </w:r>
            <w:r w:rsidR="00BB47A8">
              <w:rPr>
                <w:sz w:val="24"/>
                <w:szCs w:val="24"/>
              </w:rPr>
              <w:t> </w:t>
            </w:r>
            <w:r w:rsidRPr="00327DAE">
              <w:rPr>
                <w:sz w:val="24"/>
                <w:szCs w:val="24"/>
              </w:rPr>
              <w:t>gadā esmu bijis iesais</w:t>
            </w:r>
            <w:r w:rsidR="001E7B78">
              <w:rPr>
                <w:sz w:val="24"/>
                <w:szCs w:val="24"/>
              </w:rPr>
              <w:t>tīts konsultāciju sniegšanā AS „</w:t>
            </w:r>
            <w:proofErr w:type="spellStart"/>
            <w:r w:rsidRPr="00327DAE">
              <w:rPr>
                <w:sz w:val="24"/>
                <w:szCs w:val="24"/>
              </w:rPr>
              <w:t>Norvik</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xml:space="preserve">” t.s. </w:t>
            </w:r>
            <w:r w:rsidR="001E7B78">
              <w:rPr>
                <w:sz w:val="24"/>
                <w:szCs w:val="24"/>
              </w:rPr>
              <w:t>„</w:t>
            </w:r>
            <w:proofErr w:type="spellStart"/>
            <w:r w:rsidRPr="00327DAE">
              <w:rPr>
                <w:sz w:val="24"/>
                <w:szCs w:val="24"/>
              </w:rPr>
              <w:t>Winergy</w:t>
            </w:r>
            <w:proofErr w:type="spellEnd"/>
            <w:r w:rsidR="00BB47A8">
              <w:rPr>
                <w:sz w:val="24"/>
                <w:szCs w:val="24"/>
              </w:rPr>
              <w:t>”</w:t>
            </w:r>
            <w:r w:rsidRPr="00327DAE">
              <w:rPr>
                <w:sz w:val="24"/>
                <w:szCs w:val="24"/>
              </w:rPr>
              <w:t xml:space="preserve"> strīdā, būdams SIA </w:t>
            </w:r>
            <w:r w:rsidR="001E7B78">
              <w:rPr>
                <w:sz w:val="24"/>
                <w:szCs w:val="24"/>
              </w:rPr>
              <w:t>„</w:t>
            </w:r>
            <w:proofErr w:type="spellStart"/>
            <w:r w:rsidRPr="00327DAE">
              <w:rPr>
                <w:sz w:val="24"/>
                <w:szCs w:val="24"/>
              </w:rPr>
              <w:t>Deloitte</w:t>
            </w:r>
            <w:proofErr w:type="spellEnd"/>
            <w:r w:rsidRPr="00327DAE">
              <w:rPr>
                <w:sz w:val="24"/>
                <w:szCs w:val="24"/>
              </w:rPr>
              <w:t xml:space="preserve"> </w:t>
            </w:r>
            <w:proofErr w:type="spellStart"/>
            <w:r w:rsidRPr="00327DAE">
              <w:rPr>
                <w:sz w:val="24"/>
                <w:szCs w:val="24"/>
              </w:rPr>
              <w:t>Latvia</w:t>
            </w:r>
            <w:proofErr w:type="spellEnd"/>
            <w:r w:rsidRPr="00327DAE">
              <w:rPr>
                <w:sz w:val="24"/>
                <w:szCs w:val="24"/>
              </w:rPr>
              <w:t>” vadošais jurists. Darba uz</w:t>
            </w:r>
            <w:r w:rsidR="001E7B78">
              <w:rPr>
                <w:sz w:val="24"/>
                <w:szCs w:val="24"/>
              </w:rPr>
              <w:t>devumi lielākoties ietvēra SIA „</w:t>
            </w:r>
            <w:proofErr w:type="spellStart"/>
            <w:r w:rsidRPr="00327DAE">
              <w:rPr>
                <w:sz w:val="24"/>
                <w:szCs w:val="24"/>
              </w:rPr>
              <w:t>Winergy</w:t>
            </w:r>
            <w:proofErr w:type="spellEnd"/>
            <w:r w:rsidRPr="00327DAE">
              <w:rPr>
                <w:sz w:val="24"/>
                <w:szCs w:val="24"/>
              </w:rPr>
              <w:t>” un ar to saistīto sabiedrību SIA</w:t>
            </w:r>
            <w:r w:rsidR="001E7B78">
              <w:rPr>
                <w:sz w:val="24"/>
                <w:szCs w:val="24"/>
              </w:rPr>
              <w:t xml:space="preserve"> „</w:t>
            </w:r>
            <w:proofErr w:type="spellStart"/>
            <w:r w:rsidR="001E7B78">
              <w:rPr>
                <w:sz w:val="24"/>
                <w:szCs w:val="24"/>
              </w:rPr>
              <w:t>Arsenal</w:t>
            </w:r>
            <w:proofErr w:type="spellEnd"/>
            <w:r w:rsidR="001E7B78">
              <w:rPr>
                <w:sz w:val="24"/>
                <w:szCs w:val="24"/>
              </w:rPr>
              <w:t>”, SIA „</w:t>
            </w:r>
            <w:proofErr w:type="spellStart"/>
            <w:r w:rsidRPr="00327DAE">
              <w:rPr>
                <w:sz w:val="24"/>
                <w:szCs w:val="24"/>
              </w:rPr>
              <w:t>Ošmaļi</w:t>
            </w:r>
            <w:proofErr w:type="spellEnd"/>
            <w:r w:rsidRPr="00327DAE">
              <w:rPr>
                <w:sz w:val="24"/>
                <w:szCs w:val="24"/>
              </w:rPr>
              <w:t xml:space="preserve">” u.c. grāmatvedības dokumentu un finanšu datu izpēti, lai noskaidrotu šo sabiedrību veikto darījumu un transakciju ekonomisko pamatotību un atbilstību iepriekš deklarētajām ziņām. SIA </w:t>
            </w:r>
            <w:r w:rsidR="001E7B78">
              <w:rPr>
                <w:sz w:val="24"/>
                <w:szCs w:val="24"/>
              </w:rPr>
              <w:t>„</w:t>
            </w:r>
            <w:proofErr w:type="spellStart"/>
            <w:r w:rsidRPr="00327DAE">
              <w:rPr>
                <w:sz w:val="24"/>
                <w:szCs w:val="24"/>
              </w:rPr>
              <w:t>Deloitte</w:t>
            </w:r>
            <w:proofErr w:type="spellEnd"/>
            <w:r w:rsidRPr="00327DAE">
              <w:rPr>
                <w:sz w:val="24"/>
                <w:szCs w:val="24"/>
              </w:rPr>
              <w:t xml:space="preserve"> </w:t>
            </w:r>
            <w:proofErr w:type="spellStart"/>
            <w:r w:rsidRPr="00327DAE">
              <w:rPr>
                <w:sz w:val="24"/>
                <w:szCs w:val="24"/>
              </w:rPr>
              <w:t>Latvia</w:t>
            </w:r>
            <w:proofErr w:type="spellEnd"/>
            <w:r w:rsidRPr="00327DAE">
              <w:rPr>
                <w:sz w:val="24"/>
                <w:szCs w:val="24"/>
              </w:rPr>
              <w:t xml:space="preserve">” sagatavotie atzinumi tika izmantoti kā pierādījumi gan tiesvedībās, gan kriminālprocesā, kas tika ierosināts par iespējamiem kriminālnodarījumiem ar </w:t>
            </w:r>
            <w:r w:rsidR="001E7B78">
              <w:rPr>
                <w:sz w:val="24"/>
                <w:szCs w:val="24"/>
              </w:rPr>
              <w:t>„</w:t>
            </w:r>
            <w:proofErr w:type="spellStart"/>
            <w:r w:rsidRPr="00327DAE">
              <w:rPr>
                <w:sz w:val="24"/>
                <w:szCs w:val="24"/>
              </w:rPr>
              <w:t>Winergy</w:t>
            </w:r>
            <w:proofErr w:type="spellEnd"/>
            <w:r w:rsidR="00BB47A8">
              <w:rPr>
                <w:sz w:val="24"/>
                <w:szCs w:val="24"/>
              </w:rPr>
              <w:t>”</w:t>
            </w:r>
            <w:r w:rsidRPr="00327DAE">
              <w:rPr>
                <w:sz w:val="24"/>
                <w:szCs w:val="24"/>
              </w:rPr>
              <w:t xml:space="preserve"> saistīto personu darbībās.</w:t>
            </w:r>
          </w:p>
          <w:p w14:paraId="0A34E01F" w14:textId="57ECF29C" w:rsidR="00574BB5" w:rsidRPr="00327DAE" w:rsidRDefault="001E7B78" w:rsidP="0025317F">
            <w:pPr>
              <w:spacing w:after="120"/>
              <w:rPr>
                <w:sz w:val="24"/>
                <w:szCs w:val="24"/>
              </w:rPr>
            </w:pP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lietā tika saskaņoti un manipulatīvi izmantoti maksātnespējas procesi un TAP, lai parādnieks saglabātu kontroli pār aktīviem, kas bija ieķīlāti par labu AS </w:t>
            </w:r>
            <w:r>
              <w:rPr>
                <w:sz w:val="24"/>
                <w:szCs w:val="24"/>
              </w:rPr>
              <w:t>„</w:t>
            </w:r>
            <w:proofErr w:type="spellStart"/>
            <w:r w:rsidR="00574BB5" w:rsidRPr="00327DAE">
              <w:rPr>
                <w:sz w:val="24"/>
                <w:szCs w:val="24"/>
              </w:rPr>
              <w:t>Norvik</w:t>
            </w:r>
            <w:proofErr w:type="spellEnd"/>
            <w:r w:rsidR="00574BB5" w:rsidRPr="00327DAE">
              <w:rPr>
                <w:sz w:val="24"/>
                <w:szCs w:val="24"/>
              </w:rPr>
              <w:t xml:space="preserve"> </w:t>
            </w:r>
            <w:proofErr w:type="spellStart"/>
            <w:r w:rsidR="00574BB5" w:rsidRPr="00327DAE">
              <w:rPr>
                <w:sz w:val="24"/>
                <w:szCs w:val="24"/>
              </w:rPr>
              <w:t>Bank</w:t>
            </w:r>
            <w:proofErr w:type="spellEnd"/>
            <w:r w:rsidR="00574BB5" w:rsidRPr="00327DAE">
              <w:rPr>
                <w:sz w:val="24"/>
                <w:szCs w:val="24"/>
              </w:rPr>
              <w:t xml:space="preserve">”. Ar </w:t>
            </w: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saistīto personu interesēs koordinēti darbojās savstarpēji saistītu administratoru grupa, par kuras neformālo līderi tiek uzskatīts bēdīgi slavenais Māris Sprūds. Informācija par </w:t>
            </w: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lietu ir pietiekami plaši atspoguļota masu informācijas līdzekļos. Secinājumus par to, ka </w:t>
            </w:r>
            <w:r w:rsidR="00BB47A8">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lietā ir ļaunprātīgi izmantots maksātnespējas regulējums</w:t>
            </w:r>
            <w:r w:rsidR="00BB47A8">
              <w:rPr>
                <w:sz w:val="24"/>
                <w:szCs w:val="24"/>
              </w:rPr>
              <w:t>,</w:t>
            </w:r>
            <w:r w:rsidR="00574BB5" w:rsidRPr="00327DAE">
              <w:rPr>
                <w:sz w:val="24"/>
                <w:szCs w:val="24"/>
              </w:rPr>
              <w:t xml:space="preserve"> var izdarīt gan no publiski pieejamās informācijas, gan no AT C</w:t>
            </w:r>
            <w:r w:rsidR="001F01BD" w:rsidRPr="00327DAE">
              <w:rPr>
                <w:sz w:val="24"/>
                <w:szCs w:val="24"/>
              </w:rPr>
              <w:t>L</w:t>
            </w:r>
            <w:r w:rsidR="00574BB5" w:rsidRPr="00327DAE">
              <w:rPr>
                <w:sz w:val="24"/>
                <w:szCs w:val="24"/>
              </w:rPr>
              <w:t>D nolēmumiem, ar kuriem ir atcelti vairāki tiesu nol</w:t>
            </w:r>
            <w:r w:rsidR="00BB47A8">
              <w:rPr>
                <w:sz w:val="24"/>
                <w:szCs w:val="24"/>
              </w:rPr>
              <w:t>ē</w:t>
            </w:r>
            <w:r w:rsidR="00574BB5" w:rsidRPr="00327DAE">
              <w:rPr>
                <w:sz w:val="24"/>
                <w:szCs w:val="24"/>
              </w:rPr>
              <w:t xml:space="preserve">mumi šajā lietā, gan arī no citiem apstākļiem, aplūkojot tos savstarpējā kopsakarā. Piemēram, daļa no maksātnespējas administratoriem, kuri dažādos statusos (kā administratori, parādnieka pārstāvji, kreditoru pārstāvji) bija iesaistīti </w:t>
            </w: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lietā, praktizēja vienā adresē Rīgā</w:t>
            </w:r>
            <w:r w:rsidR="00BB47A8">
              <w:rPr>
                <w:sz w:val="24"/>
                <w:szCs w:val="24"/>
              </w:rPr>
              <w:t>,</w:t>
            </w:r>
            <w:r w:rsidR="00574BB5" w:rsidRPr="00327DAE">
              <w:rPr>
                <w:sz w:val="24"/>
                <w:szCs w:val="24"/>
              </w:rPr>
              <w:t xml:space="preserve"> Antonijas ielā 7, vai arī atradās secīgi vai ļoti tuvu viens otram elektroniskajā administratoru rindā un bija tajā veikuši saskaņotas darbības (piemēram, 08.02.2013. 8 administratori bija atteikušies no kāda maksātnespējas procesa ar 5 minūšu intervālu, 4 no šiem administratoriem bija tieši iesaistīti </w:t>
            </w: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lietā). </w:t>
            </w:r>
          </w:p>
          <w:p w14:paraId="3027DF4F" w14:textId="1982A1CD" w:rsidR="00574BB5" w:rsidRPr="00327DAE" w:rsidRDefault="001E7B78" w:rsidP="0025317F">
            <w:pPr>
              <w:spacing w:after="120"/>
              <w:rPr>
                <w:sz w:val="24"/>
                <w:szCs w:val="24"/>
              </w:rPr>
            </w:pPr>
            <w:r>
              <w:rPr>
                <w:sz w:val="24"/>
                <w:szCs w:val="24"/>
              </w:rPr>
              <w:t>„</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lieta bija arī viens no skaļākajiem pēdējo gadu maksātnespējas ļaunprātīgas izmantošanas gadījumiem un īpaši izcēlās ar ļoti plašo mērogu. Šīs lietas ietvaros varēja novērot visus klasiskos maksātne</w:t>
            </w:r>
            <w:r>
              <w:rPr>
                <w:sz w:val="24"/>
                <w:szCs w:val="24"/>
              </w:rPr>
              <w:t xml:space="preserve">spējas mahinācijas </w:t>
            </w:r>
            <w:r>
              <w:rPr>
                <w:sz w:val="24"/>
                <w:szCs w:val="24"/>
              </w:rPr>
              <w:lastRenderedPageBreak/>
              <w:t>paņēmienus: „</w:t>
            </w:r>
            <w:r w:rsidR="00574BB5" w:rsidRPr="00327DAE">
              <w:rPr>
                <w:sz w:val="24"/>
                <w:szCs w:val="24"/>
              </w:rPr>
              <w:t xml:space="preserve">savu” administratoru iecelšana, parādnieka juridisko adrešu maiņa, fiktīvu kreditoru iesaiste, nepārskatāma rīcība ar parādnieka aktīviem maksātnespējas procesā u.c. Kopā ar citiem līdzīgiem gadījumiem </w:t>
            </w:r>
            <w:r>
              <w:rPr>
                <w:sz w:val="24"/>
                <w:szCs w:val="24"/>
              </w:rPr>
              <w:t>SIA „</w:t>
            </w:r>
            <w:proofErr w:type="spellStart"/>
            <w:r w:rsidR="00574BB5" w:rsidRPr="00327DAE">
              <w:rPr>
                <w:sz w:val="24"/>
                <w:szCs w:val="24"/>
              </w:rPr>
              <w:t>Winergy</w:t>
            </w:r>
            <w:proofErr w:type="spellEnd"/>
            <w:r w:rsidR="00BB47A8">
              <w:rPr>
                <w:sz w:val="24"/>
                <w:szCs w:val="24"/>
              </w:rPr>
              <w:t>”</w:t>
            </w:r>
            <w:r w:rsidR="00574BB5" w:rsidRPr="00327DAE">
              <w:rPr>
                <w:sz w:val="24"/>
                <w:szCs w:val="24"/>
              </w:rPr>
              <w:t xml:space="preserve"> gadījums radīja milzīgo uzticības krīzi maksātnespējas sistēmai, kā arī iedragāja Latvijas uzņēmējdarbības vides drošību un reputāciju investoru acīs</w:t>
            </w:r>
            <w:r w:rsidR="00BB47A8">
              <w:rPr>
                <w:sz w:val="24"/>
                <w:szCs w:val="24"/>
              </w:rPr>
              <w:t>,</w:t>
            </w:r>
            <w:r w:rsidR="00574BB5" w:rsidRPr="00327DAE">
              <w:rPr>
                <w:sz w:val="24"/>
                <w:szCs w:val="24"/>
              </w:rPr>
              <w:t xml:space="preserve"> </w:t>
            </w:r>
            <w:r w:rsidR="00BB47A8">
              <w:rPr>
                <w:sz w:val="24"/>
                <w:szCs w:val="24"/>
              </w:rPr>
              <w:t>k</w:t>
            </w:r>
            <w:r w:rsidR="00574BB5" w:rsidRPr="00327DAE">
              <w:rPr>
                <w:sz w:val="24"/>
                <w:szCs w:val="24"/>
              </w:rPr>
              <w:t xml:space="preserve">as ir rezultējies ar būtiskiem zaudējumiem Latvijas tautsaimniecībai. </w:t>
            </w:r>
          </w:p>
          <w:p w14:paraId="3A0E4AA1" w14:textId="7BCE72EF" w:rsidR="00574BB5" w:rsidRPr="00327DAE" w:rsidRDefault="00574BB5" w:rsidP="0025317F">
            <w:pPr>
              <w:spacing w:after="120"/>
              <w:rPr>
                <w:sz w:val="24"/>
                <w:szCs w:val="24"/>
              </w:rPr>
            </w:pPr>
            <w:r w:rsidRPr="00327DAE">
              <w:rPr>
                <w:sz w:val="24"/>
                <w:szCs w:val="24"/>
              </w:rPr>
              <w:t>Ņemot vērā šos faktus, ir saprotams, ka jebkurš tiesas nolēmums, kas ir pieņemts šajā lietā un ir bijis par labu personām, kas ir ļaunprātīgi izmantojušas maksātnespējas procesu, izsauc īpašu uzmanību un aizdomas. Tāpēc īpaši uzmanīgi ir vērtējama arī izskatāmā lieta</w:t>
            </w:r>
            <w:r w:rsidR="00BB47A8">
              <w:rPr>
                <w:sz w:val="24"/>
                <w:szCs w:val="24"/>
              </w:rPr>
              <w:t>,</w:t>
            </w:r>
            <w:r w:rsidRPr="00327DAE">
              <w:rPr>
                <w:sz w:val="24"/>
                <w:szCs w:val="24"/>
              </w:rPr>
              <w:t xml:space="preserve"> turklāt ne tikai analizējot tiesneses </w:t>
            </w:r>
            <w:r w:rsidR="00FD0FC9">
              <w:rPr>
                <w:sz w:val="24"/>
                <w:szCs w:val="24"/>
              </w:rPr>
              <w:t>J. </w:t>
            </w:r>
            <w:proofErr w:type="spellStart"/>
            <w:r w:rsidRPr="00327DAE">
              <w:rPr>
                <w:sz w:val="24"/>
                <w:szCs w:val="24"/>
              </w:rPr>
              <w:t>Zaškinas</w:t>
            </w:r>
            <w:proofErr w:type="spellEnd"/>
            <w:r w:rsidRPr="00327DAE">
              <w:rPr>
                <w:sz w:val="24"/>
                <w:szCs w:val="24"/>
              </w:rPr>
              <w:t xml:space="preserve"> nolēmuma saturu, bet skatot to kopsakarā ar citiem lietas apstākļiem. </w:t>
            </w:r>
          </w:p>
          <w:p w14:paraId="4B05C521" w14:textId="258A0972" w:rsidR="00574BB5" w:rsidRPr="00327DAE" w:rsidRDefault="00574BB5" w:rsidP="0025317F">
            <w:pPr>
              <w:spacing w:after="120"/>
              <w:rPr>
                <w:sz w:val="24"/>
                <w:szCs w:val="24"/>
              </w:rPr>
            </w:pPr>
            <w:r w:rsidRPr="00327DAE">
              <w:rPr>
                <w:sz w:val="24"/>
                <w:szCs w:val="24"/>
              </w:rPr>
              <w:t xml:space="preserve">Ne visi tiesu nolēmumi </w:t>
            </w:r>
            <w:r w:rsidR="001E7B78">
              <w:rPr>
                <w:sz w:val="24"/>
                <w:szCs w:val="24"/>
              </w:rPr>
              <w:t>„</w:t>
            </w:r>
            <w:proofErr w:type="spellStart"/>
            <w:r w:rsidRPr="00327DAE">
              <w:rPr>
                <w:sz w:val="24"/>
                <w:szCs w:val="24"/>
              </w:rPr>
              <w:t>Winergy</w:t>
            </w:r>
            <w:proofErr w:type="spellEnd"/>
            <w:r w:rsidR="00BB47A8">
              <w:rPr>
                <w:sz w:val="24"/>
                <w:szCs w:val="24"/>
              </w:rPr>
              <w:t>”</w:t>
            </w:r>
            <w:r w:rsidRPr="00327DAE">
              <w:rPr>
                <w:sz w:val="24"/>
                <w:szCs w:val="24"/>
              </w:rPr>
              <w:t xml:space="preserve"> lietā ir bijuši parādniekam labvēlīgi. Latgal</w:t>
            </w:r>
            <w:r w:rsidR="001E7B78">
              <w:rPr>
                <w:sz w:val="24"/>
                <w:szCs w:val="24"/>
              </w:rPr>
              <w:t>es tiesas tiesnese S. </w:t>
            </w:r>
            <w:proofErr w:type="spellStart"/>
            <w:r w:rsidR="001E7B78">
              <w:rPr>
                <w:sz w:val="24"/>
                <w:szCs w:val="24"/>
              </w:rPr>
              <w:t>Hrebtova</w:t>
            </w:r>
            <w:proofErr w:type="spellEnd"/>
            <w:r w:rsidR="001E7B78">
              <w:rPr>
                <w:sz w:val="24"/>
                <w:szCs w:val="24"/>
              </w:rPr>
              <w:t xml:space="preserve"> </w:t>
            </w:r>
            <w:r w:rsidRPr="00327DAE">
              <w:rPr>
                <w:sz w:val="24"/>
                <w:szCs w:val="24"/>
              </w:rPr>
              <w:t>ar 2013.</w:t>
            </w:r>
            <w:r w:rsidR="00BB47A8">
              <w:rPr>
                <w:sz w:val="24"/>
                <w:szCs w:val="24"/>
              </w:rPr>
              <w:t> </w:t>
            </w:r>
            <w:r w:rsidRPr="00327DAE">
              <w:rPr>
                <w:sz w:val="24"/>
                <w:szCs w:val="24"/>
              </w:rPr>
              <w:t>gada 23.</w:t>
            </w:r>
            <w:r w:rsidR="00BB47A8">
              <w:rPr>
                <w:sz w:val="24"/>
                <w:szCs w:val="24"/>
              </w:rPr>
              <w:t> </w:t>
            </w:r>
            <w:r w:rsidRPr="00327DAE">
              <w:rPr>
                <w:sz w:val="24"/>
                <w:szCs w:val="24"/>
              </w:rPr>
              <w:t xml:space="preserve">septembra spriedumu lietā C29652013 noraidīja </w:t>
            </w:r>
            <w:proofErr w:type="gramStart"/>
            <w:r w:rsidRPr="00327DAE">
              <w:rPr>
                <w:sz w:val="24"/>
                <w:szCs w:val="24"/>
              </w:rPr>
              <w:t xml:space="preserve">pirmo </w:t>
            </w:r>
            <w:r w:rsidR="001E7B78">
              <w:rPr>
                <w:sz w:val="24"/>
                <w:szCs w:val="24"/>
              </w:rPr>
              <w:t>„</w:t>
            </w:r>
            <w:proofErr w:type="spellStart"/>
            <w:r w:rsidRPr="00327DAE">
              <w:rPr>
                <w:sz w:val="24"/>
                <w:szCs w:val="24"/>
              </w:rPr>
              <w:t>Winergy</w:t>
            </w:r>
            <w:proofErr w:type="spellEnd"/>
            <w:r w:rsidR="00BB47A8">
              <w:rPr>
                <w:sz w:val="24"/>
                <w:szCs w:val="24"/>
              </w:rPr>
              <w:t>”</w:t>
            </w:r>
            <w:proofErr w:type="gramEnd"/>
            <w:r w:rsidRPr="00327DAE">
              <w:rPr>
                <w:sz w:val="24"/>
                <w:szCs w:val="24"/>
              </w:rPr>
              <w:t xml:space="preserve"> TAP plānu, pamatojoties ar aizdomām, ka TAP plāna saskaņošanā ir izmantoti fiktīvi kreditoru prasījumi (šīs aizdomas vēlāk apstiprināja arī AT C</w:t>
            </w:r>
            <w:r w:rsidR="001F01BD" w:rsidRPr="00327DAE">
              <w:rPr>
                <w:sz w:val="24"/>
                <w:szCs w:val="24"/>
              </w:rPr>
              <w:t>L</w:t>
            </w:r>
            <w:r w:rsidRPr="00327DAE">
              <w:rPr>
                <w:sz w:val="24"/>
                <w:szCs w:val="24"/>
              </w:rPr>
              <w:t>D). Neilgi pēc tam sekoja vienlaicīgi trīs kreditoru piet</w:t>
            </w:r>
            <w:r w:rsidR="001E7B78">
              <w:rPr>
                <w:sz w:val="24"/>
                <w:szCs w:val="24"/>
              </w:rPr>
              <w:t>eikumi tajā pašā tiesā par SIA „</w:t>
            </w:r>
            <w:proofErr w:type="spellStart"/>
            <w:r w:rsidRPr="00327DAE">
              <w:rPr>
                <w:sz w:val="24"/>
                <w:szCs w:val="24"/>
              </w:rPr>
              <w:t>Winergy</w:t>
            </w:r>
            <w:proofErr w:type="spellEnd"/>
            <w:r w:rsidRPr="00327DAE">
              <w:rPr>
                <w:sz w:val="24"/>
                <w:szCs w:val="24"/>
              </w:rPr>
              <w:t>” maksātnespējas procesa pasludināšanu, taču nesamaksājot pilnībā valsts nodevu (vien 50 Ls no 250 Ls). Ņemot vērā manā rīcībā esošo informāciju, vēršu uzmanību, ka šie kredi</w:t>
            </w:r>
            <w:r w:rsidR="001E7B78">
              <w:rPr>
                <w:sz w:val="24"/>
                <w:szCs w:val="24"/>
              </w:rPr>
              <w:t>tori bija saistīti ar pašu SIA „</w:t>
            </w:r>
            <w:proofErr w:type="spellStart"/>
            <w:r w:rsidRPr="00327DAE">
              <w:rPr>
                <w:sz w:val="24"/>
                <w:szCs w:val="24"/>
              </w:rPr>
              <w:t>Winergy</w:t>
            </w:r>
            <w:proofErr w:type="spellEnd"/>
            <w:r w:rsidRPr="00327DAE">
              <w:rPr>
                <w:sz w:val="24"/>
                <w:szCs w:val="24"/>
              </w:rPr>
              <w:t>”, respektīvi</w:t>
            </w:r>
            <w:r w:rsidR="00BB47A8">
              <w:rPr>
                <w:sz w:val="24"/>
                <w:szCs w:val="24"/>
              </w:rPr>
              <w:t>,</w:t>
            </w:r>
            <w:r w:rsidRPr="00327DAE">
              <w:rPr>
                <w:sz w:val="24"/>
                <w:szCs w:val="24"/>
              </w:rPr>
              <w:t xml:space="preserve"> pieteikumi tika sniegti saskaņoti. Apstāklis, ka tika sniegti vienlaikus 3 pieteikumi un visos netika pilnībā samaksāta valsts nodeva, neatstāj daudz variantus šī apstākļa interpretācijai. Vienīgais racionālais izskaidrojums šādai rīcībai bija tas, ka pieteicēji gribēja pārliecināties par to, pie kura tiesneša šī lieta nonāks. Protams, pastāv iespēja, ka vēlēšanās bija nevis nonākt pie kāda konkrēta tiesneša, bet izvairīties no kāda tiesneša (piemēram, S. </w:t>
            </w:r>
            <w:proofErr w:type="spellStart"/>
            <w:r w:rsidRPr="00327DAE">
              <w:rPr>
                <w:sz w:val="24"/>
                <w:szCs w:val="24"/>
              </w:rPr>
              <w:t>Hrebtovas</w:t>
            </w:r>
            <w:proofErr w:type="spellEnd"/>
            <w:r w:rsidRPr="00327DAE">
              <w:rPr>
                <w:sz w:val="24"/>
                <w:szCs w:val="24"/>
              </w:rPr>
              <w:t xml:space="preserve">, kura kritiski bija vērtējusi </w:t>
            </w:r>
            <w:r w:rsidR="002150CE">
              <w:rPr>
                <w:sz w:val="24"/>
                <w:szCs w:val="24"/>
              </w:rPr>
              <w:t xml:space="preserve">SIA </w:t>
            </w:r>
            <w:r w:rsidR="001E7B78">
              <w:rPr>
                <w:sz w:val="24"/>
                <w:szCs w:val="24"/>
              </w:rPr>
              <w:t>„</w:t>
            </w:r>
            <w:proofErr w:type="spellStart"/>
            <w:r w:rsidRPr="00327DAE">
              <w:rPr>
                <w:sz w:val="24"/>
                <w:szCs w:val="24"/>
              </w:rPr>
              <w:t>Winergy</w:t>
            </w:r>
            <w:proofErr w:type="spellEnd"/>
            <w:r w:rsidR="00BB47A8">
              <w:rPr>
                <w:sz w:val="24"/>
                <w:szCs w:val="24"/>
              </w:rPr>
              <w:t>”</w:t>
            </w:r>
            <w:r w:rsidRPr="00327DAE">
              <w:rPr>
                <w:sz w:val="24"/>
                <w:szCs w:val="24"/>
              </w:rPr>
              <w:t xml:space="preserve"> TAP plānā norādītos kreditorus). Taču tiesneses </w:t>
            </w:r>
            <w:r w:rsidR="00FD0FC9">
              <w:rPr>
                <w:sz w:val="24"/>
                <w:szCs w:val="24"/>
              </w:rPr>
              <w:t>J. </w:t>
            </w:r>
            <w:proofErr w:type="spellStart"/>
            <w:r w:rsidRPr="00327DAE">
              <w:rPr>
                <w:sz w:val="24"/>
                <w:szCs w:val="24"/>
              </w:rPr>
              <w:t>Zaškinas</w:t>
            </w:r>
            <w:proofErr w:type="spellEnd"/>
            <w:r w:rsidRPr="00327DAE">
              <w:rPr>
                <w:sz w:val="24"/>
                <w:szCs w:val="24"/>
              </w:rPr>
              <w:t xml:space="preserve"> pieņemtie lēmumi šajā lietā, kā arī </w:t>
            </w:r>
            <w:r w:rsidR="00FD0FC9">
              <w:rPr>
                <w:sz w:val="24"/>
                <w:szCs w:val="24"/>
              </w:rPr>
              <w:t>J. </w:t>
            </w:r>
            <w:proofErr w:type="spellStart"/>
            <w:r w:rsidRPr="00327DAE">
              <w:rPr>
                <w:sz w:val="24"/>
                <w:szCs w:val="24"/>
              </w:rPr>
              <w:t>Zaškinas</w:t>
            </w:r>
            <w:proofErr w:type="spellEnd"/>
            <w:r w:rsidRPr="00327DAE">
              <w:rPr>
                <w:sz w:val="24"/>
                <w:szCs w:val="24"/>
              </w:rPr>
              <w:t xml:space="preserve"> pieņemtie lēmumi</w:t>
            </w:r>
            <w:r w:rsidR="001E7B78">
              <w:rPr>
                <w:sz w:val="24"/>
                <w:szCs w:val="24"/>
              </w:rPr>
              <w:t xml:space="preserve"> ar Māri Sprūdu saistītajā SIA „</w:t>
            </w:r>
            <w:r w:rsidRPr="00327DAE">
              <w:rPr>
                <w:sz w:val="24"/>
                <w:szCs w:val="24"/>
              </w:rPr>
              <w:t xml:space="preserve">Peltes īpašumi” lietā tomēr ar augstu iespējamības pakāpi liek domāt, ka </w:t>
            </w:r>
            <w:r w:rsidR="001E7B78">
              <w:rPr>
                <w:sz w:val="24"/>
                <w:szCs w:val="24"/>
              </w:rPr>
              <w:t>„</w:t>
            </w:r>
            <w:proofErr w:type="spellStart"/>
            <w:r w:rsidRPr="00327DAE">
              <w:rPr>
                <w:sz w:val="24"/>
                <w:szCs w:val="24"/>
              </w:rPr>
              <w:t>Winergy</w:t>
            </w:r>
            <w:proofErr w:type="spellEnd"/>
            <w:r w:rsidR="002F42AF">
              <w:rPr>
                <w:sz w:val="24"/>
                <w:szCs w:val="24"/>
              </w:rPr>
              <w:t>”</w:t>
            </w:r>
            <w:r w:rsidRPr="00327DAE">
              <w:rPr>
                <w:sz w:val="24"/>
                <w:szCs w:val="24"/>
              </w:rPr>
              <w:t xml:space="preserve"> lietā bija mērķis nokļūt tieši pie tiesneses </w:t>
            </w:r>
            <w:r w:rsidR="00FD0FC9">
              <w:rPr>
                <w:sz w:val="24"/>
                <w:szCs w:val="24"/>
              </w:rPr>
              <w:t>J. </w:t>
            </w:r>
            <w:proofErr w:type="spellStart"/>
            <w:r w:rsidRPr="00327DAE">
              <w:rPr>
                <w:sz w:val="24"/>
                <w:szCs w:val="24"/>
              </w:rPr>
              <w:t>Zaškinas</w:t>
            </w:r>
            <w:proofErr w:type="spellEnd"/>
            <w:r w:rsidRPr="00327DAE">
              <w:rPr>
                <w:sz w:val="24"/>
                <w:szCs w:val="24"/>
              </w:rPr>
              <w:t>. Netieši šo pieņēmumu apstiprina arī apstāklis, ka 2017.</w:t>
            </w:r>
            <w:r w:rsidR="002F42AF">
              <w:rPr>
                <w:sz w:val="24"/>
                <w:szCs w:val="24"/>
              </w:rPr>
              <w:t> </w:t>
            </w:r>
            <w:r w:rsidRPr="00327DAE">
              <w:rPr>
                <w:sz w:val="24"/>
                <w:szCs w:val="24"/>
              </w:rPr>
              <w:t>gadā Latgales priekšpilsētas t</w:t>
            </w:r>
            <w:r w:rsidR="001E7B78">
              <w:rPr>
                <w:sz w:val="24"/>
                <w:szCs w:val="24"/>
              </w:rPr>
              <w:t>iesā 3 reizes tika sniegts SIA „</w:t>
            </w:r>
            <w:proofErr w:type="spellStart"/>
            <w:r w:rsidRPr="00327DAE">
              <w:rPr>
                <w:sz w:val="24"/>
                <w:szCs w:val="24"/>
              </w:rPr>
              <w:t>Enercom</w:t>
            </w:r>
            <w:proofErr w:type="spellEnd"/>
            <w:r w:rsidRPr="00327DAE">
              <w:rPr>
                <w:sz w:val="24"/>
                <w:szCs w:val="24"/>
              </w:rPr>
              <w:t xml:space="preserve"> Plus” pieteikums par izpildraksta izdošanu par šķīrējtiesas spriedumu</w:t>
            </w:r>
            <w:r w:rsidR="002F42AF">
              <w:rPr>
                <w:sz w:val="24"/>
                <w:szCs w:val="24"/>
              </w:rPr>
              <w:t>,</w:t>
            </w:r>
            <w:r w:rsidRPr="00327DAE">
              <w:rPr>
                <w:sz w:val="24"/>
                <w:szCs w:val="24"/>
              </w:rPr>
              <w:t xml:space="preserve"> ar kuru bija apmierinā</w:t>
            </w:r>
            <w:r w:rsidR="001E7B78">
              <w:rPr>
                <w:sz w:val="24"/>
                <w:szCs w:val="24"/>
              </w:rPr>
              <w:t>ta pieteicēja prasība pret SIA „</w:t>
            </w:r>
            <w:proofErr w:type="spellStart"/>
            <w:r w:rsidRPr="00327DAE">
              <w:rPr>
                <w:sz w:val="24"/>
                <w:szCs w:val="24"/>
              </w:rPr>
              <w:t>Winergy</w:t>
            </w:r>
            <w:proofErr w:type="spellEnd"/>
            <w:r w:rsidRPr="00327DAE">
              <w:rPr>
                <w:sz w:val="24"/>
                <w:szCs w:val="24"/>
              </w:rPr>
              <w:t xml:space="preserve">”. Pieteicēji bija personas, kuras ir saistītas arī ar </w:t>
            </w:r>
            <w:r w:rsidR="001E7B78">
              <w:rPr>
                <w:sz w:val="24"/>
                <w:szCs w:val="24"/>
              </w:rPr>
              <w:t>„</w:t>
            </w:r>
            <w:proofErr w:type="spellStart"/>
            <w:r w:rsidRPr="00327DAE">
              <w:rPr>
                <w:sz w:val="24"/>
                <w:szCs w:val="24"/>
              </w:rPr>
              <w:t>Winergy</w:t>
            </w:r>
            <w:proofErr w:type="spellEnd"/>
            <w:r w:rsidR="002F42AF">
              <w:rPr>
                <w:sz w:val="24"/>
                <w:szCs w:val="24"/>
              </w:rPr>
              <w:t>”</w:t>
            </w:r>
            <w:r w:rsidRPr="00327DAE">
              <w:rPr>
                <w:sz w:val="24"/>
                <w:szCs w:val="24"/>
              </w:rPr>
              <w:t xml:space="preserve"> maksātnespējas shēmām. Visas trīs reizes pieteicējs nebija apmaksājis valsts nodevu</w:t>
            </w:r>
            <w:r w:rsidR="002F42AF">
              <w:rPr>
                <w:sz w:val="24"/>
                <w:szCs w:val="24"/>
              </w:rPr>
              <w:t>,</w:t>
            </w:r>
            <w:r w:rsidRPr="00327DAE">
              <w:rPr>
                <w:sz w:val="24"/>
                <w:szCs w:val="24"/>
              </w:rPr>
              <w:t xml:space="preserve"> un 3 dažādi tiesneši atstāja lietu bez virzības: 28.08.2018. tiesnese A. </w:t>
            </w:r>
            <w:proofErr w:type="spellStart"/>
            <w:r w:rsidRPr="00327DAE">
              <w:rPr>
                <w:sz w:val="24"/>
                <w:szCs w:val="24"/>
              </w:rPr>
              <w:t>Zemmere</w:t>
            </w:r>
            <w:proofErr w:type="spellEnd"/>
            <w:r w:rsidRPr="00327DAE">
              <w:rPr>
                <w:sz w:val="24"/>
                <w:szCs w:val="24"/>
              </w:rPr>
              <w:t>, 02.10.2017. tiesnese I.</w:t>
            </w:r>
            <w:r w:rsidR="002F42AF">
              <w:rPr>
                <w:sz w:val="24"/>
                <w:szCs w:val="24"/>
              </w:rPr>
              <w:t> </w:t>
            </w:r>
            <w:r w:rsidRPr="00327DAE">
              <w:rPr>
                <w:sz w:val="24"/>
                <w:szCs w:val="24"/>
              </w:rPr>
              <w:t>Rubina, 13.12.2017.</w:t>
            </w:r>
            <w:r w:rsidR="002F42AF">
              <w:rPr>
                <w:sz w:val="24"/>
                <w:szCs w:val="24"/>
              </w:rPr>
              <w:t xml:space="preserve"> </w:t>
            </w:r>
            <w:r w:rsidRPr="00327DAE">
              <w:rPr>
                <w:sz w:val="24"/>
                <w:szCs w:val="24"/>
              </w:rPr>
              <w:t>tiesnese S. </w:t>
            </w:r>
            <w:proofErr w:type="spellStart"/>
            <w:r w:rsidRPr="00327DAE">
              <w:rPr>
                <w:sz w:val="24"/>
                <w:szCs w:val="24"/>
              </w:rPr>
              <w:t>Hrebtova</w:t>
            </w:r>
            <w:proofErr w:type="spellEnd"/>
            <w:r w:rsidRPr="00327DAE">
              <w:rPr>
                <w:sz w:val="24"/>
                <w:szCs w:val="24"/>
              </w:rPr>
              <w:t>. Kā redzams</w:t>
            </w:r>
            <w:r w:rsidR="002F42AF">
              <w:rPr>
                <w:sz w:val="24"/>
                <w:szCs w:val="24"/>
              </w:rPr>
              <w:t>,</w:t>
            </w:r>
            <w:r w:rsidRPr="00327DAE">
              <w:rPr>
                <w:sz w:val="24"/>
                <w:szCs w:val="24"/>
              </w:rPr>
              <w:t xml:space="preserve"> šo tiesnešu vidū nav tiesneses </w:t>
            </w:r>
            <w:r w:rsidR="00FD0FC9">
              <w:rPr>
                <w:sz w:val="24"/>
                <w:szCs w:val="24"/>
              </w:rPr>
              <w:t>J. </w:t>
            </w:r>
            <w:proofErr w:type="spellStart"/>
            <w:r w:rsidRPr="00327DAE">
              <w:rPr>
                <w:sz w:val="24"/>
                <w:szCs w:val="24"/>
              </w:rPr>
              <w:t>Zaškinas</w:t>
            </w:r>
            <w:proofErr w:type="spellEnd"/>
            <w:r w:rsidRPr="00327DAE">
              <w:rPr>
                <w:sz w:val="24"/>
                <w:szCs w:val="24"/>
              </w:rPr>
              <w:t>. Turklāt, ja pieteicēju mērķis būtu bijis izvairīties no S. </w:t>
            </w:r>
            <w:proofErr w:type="spellStart"/>
            <w:r w:rsidRPr="00327DAE">
              <w:rPr>
                <w:sz w:val="24"/>
                <w:szCs w:val="24"/>
              </w:rPr>
              <w:t>Hrebtovas</w:t>
            </w:r>
            <w:proofErr w:type="spellEnd"/>
            <w:r w:rsidRPr="00327DAE">
              <w:rPr>
                <w:sz w:val="24"/>
                <w:szCs w:val="24"/>
              </w:rPr>
              <w:t xml:space="preserve">, kura noraidīja </w:t>
            </w:r>
            <w:r w:rsidR="002150CE">
              <w:rPr>
                <w:sz w:val="24"/>
                <w:szCs w:val="24"/>
              </w:rPr>
              <w:t>SIA „</w:t>
            </w:r>
            <w:proofErr w:type="spellStart"/>
            <w:r w:rsidRPr="00327DAE">
              <w:rPr>
                <w:sz w:val="24"/>
                <w:szCs w:val="24"/>
              </w:rPr>
              <w:t>Winergy</w:t>
            </w:r>
            <w:proofErr w:type="spellEnd"/>
            <w:r w:rsidR="002F42AF">
              <w:rPr>
                <w:sz w:val="24"/>
                <w:szCs w:val="24"/>
              </w:rPr>
              <w:t>”</w:t>
            </w:r>
            <w:r w:rsidRPr="00327DAE">
              <w:rPr>
                <w:sz w:val="24"/>
                <w:szCs w:val="24"/>
              </w:rPr>
              <w:t xml:space="preserve"> TAP pieteikumu, tad pieteicējiem bija iespēja panākt lietas izskatīšanu pie divām citām tiesnesēm, samaksājot valsts nodevu. Taču to viņi neizdarīja, acīmredzot nebūdami pārliecināti, ka šīs tiesneses izdos vajadzīgo izpildrakstu (acīmredzot apstākļi, kādos tapa šķ</w:t>
            </w:r>
            <w:r w:rsidR="002F42AF">
              <w:rPr>
                <w:sz w:val="24"/>
                <w:szCs w:val="24"/>
              </w:rPr>
              <w:t>ī</w:t>
            </w:r>
            <w:r w:rsidRPr="00327DAE">
              <w:rPr>
                <w:sz w:val="24"/>
                <w:szCs w:val="24"/>
              </w:rPr>
              <w:t>rējtiesas spriedums</w:t>
            </w:r>
            <w:r w:rsidR="002F42AF">
              <w:rPr>
                <w:sz w:val="24"/>
                <w:szCs w:val="24"/>
              </w:rPr>
              <w:t>,</w:t>
            </w:r>
            <w:r w:rsidRPr="00327DAE">
              <w:rPr>
                <w:sz w:val="24"/>
                <w:szCs w:val="24"/>
              </w:rPr>
              <w:t xml:space="preserve"> ir bijuši apšaubāmi).</w:t>
            </w:r>
          </w:p>
          <w:p w14:paraId="3A171EAE" w14:textId="0E2DA24F" w:rsidR="00574BB5" w:rsidRPr="00327DAE" w:rsidRDefault="002150CE" w:rsidP="0025317F">
            <w:pPr>
              <w:spacing w:after="120"/>
              <w:rPr>
                <w:sz w:val="24"/>
                <w:szCs w:val="24"/>
              </w:rPr>
            </w:pPr>
            <w:r>
              <w:rPr>
                <w:sz w:val="24"/>
                <w:szCs w:val="24"/>
              </w:rPr>
              <w:t>SIA „</w:t>
            </w:r>
            <w:proofErr w:type="spellStart"/>
            <w:r w:rsidR="00574BB5" w:rsidRPr="00327DAE">
              <w:rPr>
                <w:sz w:val="24"/>
                <w:szCs w:val="24"/>
              </w:rPr>
              <w:t>Winergy</w:t>
            </w:r>
            <w:proofErr w:type="spellEnd"/>
            <w:r w:rsidR="002F42AF">
              <w:rPr>
                <w:sz w:val="24"/>
                <w:szCs w:val="24"/>
              </w:rPr>
              <w:t>”</w:t>
            </w:r>
            <w:r w:rsidR="00574BB5" w:rsidRPr="00327DAE">
              <w:rPr>
                <w:sz w:val="24"/>
                <w:szCs w:val="24"/>
              </w:rPr>
              <w:t xml:space="preserve"> maksātnespējas lietas apstākļi, kādos </w:t>
            </w:r>
            <w:r w:rsidR="00FD0FC9">
              <w:rPr>
                <w:sz w:val="24"/>
                <w:szCs w:val="24"/>
              </w:rPr>
              <w:t>J. </w:t>
            </w:r>
            <w:proofErr w:type="spellStart"/>
            <w:r w:rsidR="00574BB5" w:rsidRPr="00327DAE">
              <w:rPr>
                <w:sz w:val="24"/>
                <w:szCs w:val="24"/>
              </w:rPr>
              <w:t>Zaškina</w:t>
            </w:r>
            <w:proofErr w:type="spellEnd"/>
            <w:r w:rsidR="00574BB5" w:rsidRPr="00327DAE">
              <w:rPr>
                <w:sz w:val="24"/>
                <w:szCs w:val="24"/>
              </w:rPr>
              <w:t xml:space="preserve"> pasludināja maksātnespējas procesa lietu, nebija viennozīmīgi. Atrauti no pārējiem apstākļiem</w:t>
            </w:r>
            <w:r w:rsidR="002F42AF">
              <w:rPr>
                <w:sz w:val="24"/>
                <w:szCs w:val="24"/>
              </w:rPr>
              <w:t>,</w:t>
            </w:r>
            <w:r w:rsidR="00574BB5" w:rsidRPr="00327DAE">
              <w:rPr>
                <w:sz w:val="24"/>
                <w:szCs w:val="24"/>
              </w:rPr>
              <w:t xml:space="preserve"> varētu piekrist tam, ka formāli Maksātnespējas likumā noteiktā maksātnespējas pazīme SIA </w:t>
            </w:r>
            <w:r>
              <w:rPr>
                <w:sz w:val="24"/>
                <w:szCs w:val="24"/>
              </w:rPr>
              <w:t>„</w:t>
            </w:r>
            <w:proofErr w:type="spellStart"/>
            <w:r w:rsidR="00574BB5" w:rsidRPr="00327DAE">
              <w:rPr>
                <w:sz w:val="24"/>
                <w:szCs w:val="24"/>
              </w:rPr>
              <w:t>Winergy</w:t>
            </w:r>
            <w:proofErr w:type="spellEnd"/>
            <w:r w:rsidR="002F42AF">
              <w:rPr>
                <w:sz w:val="24"/>
                <w:szCs w:val="24"/>
              </w:rPr>
              <w:t>”</w:t>
            </w:r>
            <w:r w:rsidR="00574BB5" w:rsidRPr="00327DAE">
              <w:rPr>
                <w:sz w:val="24"/>
                <w:szCs w:val="24"/>
              </w:rPr>
              <w:t xml:space="preserve"> bija. Taču nebija arī nepamanāms tas, </w:t>
            </w:r>
            <w:r w:rsidR="00574BB5" w:rsidRPr="00327DAE">
              <w:rPr>
                <w:sz w:val="24"/>
                <w:szCs w:val="24"/>
              </w:rPr>
              <w:lastRenderedPageBreak/>
              <w:t>ka notiek apzināta manipulēšana ar maksātnespējas procesu. Lietas apstākļi pieļāva iespēju arī noraidīt maksātnespējas pieteikumu, atsaucoties uz Maksātnespējas likumā minēto labticības principu un ņemot vērā maksātspējas testa mērķi, uz kuru norādīja vēlāk AT C</w:t>
            </w:r>
            <w:r w:rsidR="001F01BD" w:rsidRPr="00327DAE">
              <w:rPr>
                <w:sz w:val="24"/>
                <w:szCs w:val="24"/>
              </w:rPr>
              <w:t>L</w:t>
            </w:r>
            <w:r w:rsidR="00574BB5" w:rsidRPr="00327DAE">
              <w:rPr>
                <w:sz w:val="24"/>
                <w:szCs w:val="24"/>
              </w:rPr>
              <w:t xml:space="preserve">D. </w:t>
            </w:r>
          </w:p>
          <w:p w14:paraId="4CB66207" w14:textId="49019758" w:rsidR="00574BB5" w:rsidRPr="00327DAE" w:rsidRDefault="00574BB5" w:rsidP="0025317F">
            <w:pPr>
              <w:spacing w:after="120"/>
              <w:rPr>
                <w:sz w:val="24"/>
                <w:szCs w:val="24"/>
              </w:rPr>
            </w:pPr>
            <w:r w:rsidRPr="00327DAE">
              <w:rPr>
                <w:sz w:val="24"/>
                <w:szCs w:val="24"/>
              </w:rPr>
              <w:t xml:space="preserve">Pēc </w:t>
            </w:r>
            <w:r w:rsidR="002150CE">
              <w:rPr>
                <w:sz w:val="24"/>
                <w:szCs w:val="24"/>
              </w:rPr>
              <w:t>„</w:t>
            </w:r>
            <w:proofErr w:type="spellStart"/>
            <w:r w:rsidRPr="00327DAE">
              <w:rPr>
                <w:sz w:val="24"/>
                <w:szCs w:val="24"/>
              </w:rPr>
              <w:t>Winergy</w:t>
            </w:r>
            <w:proofErr w:type="spellEnd"/>
            <w:r w:rsidR="002F42AF">
              <w:rPr>
                <w:sz w:val="24"/>
                <w:szCs w:val="24"/>
              </w:rPr>
              <w:t>”</w:t>
            </w:r>
            <w:r w:rsidRPr="00327DAE">
              <w:rPr>
                <w:sz w:val="24"/>
                <w:szCs w:val="24"/>
              </w:rPr>
              <w:t xml:space="preserve"> maksātnespējas procesa pasludināšanas tiesnese </w:t>
            </w:r>
            <w:r w:rsidR="00FD0FC9">
              <w:rPr>
                <w:sz w:val="24"/>
                <w:szCs w:val="24"/>
              </w:rPr>
              <w:t>J. </w:t>
            </w:r>
            <w:proofErr w:type="spellStart"/>
            <w:r w:rsidRPr="00327DAE">
              <w:rPr>
                <w:sz w:val="24"/>
                <w:szCs w:val="24"/>
              </w:rPr>
              <w:t>Zaškina</w:t>
            </w:r>
            <w:proofErr w:type="spellEnd"/>
            <w:r w:rsidRPr="00327DAE">
              <w:rPr>
                <w:sz w:val="24"/>
                <w:szCs w:val="24"/>
              </w:rPr>
              <w:t xml:space="preserve"> pieņēma kopumā vēl 3 lēmumus: </w:t>
            </w:r>
            <w:r w:rsidR="002F42AF">
              <w:rPr>
                <w:sz w:val="24"/>
                <w:szCs w:val="24"/>
              </w:rPr>
              <w:t>n</w:t>
            </w:r>
            <w:r w:rsidRPr="00327DAE">
              <w:rPr>
                <w:sz w:val="24"/>
                <w:szCs w:val="24"/>
              </w:rPr>
              <w:t>orai</w:t>
            </w:r>
            <w:r w:rsidR="002150CE">
              <w:rPr>
                <w:sz w:val="24"/>
                <w:szCs w:val="24"/>
              </w:rPr>
              <w:t>dot AS „</w:t>
            </w:r>
            <w:proofErr w:type="spellStart"/>
            <w:r w:rsidRPr="00327DAE">
              <w:rPr>
                <w:sz w:val="24"/>
                <w:szCs w:val="24"/>
              </w:rPr>
              <w:t>Norvik</w:t>
            </w:r>
            <w:proofErr w:type="spellEnd"/>
            <w:r w:rsidRPr="00327DAE">
              <w:rPr>
                <w:sz w:val="24"/>
                <w:szCs w:val="24"/>
              </w:rPr>
              <w:t xml:space="preserve"> Banka” sūdzību par kreditora prasījuma neatzīšanu (28.01.2014.), noraidot VARAM sūdzību par kreditora prasījuma neatzīšanu (29.01.2014.), kā arī noraidot AS “</w:t>
            </w:r>
            <w:proofErr w:type="spellStart"/>
            <w:r w:rsidRPr="00327DAE">
              <w:rPr>
                <w:sz w:val="24"/>
                <w:szCs w:val="24"/>
              </w:rPr>
              <w:t>Norvik</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sūdzību par administratora lēmumu atzīt kreditora prasījumu, kura īstumu bija apšaubījusi Latgales priekšpilsētas ties</w:t>
            </w:r>
            <w:r w:rsidR="002150CE">
              <w:rPr>
                <w:sz w:val="24"/>
                <w:szCs w:val="24"/>
              </w:rPr>
              <w:t>nese S. </w:t>
            </w:r>
            <w:proofErr w:type="spellStart"/>
            <w:r w:rsidR="002150CE">
              <w:rPr>
                <w:sz w:val="24"/>
                <w:szCs w:val="24"/>
              </w:rPr>
              <w:t>Hrebtova</w:t>
            </w:r>
            <w:proofErr w:type="spellEnd"/>
            <w:r w:rsidR="002150CE">
              <w:rPr>
                <w:sz w:val="24"/>
                <w:szCs w:val="24"/>
              </w:rPr>
              <w:t>, noraidot SIA „</w:t>
            </w:r>
            <w:proofErr w:type="spellStart"/>
            <w:r w:rsidRPr="00327DAE">
              <w:rPr>
                <w:sz w:val="24"/>
                <w:szCs w:val="24"/>
              </w:rPr>
              <w:t>Winergy</w:t>
            </w:r>
            <w:proofErr w:type="spellEnd"/>
            <w:r w:rsidRPr="00327DAE">
              <w:rPr>
                <w:sz w:val="24"/>
                <w:szCs w:val="24"/>
              </w:rPr>
              <w:t>” TAP pieteikumu (28.02.2018.). Aplūkojot visus trīs lēmumus, ne par vienu no tiem nevarētu teikt, ka tie būtu pieņemti</w:t>
            </w:r>
            <w:r w:rsidR="002F42AF">
              <w:rPr>
                <w:sz w:val="24"/>
                <w:szCs w:val="24"/>
              </w:rPr>
              <w:t>,</w:t>
            </w:r>
            <w:r w:rsidRPr="00327DAE">
              <w:rPr>
                <w:sz w:val="24"/>
                <w:szCs w:val="24"/>
              </w:rPr>
              <w:t xml:space="preserve"> klaji pārkāpjot tiesību normas. Taču visās trīs izskatāmajās lietās pastāvēja iespēja arī </w:t>
            </w:r>
            <w:r w:rsidR="002F42AF">
              <w:rPr>
                <w:sz w:val="24"/>
                <w:szCs w:val="24"/>
              </w:rPr>
              <w:t>citādāk</w:t>
            </w:r>
            <w:r w:rsidR="002F42AF" w:rsidRPr="00327DAE">
              <w:rPr>
                <w:sz w:val="24"/>
                <w:szCs w:val="24"/>
              </w:rPr>
              <w:t xml:space="preserve"> </w:t>
            </w:r>
            <w:r w:rsidRPr="00327DAE">
              <w:rPr>
                <w:sz w:val="24"/>
                <w:szCs w:val="24"/>
              </w:rPr>
              <w:t xml:space="preserve">interpretēt apstākļus un piemērojamās tiesību normas. </w:t>
            </w:r>
          </w:p>
          <w:p w14:paraId="7D9FAF5E" w14:textId="7B580C59" w:rsidR="00574BB5" w:rsidRPr="00327DAE" w:rsidRDefault="00574BB5" w:rsidP="0025317F">
            <w:pPr>
              <w:spacing w:after="120"/>
              <w:rPr>
                <w:sz w:val="24"/>
                <w:szCs w:val="24"/>
              </w:rPr>
            </w:pPr>
            <w:r w:rsidRPr="00327DAE">
              <w:rPr>
                <w:sz w:val="24"/>
                <w:szCs w:val="24"/>
              </w:rPr>
              <w:t xml:space="preserve">Lietā, kur tiesnese </w:t>
            </w:r>
            <w:r w:rsidR="00FD0FC9">
              <w:rPr>
                <w:sz w:val="24"/>
                <w:szCs w:val="24"/>
              </w:rPr>
              <w:t>J. </w:t>
            </w:r>
            <w:proofErr w:type="spellStart"/>
            <w:r w:rsidRPr="00327DAE">
              <w:rPr>
                <w:sz w:val="24"/>
                <w:szCs w:val="24"/>
              </w:rPr>
              <w:t>Zaškina</w:t>
            </w:r>
            <w:proofErr w:type="spellEnd"/>
            <w:r w:rsidRPr="00327DAE">
              <w:rPr>
                <w:sz w:val="24"/>
                <w:szCs w:val="24"/>
              </w:rPr>
              <w:t xml:space="preserve"> noraidīja AS </w:t>
            </w:r>
            <w:r w:rsidR="002150CE">
              <w:rPr>
                <w:sz w:val="24"/>
                <w:szCs w:val="24"/>
              </w:rPr>
              <w:t>„</w:t>
            </w:r>
            <w:proofErr w:type="spellStart"/>
            <w:r w:rsidRPr="00327DAE">
              <w:rPr>
                <w:sz w:val="24"/>
                <w:szCs w:val="24"/>
              </w:rPr>
              <w:t>No</w:t>
            </w:r>
            <w:r w:rsidR="002F42AF">
              <w:rPr>
                <w:sz w:val="24"/>
                <w:szCs w:val="24"/>
              </w:rPr>
              <w:t>r</w:t>
            </w:r>
            <w:r w:rsidRPr="00327DAE">
              <w:rPr>
                <w:sz w:val="24"/>
                <w:szCs w:val="24"/>
              </w:rPr>
              <w:t>vik</w:t>
            </w:r>
            <w:proofErr w:type="spellEnd"/>
            <w:r w:rsidRPr="00327DAE">
              <w:rPr>
                <w:sz w:val="24"/>
                <w:szCs w:val="24"/>
              </w:rPr>
              <w:t xml:space="preserve"> </w:t>
            </w:r>
            <w:proofErr w:type="spellStart"/>
            <w:r w:rsidRPr="00327DAE">
              <w:rPr>
                <w:sz w:val="24"/>
                <w:szCs w:val="24"/>
              </w:rPr>
              <w:t>Bank</w:t>
            </w:r>
            <w:proofErr w:type="spellEnd"/>
            <w:r w:rsidRPr="00327DAE">
              <w:rPr>
                <w:sz w:val="24"/>
                <w:szCs w:val="24"/>
              </w:rPr>
              <w:t>” sūdzību par kreditora prasījuma neatzīšanu, bija strīds par to, vai kreditors ir novērsis administratora norādītos trūkumus likumā noteiktajā termiņā. Maksātnespējas likuma 74.</w:t>
            </w:r>
            <w:r w:rsidR="002F42AF">
              <w:rPr>
                <w:sz w:val="24"/>
                <w:szCs w:val="24"/>
              </w:rPr>
              <w:t> </w:t>
            </w:r>
            <w:r w:rsidRPr="00327DAE">
              <w:rPr>
                <w:sz w:val="24"/>
                <w:szCs w:val="24"/>
              </w:rPr>
              <w:t>panta otrā daļa noteic, ka kreditoram konstatētie trūkumi ir jānovērš 5 dienu laikā. Izskatāmajā gadījumā administratora pieprasītos dokumentus kreditors bija iesniedzis pastā piektajā dienā. Tiesnese uzskatīja, ka likuma prasības nav ievērotas un</w:t>
            </w:r>
            <w:r w:rsidR="002F42AF">
              <w:rPr>
                <w:sz w:val="24"/>
                <w:szCs w:val="24"/>
              </w:rPr>
              <w:t>,</w:t>
            </w:r>
            <w:r w:rsidRPr="00327DAE">
              <w:rPr>
                <w:sz w:val="24"/>
                <w:szCs w:val="24"/>
              </w:rPr>
              <w:t xml:space="preserve"> pieņemot lēmumu</w:t>
            </w:r>
            <w:r w:rsidR="002F42AF">
              <w:rPr>
                <w:sz w:val="24"/>
                <w:szCs w:val="24"/>
              </w:rPr>
              <w:t>,</w:t>
            </w:r>
            <w:r w:rsidRPr="00327DAE">
              <w:rPr>
                <w:sz w:val="24"/>
                <w:szCs w:val="24"/>
              </w:rPr>
              <w:t xml:space="preserve"> administrators nav zinājis, ka tiek sūtīti papildu dokumenti. Šajā lietā pastāvēja arī cita: saprātīgāka un mazāk formāla interpretācijas iespēja. Ņemot vērā to, ka kreditora prasījuma iesniegšanas termiņam ir ietekme uz kreditora statusu, tiesai bija jāņem vērā, ka interpretācija, kas paredz fiziski nogādāt administratoram pieprasītos dokumentus 5 dienu laikā</w:t>
            </w:r>
            <w:r w:rsidR="002F42AF">
              <w:rPr>
                <w:sz w:val="24"/>
                <w:szCs w:val="24"/>
              </w:rPr>
              <w:t>,</w:t>
            </w:r>
            <w:r w:rsidRPr="00327DAE">
              <w:rPr>
                <w:sz w:val="24"/>
                <w:szCs w:val="24"/>
              </w:rPr>
              <w:t xml:space="preserve"> nesamērīgi ierobežo kreditoru, no šādas interpretācijas nav vērā ņemama ieguvuma no citu personu interešu viedokļa</w:t>
            </w:r>
            <w:r w:rsidR="002F42AF">
              <w:rPr>
                <w:sz w:val="24"/>
                <w:szCs w:val="24"/>
              </w:rPr>
              <w:t>,</w:t>
            </w:r>
            <w:r w:rsidRPr="00327DAE">
              <w:rPr>
                <w:sz w:val="24"/>
                <w:szCs w:val="24"/>
              </w:rPr>
              <w:t xml:space="preserve"> un arī tiesību sistēmā parasti </w:t>
            </w:r>
            <w:r w:rsidR="002F42AF" w:rsidRPr="00327DAE">
              <w:rPr>
                <w:sz w:val="24"/>
                <w:szCs w:val="24"/>
              </w:rPr>
              <w:t>procesuāl</w:t>
            </w:r>
            <w:r w:rsidR="002F42AF">
              <w:rPr>
                <w:sz w:val="24"/>
                <w:szCs w:val="24"/>
              </w:rPr>
              <w:t>a</w:t>
            </w:r>
            <w:r w:rsidR="002F42AF" w:rsidRPr="00327DAE">
              <w:rPr>
                <w:sz w:val="24"/>
                <w:szCs w:val="24"/>
              </w:rPr>
              <w:t xml:space="preserve"> </w:t>
            </w:r>
            <w:r w:rsidRPr="00327DAE">
              <w:rPr>
                <w:sz w:val="24"/>
                <w:szCs w:val="24"/>
              </w:rPr>
              <w:t xml:space="preserve">darbība tiek uzskatīta par izpildītu ar dokumentu nodošanu pastā. </w:t>
            </w:r>
          </w:p>
          <w:p w14:paraId="0F0B276A" w14:textId="0E1D8C5E" w:rsidR="00574BB5" w:rsidRPr="00327DAE" w:rsidRDefault="00574BB5" w:rsidP="0025317F">
            <w:pPr>
              <w:spacing w:after="120"/>
              <w:rPr>
                <w:sz w:val="24"/>
                <w:szCs w:val="24"/>
              </w:rPr>
            </w:pPr>
            <w:r w:rsidRPr="00327DAE">
              <w:rPr>
                <w:sz w:val="24"/>
                <w:szCs w:val="24"/>
              </w:rPr>
              <w:t xml:space="preserve">Lietā, kurā tiesnese </w:t>
            </w:r>
            <w:r w:rsidR="00FD0FC9">
              <w:rPr>
                <w:sz w:val="24"/>
                <w:szCs w:val="24"/>
              </w:rPr>
              <w:t>J. </w:t>
            </w:r>
            <w:proofErr w:type="spellStart"/>
            <w:r w:rsidRPr="00327DAE">
              <w:rPr>
                <w:sz w:val="24"/>
                <w:szCs w:val="24"/>
              </w:rPr>
              <w:t>Zaškina</w:t>
            </w:r>
            <w:proofErr w:type="spellEnd"/>
            <w:r w:rsidRPr="00327DAE">
              <w:rPr>
                <w:sz w:val="24"/>
                <w:szCs w:val="24"/>
              </w:rPr>
              <w:t xml:space="preserve"> noraidīja sūdzību par VARAM prasījuma neatzīšanu</w:t>
            </w:r>
            <w:r w:rsidR="002F42AF">
              <w:rPr>
                <w:sz w:val="24"/>
                <w:szCs w:val="24"/>
              </w:rPr>
              <w:t>,</w:t>
            </w:r>
            <w:r w:rsidRPr="00327DAE">
              <w:rPr>
                <w:sz w:val="24"/>
                <w:szCs w:val="24"/>
              </w:rPr>
              <w:t xml:space="preserve"> arī pastāvēja alternatīva lietas apstākļu interpretācijas iespēja. Administrators neatzina VARAM prasījumu tāpēc, ka parādnieks formāli bija izteicis pret to pretenziju rakstiskā formā. Tomēr no lietas apstākļiem </w:t>
            </w:r>
            <w:proofErr w:type="spellStart"/>
            <w:r w:rsidRPr="00327DAE">
              <w:rPr>
                <w:sz w:val="24"/>
                <w:szCs w:val="24"/>
              </w:rPr>
              <w:t>pirmšķietami</w:t>
            </w:r>
            <w:proofErr w:type="spellEnd"/>
            <w:r w:rsidRPr="00327DAE">
              <w:rPr>
                <w:sz w:val="24"/>
                <w:szCs w:val="24"/>
              </w:rPr>
              <w:t xml:space="preserve"> bija redzams, ka šie iebildumi varētu būt nepamatoti. VARAM </w:t>
            </w:r>
            <w:r w:rsidR="002150CE">
              <w:rPr>
                <w:sz w:val="24"/>
                <w:szCs w:val="24"/>
              </w:rPr>
              <w:t>prasība balstījā</w:t>
            </w:r>
            <w:r w:rsidRPr="00327DAE">
              <w:rPr>
                <w:sz w:val="24"/>
                <w:szCs w:val="24"/>
              </w:rPr>
              <w:t xml:space="preserve">s uz VARAM un </w:t>
            </w:r>
            <w:r w:rsidR="002150CE">
              <w:rPr>
                <w:sz w:val="24"/>
                <w:szCs w:val="24"/>
              </w:rPr>
              <w:t>SIA „</w:t>
            </w:r>
            <w:proofErr w:type="spellStart"/>
            <w:r w:rsidRPr="00327DAE">
              <w:rPr>
                <w:sz w:val="24"/>
                <w:szCs w:val="24"/>
              </w:rPr>
              <w:t>Winergy</w:t>
            </w:r>
            <w:proofErr w:type="spellEnd"/>
            <w:r w:rsidR="002F42AF">
              <w:rPr>
                <w:sz w:val="24"/>
                <w:szCs w:val="24"/>
              </w:rPr>
              <w:t>”</w:t>
            </w:r>
            <w:r w:rsidRPr="00327DAE">
              <w:rPr>
                <w:sz w:val="24"/>
                <w:szCs w:val="24"/>
              </w:rPr>
              <w:t xml:space="preserve"> līgumu par finansējuma piešķiršanu, kurš paredzēja, ka gadījumā, ja </w:t>
            </w:r>
            <w:r w:rsidR="002150CE">
              <w:rPr>
                <w:sz w:val="24"/>
                <w:szCs w:val="24"/>
              </w:rPr>
              <w:t>SIA „</w:t>
            </w:r>
            <w:proofErr w:type="spellStart"/>
            <w:r w:rsidRPr="00327DAE">
              <w:rPr>
                <w:sz w:val="24"/>
                <w:szCs w:val="24"/>
              </w:rPr>
              <w:t>Winergy</w:t>
            </w:r>
            <w:proofErr w:type="spellEnd"/>
            <w:r w:rsidR="002F42AF">
              <w:rPr>
                <w:sz w:val="24"/>
                <w:szCs w:val="24"/>
              </w:rPr>
              <w:t>”</w:t>
            </w:r>
            <w:r w:rsidRPr="00327DAE">
              <w:rPr>
                <w:sz w:val="24"/>
                <w:szCs w:val="24"/>
              </w:rPr>
              <w:t xml:space="preserve"> kļūst maksātnespējīga, finansējums ir jāatdod. Administratoram, pārbaudot kreditoru prasījumus, ir </w:t>
            </w:r>
            <w:r w:rsidR="00DA58E7" w:rsidRPr="00327DAE">
              <w:rPr>
                <w:sz w:val="24"/>
                <w:szCs w:val="24"/>
              </w:rPr>
              <w:t>jāvērtē</w:t>
            </w:r>
            <w:r w:rsidRPr="00327DAE">
              <w:rPr>
                <w:sz w:val="24"/>
                <w:szCs w:val="24"/>
              </w:rPr>
              <w:t xml:space="preserve"> to pamatotība, taču ne katrs parādnieka iebildums pret prasījumu ir vērtējams kā strīds un ir šķērslis prasījuma atzīšanai. Pretēj</w:t>
            </w:r>
            <w:r w:rsidR="002F42AF">
              <w:rPr>
                <w:sz w:val="24"/>
                <w:szCs w:val="24"/>
              </w:rPr>
              <w:t>ā</w:t>
            </w:r>
            <w:r w:rsidRPr="00327DAE">
              <w:rPr>
                <w:sz w:val="24"/>
                <w:szCs w:val="24"/>
              </w:rPr>
              <w:t xml:space="preserve"> gadījumā maksātnespējas </w:t>
            </w:r>
            <w:r w:rsidR="00DA58E7" w:rsidRPr="00327DAE">
              <w:rPr>
                <w:sz w:val="24"/>
                <w:szCs w:val="24"/>
              </w:rPr>
              <w:t>process</w:t>
            </w:r>
            <w:r w:rsidRPr="00327DAE">
              <w:rPr>
                <w:sz w:val="24"/>
                <w:szCs w:val="24"/>
              </w:rPr>
              <w:t xml:space="preserve"> “apaugtu” ar nebeidzamām tiesvedībām. Jo īpaši ņemot vērā to, ka strīdus gadījumā administratoram ir jāpārstāv parādnieks tiesā, administratoram kritiski ir </w:t>
            </w:r>
            <w:r w:rsidR="00DA58E7" w:rsidRPr="00327DAE">
              <w:rPr>
                <w:sz w:val="24"/>
                <w:szCs w:val="24"/>
              </w:rPr>
              <w:t>jāvērtē</w:t>
            </w:r>
            <w:r w:rsidRPr="00327DAE">
              <w:rPr>
                <w:sz w:val="24"/>
                <w:szCs w:val="24"/>
              </w:rPr>
              <w:t xml:space="preserve"> parādnieka iebildumi, ja tādi ir. Tāpēc gan administratoram, gan tiesai šaj</w:t>
            </w:r>
            <w:r w:rsidR="002F42AF">
              <w:rPr>
                <w:sz w:val="24"/>
                <w:szCs w:val="24"/>
              </w:rPr>
              <w:t>ā</w:t>
            </w:r>
            <w:r w:rsidRPr="00327DAE">
              <w:rPr>
                <w:sz w:val="24"/>
                <w:szCs w:val="24"/>
              </w:rPr>
              <w:t xml:space="preserve"> situācij</w:t>
            </w:r>
            <w:r w:rsidR="002F42AF">
              <w:rPr>
                <w:sz w:val="24"/>
                <w:szCs w:val="24"/>
              </w:rPr>
              <w:t>ā</w:t>
            </w:r>
            <w:r w:rsidRPr="00327DAE">
              <w:rPr>
                <w:sz w:val="24"/>
                <w:szCs w:val="24"/>
              </w:rPr>
              <w:t xml:space="preserve"> pastāvēja iespēja VARAM prasījumu atzīt, konstatējot, ka parādnieka iebildumi ir nepamatoti. Jāpiebilst, ka VARAM prasījuma neatzīšana bija svarīga </w:t>
            </w:r>
            <w:r w:rsidR="002150CE">
              <w:rPr>
                <w:sz w:val="24"/>
                <w:szCs w:val="24"/>
              </w:rPr>
              <w:t>SIA „</w:t>
            </w:r>
            <w:proofErr w:type="spellStart"/>
            <w:r w:rsidRPr="00327DAE">
              <w:rPr>
                <w:sz w:val="24"/>
                <w:szCs w:val="24"/>
              </w:rPr>
              <w:t>Winergy</w:t>
            </w:r>
            <w:proofErr w:type="spellEnd"/>
            <w:r w:rsidR="002F42AF">
              <w:rPr>
                <w:sz w:val="24"/>
                <w:szCs w:val="24"/>
              </w:rPr>
              <w:t>”</w:t>
            </w:r>
            <w:r w:rsidRPr="00327DAE">
              <w:rPr>
                <w:sz w:val="24"/>
                <w:szCs w:val="24"/>
              </w:rPr>
              <w:t xml:space="preserve"> maksātnespējas shēmas īstenošanai, jo tādā veidā VARAM neieguva balsstiesības par aptuveni vienu miljonu</w:t>
            </w:r>
            <w:r w:rsidR="002150CE">
              <w:rPr>
                <w:sz w:val="24"/>
                <w:szCs w:val="24"/>
              </w:rPr>
              <w:t xml:space="preserve"> EUR, kas bija izdevīgi „</w:t>
            </w:r>
            <w:r w:rsidR="00DA58E7" w:rsidRPr="00327DAE">
              <w:rPr>
                <w:sz w:val="24"/>
                <w:szCs w:val="24"/>
              </w:rPr>
              <w:t>shēmotā</w:t>
            </w:r>
            <w:r w:rsidRPr="00327DAE">
              <w:rPr>
                <w:sz w:val="24"/>
                <w:szCs w:val="24"/>
              </w:rPr>
              <w:t xml:space="preserve">jiem”. VARAM ar savām balsīm, iespējams, varēja patraucēt kādu lēmumu pieņemšanā kreditoru </w:t>
            </w:r>
            <w:r w:rsidRPr="00327DAE">
              <w:rPr>
                <w:sz w:val="24"/>
                <w:szCs w:val="24"/>
              </w:rPr>
              <w:lastRenderedPageBreak/>
              <w:t>sapulcē.</w:t>
            </w:r>
          </w:p>
          <w:p w14:paraId="5AEE2ACC" w14:textId="1C091142" w:rsidR="00574BB5" w:rsidRPr="00327DAE" w:rsidRDefault="00574BB5" w:rsidP="0025317F">
            <w:pPr>
              <w:spacing w:after="120"/>
              <w:rPr>
                <w:sz w:val="24"/>
                <w:szCs w:val="24"/>
              </w:rPr>
            </w:pPr>
            <w:r w:rsidRPr="00327DAE">
              <w:rPr>
                <w:sz w:val="24"/>
                <w:szCs w:val="24"/>
              </w:rPr>
              <w:t xml:space="preserve">Visbeidzot lietā, kur </w:t>
            </w:r>
            <w:r w:rsidR="00FD0FC9">
              <w:rPr>
                <w:sz w:val="24"/>
                <w:szCs w:val="24"/>
              </w:rPr>
              <w:t>J. </w:t>
            </w:r>
            <w:proofErr w:type="spellStart"/>
            <w:r w:rsidRPr="00327DAE">
              <w:rPr>
                <w:sz w:val="24"/>
                <w:szCs w:val="24"/>
              </w:rPr>
              <w:t>Zaškina</w:t>
            </w:r>
            <w:proofErr w:type="spellEnd"/>
            <w:r w:rsidRPr="00327DAE">
              <w:rPr>
                <w:sz w:val="24"/>
                <w:szCs w:val="24"/>
              </w:rPr>
              <w:t xml:space="preserve"> noraidīja sūdzību par </w:t>
            </w:r>
            <w:proofErr w:type="spellStart"/>
            <w:r w:rsidRPr="00327DAE">
              <w:rPr>
                <w:sz w:val="24"/>
                <w:szCs w:val="24"/>
              </w:rPr>
              <w:t>pirmšķietami</w:t>
            </w:r>
            <w:proofErr w:type="spellEnd"/>
            <w:r w:rsidRPr="00327DAE">
              <w:rPr>
                <w:sz w:val="24"/>
                <w:szCs w:val="24"/>
              </w:rPr>
              <w:t xml:space="preserve"> fiktīva kreditoru prasījuma atzīšanu, tiesnese pamatoti norādīja, ka prasījuma atzīšana neizslēdz iespēju to rūpīgi </w:t>
            </w:r>
            <w:r w:rsidR="00DA58E7" w:rsidRPr="00327DAE">
              <w:rPr>
                <w:sz w:val="24"/>
                <w:szCs w:val="24"/>
              </w:rPr>
              <w:t>izvērtēt</w:t>
            </w:r>
            <w:r w:rsidRPr="00327DAE">
              <w:rPr>
                <w:sz w:val="24"/>
                <w:szCs w:val="24"/>
              </w:rPr>
              <w:t xml:space="preserve"> un vēlāk celt prasību par tās atzīšanu par spēkā neesošu. Taču arī šajā jautājumā likumā nebija noteiktas stingras robežas</w:t>
            </w:r>
            <w:proofErr w:type="gramStart"/>
            <w:r w:rsidRPr="00327DAE">
              <w:rPr>
                <w:sz w:val="24"/>
                <w:szCs w:val="24"/>
              </w:rPr>
              <w:t xml:space="preserve">  </w:t>
            </w:r>
            <w:proofErr w:type="gramEnd"/>
            <w:r w:rsidRPr="00327DAE">
              <w:rPr>
                <w:sz w:val="24"/>
                <w:szCs w:val="24"/>
              </w:rPr>
              <w:t xml:space="preserve">par to, kādos gadījumos </w:t>
            </w:r>
            <w:proofErr w:type="spellStart"/>
            <w:r w:rsidRPr="00327DAE">
              <w:rPr>
                <w:sz w:val="24"/>
                <w:szCs w:val="24"/>
              </w:rPr>
              <w:t>pirmšķietami</w:t>
            </w:r>
            <w:proofErr w:type="spellEnd"/>
            <w:r w:rsidRPr="00327DAE">
              <w:rPr>
                <w:sz w:val="24"/>
                <w:szCs w:val="24"/>
              </w:rPr>
              <w:t xml:space="preserve"> fiktīvs prasījums ir jāatzīst un kādos gadījumos to var neatzīt. Administrators šo prasījumu varēja neatzīt, pārceļot pierādījuma nastu uz fiktīvo kreditoru, ko administrators neizdarīja. Tāpat tiesa</w:t>
            </w:r>
            <w:r w:rsidR="002F42AF">
              <w:rPr>
                <w:sz w:val="24"/>
                <w:szCs w:val="24"/>
              </w:rPr>
              <w:t>,</w:t>
            </w:r>
            <w:r w:rsidRPr="00327DAE">
              <w:rPr>
                <w:sz w:val="24"/>
                <w:szCs w:val="24"/>
              </w:rPr>
              <w:t xml:space="preserve"> saskatot šajā situācijā negodprātīgu kreditoru rīcību</w:t>
            </w:r>
            <w:r w:rsidR="002F42AF">
              <w:rPr>
                <w:sz w:val="24"/>
                <w:szCs w:val="24"/>
              </w:rPr>
              <w:t>,</w:t>
            </w:r>
            <w:r w:rsidRPr="00327DAE">
              <w:rPr>
                <w:sz w:val="24"/>
                <w:szCs w:val="24"/>
              </w:rPr>
              <w:t xml:space="preserve"> varēja </w:t>
            </w:r>
            <w:r w:rsidR="00DA58E7" w:rsidRPr="00327DAE">
              <w:rPr>
                <w:sz w:val="24"/>
                <w:szCs w:val="24"/>
              </w:rPr>
              <w:t>vērst</w:t>
            </w:r>
            <w:r w:rsidRPr="00327DAE">
              <w:rPr>
                <w:sz w:val="24"/>
                <w:szCs w:val="24"/>
              </w:rPr>
              <w:t xml:space="preserve"> uzmanību uz prasījuma fiktīvo dabu. </w:t>
            </w:r>
          </w:p>
          <w:p w14:paraId="329B0FB8" w14:textId="46088B06" w:rsidR="00574BB5" w:rsidRPr="00327DAE" w:rsidRDefault="00574BB5" w:rsidP="002150CE">
            <w:pPr>
              <w:spacing w:after="120"/>
              <w:rPr>
                <w:sz w:val="24"/>
                <w:szCs w:val="24"/>
              </w:rPr>
            </w:pPr>
            <w:r w:rsidRPr="00327DAE">
              <w:rPr>
                <w:sz w:val="24"/>
                <w:szCs w:val="24"/>
              </w:rPr>
              <w:t>Ņemot vēr</w:t>
            </w:r>
            <w:r w:rsidR="002F42AF">
              <w:rPr>
                <w:sz w:val="24"/>
                <w:szCs w:val="24"/>
              </w:rPr>
              <w:t>ā</w:t>
            </w:r>
            <w:r w:rsidRPr="00327DAE">
              <w:rPr>
                <w:sz w:val="24"/>
                <w:szCs w:val="24"/>
              </w:rPr>
              <w:t xml:space="preserve"> kopsakarā šos apstākļus, pastāv ļoti liela iespēja, ka ar </w:t>
            </w:r>
            <w:r w:rsidR="002150CE">
              <w:rPr>
                <w:sz w:val="24"/>
                <w:szCs w:val="24"/>
              </w:rPr>
              <w:t>„</w:t>
            </w:r>
            <w:proofErr w:type="spellStart"/>
            <w:r w:rsidRPr="00327DAE">
              <w:rPr>
                <w:sz w:val="24"/>
                <w:szCs w:val="24"/>
              </w:rPr>
              <w:t>Winergy</w:t>
            </w:r>
            <w:proofErr w:type="spellEnd"/>
            <w:r w:rsidR="00A31D71">
              <w:rPr>
                <w:sz w:val="24"/>
                <w:szCs w:val="24"/>
              </w:rPr>
              <w:t>”</w:t>
            </w:r>
            <w:r w:rsidRPr="00327DAE">
              <w:rPr>
                <w:sz w:val="24"/>
                <w:szCs w:val="24"/>
              </w:rPr>
              <w:t xml:space="preserve"> lietu saistītas personas mērķtiecīgi veica darbības, lai lieta nonāktu pie tiesneses </w:t>
            </w:r>
            <w:r w:rsidR="00FD0FC9">
              <w:rPr>
                <w:sz w:val="24"/>
                <w:szCs w:val="24"/>
              </w:rPr>
              <w:t>J. </w:t>
            </w:r>
            <w:proofErr w:type="spellStart"/>
            <w:r w:rsidRPr="00327DAE">
              <w:rPr>
                <w:sz w:val="24"/>
                <w:szCs w:val="24"/>
              </w:rPr>
              <w:t>Zaškinas</w:t>
            </w:r>
            <w:proofErr w:type="spellEnd"/>
            <w:r w:rsidRPr="00327DAE">
              <w:rPr>
                <w:sz w:val="24"/>
                <w:szCs w:val="24"/>
              </w:rPr>
              <w:t xml:space="preserve">, lai savukārt tiesnese </w:t>
            </w:r>
            <w:r w:rsidR="00FD0FC9">
              <w:rPr>
                <w:sz w:val="24"/>
                <w:szCs w:val="24"/>
              </w:rPr>
              <w:t>J. </w:t>
            </w:r>
            <w:proofErr w:type="spellStart"/>
            <w:r w:rsidRPr="00327DAE">
              <w:rPr>
                <w:sz w:val="24"/>
                <w:szCs w:val="24"/>
              </w:rPr>
              <w:t>Zaškina</w:t>
            </w:r>
            <w:proofErr w:type="spellEnd"/>
            <w:r w:rsidRPr="00327DAE">
              <w:rPr>
                <w:sz w:val="24"/>
                <w:szCs w:val="24"/>
              </w:rPr>
              <w:t xml:space="preserve"> strīdīgās un neviennozīmīg</w:t>
            </w:r>
            <w:r w:rsidR="00A31D71">
              <w:rPr>
                <w:sz w:val="24"/>
                <w:szCs w:val="24"/>
              </w:rPr>
              <w:t>ā</w:t>
            </w:r>
            <w:r w:rsidRPr="00327DAE">
              <w:rPr>
                <w:sz w:val="24"/>
                <w:szCs w:val="24"/>
              </w:rPr>
              <w:t>s situācijās lemtu par labu šīm personām. Šāds iespaids rodas</w:t>
            </w:r>
            <w:r w:rsidR="00A31D71">
              <w:rPr>
                <w:sz w:val="24"/>
                <w:szCs w:val="24"/>
              </w:rPr>
              <w:t>,</w:t>
            </w:r>
            <w:r w:rsidRPr="00327DAE">
              <w:rPr>
                <w:sz w:val="24"/>
                <w:szCs w:val="24"/>
              </w:rPr>
              <w:t xml:space="preserve"> vērojot no malas visus apstākļus. Ja tiesnese </w:t>
            </w:r>
            <w:r w:rsidR="00FD0FC9">
              <w:rPr>
                <w:sz w:val="24"/>
                <w:szCs w:val="24"/>
              </w:rPr>
              <w:t>J. </w:t>
            </w:r>
            <w:proofErr w:type="spellStart"/>
            <w:r w:rsidRPr="00327DAE">
              <w:rPr>
                <w:sz w:val="24"/>
                <w:szCs w:val="24"/>
              </w:rPr>
              <w:t>Zaškina</w:t>
            </w:r>
            <w:proofErr w:type="spellEnd"/>
            <w:r w:rsidRPr="00327DAE">
              <w:rPr>
                <w:sz w:val="24"/>
                <w:szCs w:val="24"/>
              </w:rPr>
              <w:t xml:space="preserve"> šajā lietā būtu bijusi objektīva, neieinteresēta un tendēta uz taisnīga rezultāta sasniegšanu, no visiem lietas apstākļiem tiesnesei nevarēja palikt nepamanīts, ka </w:t>
            </w:r>
            <w:r w:rsidR="00A31D71">
              <w:rPr>
                <w:sz w:val="24"/>
                <w:szCs w:val="24"/>
              </w:rPr>
              <w:t>“</w:t>
            </w:r>
            <w:proofErr w:type="spellStart"/>
            <w:r w:rsidRPr="00327DAE">
              <w:rPr>
                <w:sz w:val="24"/>
                <w:szCs w:val="24"/>
              </w:rPr>
              <w:t>Winergy</w:t>
            </w:r>
            <w:proofErr w:type="spellEnd"/>
            <w:r w:rsidR="00A31D71">
              <w:rPr>
                <w:sz w:val="24"/>
                <w:szCs w:val="24"/>
              </w:rPr>
              <w:t>”</w:t>
            </w:r>
            <w:r w:rsidRPr="00327DAE">
              <w:rPr>
                <w:sz w:val="24"/>
                <w:szCs w:val="24"/>
              </w:rPr>
              <w:t xml:space="preserve"> lietā </w:t>
            </w:r>
            <w:r w:rsidR="00DA58E7" w:rsidRPr="00327DAE">
              <w:rPr>
                <w:sz w:val="24"/>
                <w:szCs w:val="24"/>
              </w:rPr>
              <w:t>notiek</w:t>
            </w:r>
            <w:r w:rsidRPr="00327DAE">
              <w:rPr>
                <w:sz w:val="24"/>
                <w:szCs w:val="24"/>
              </w:rPr>
              <w:t xml:space="preserve"> manipulācijas, lai pretdarbotos atsevišķu </w:t>
            </w:r>
            <w:r w:rsidR="00DA58E7" w:rsidRPr="00327DAE">
              <w:rPr>
                <w:sz w:val="24"/>
                <w:szCs w:val="24"/>
              </w:rPr>
              <w:t>kreditoru</w:t>
            </w:r>
            <w:r w:rsidR="00536A07" w:rsidRPr="00327DAE">
              <w:rPr>
                <w:sz w:val="24"/>
                <w:szCs w:val="24"/>
              </w:rPr>
              <w:t xml:space="preserve"> likumīgajām interesēm.</w:t>
            </w:r>
          </w:p>
        </w:tc>
      </w:tr>
      <w:tr w:rsidR="00DA58E7" w:rsidRPr="00327DAE" w14:paraId="1412364F" w14:textId="77777777" w:rsidTr="00E732C1">
        <w:trPr>
          <w:trHeight w:val="416"/>
        </w:trPr>
        <w:tc>
          <w:tcPr>
            <w:tcW w:w="562" w:type="dxa"/>
            <w:vMerge w:val="restart"/>
          </w:tcPr>
          <w:p w14:paraId="783A7E80" w14:textId="45CDF3B6" w:rsidR="00DA58E7" w:rsidRPr="00327DAE" w:rsidRDefault="00DA58E7" w:rsidP="0025317F">
            <w:pPr>
              <w:spacing w:after="120"/>
              <w:rPr>
                <w:b/>
                <w:sz w:val="24"/>
                <w:szCs w:val="24"/>
              </w:rPr>
            </w:pPr>
            <w:r w:rsidRPr="00327DAE">
              <w:rPr>
                <w:b/>
                <w:sz w:val="24"/>
                <w:szCs w:val="24"/>
              </w:rPr>
              <w:lastRenderedPageBreak/>
              <w:t>39.</w:t>
            </w:r>
          </w:p>
          <w:p w14:paraId="2708E80B" w14:textId="1BF655B1" w:rsidR="00DA58E7" w:rsidRPr="00327DAE" w:rsidRDefault="00DA58E7" w:rsidP="0025317F">
            <w:pPr>
              <w:spacing w:after="120"/>
              <w:rPr>
                <w:b/>
                <w:sz w:val="24"/>
                <w:szCs w:val="24"/>
              </w:rPr>
            </w:pPr>
            <w:r w:rsidRPr="00327DAE">
              <w:rPr>
                <w:b/>
                <w:sz w:val="24"/>
                <w:szCs w:val="24"/>
              </w:rPr>
              <w:t>40.</w:t>
            </w:r>
          </w:p>
        </w:tc>
        <w:tc>
          <w:tcPr>
            <w:tcW w:w="1560" w:type="dxa"/>
            <w:shd w:val="clear" w:color="auto" w:fill="auto"/>
            <w:noWrap/>
            <w:vAlign w:val="bottom"/>
            <w:hideMark/>
          </w:tcPr>
          <w:p w14:paraId="1BBAAE10" w14:textId="77777777" w:rsidR="00DA58E7" w:rsidRPr="00327DAE" w:rsidRDefault="00DA58E7" w:rsidP="0025317F">
            <w:pPr>
              <w:spacing w:after="120"/>
              <w:rPr>
                <w:b/>
                <w:sz w:val="24"/>
                <w:szCs w:val="24"/>
              </w:rPr>
            </w:pPr>
            <w:r w:rsidRPr="00327DAE">
              <w:rPr>
                <w:b/>
                <w:sz w:val="24"/>
                <w:szCs w:val="24"/>
              </w:rPr>
              <w:t>C29547016</w:t>
            </w:r>
            <w:r w:rsidRPr="00327DAE">
              <w:rPr>
                <w:rStyle w:val="FootnoteReference"/>
                <w:b/>
                <w:sz w:val="24"/>
                <w:szCs w:val="24"/>
              </w:rPr>
              <w:footnoteReference w:id="39"/>
            </w:r>
          </w:p>
          <w:p w14:paraId="63B45AE6" w14:textId="3887713D" w:rsidR="00DA58E7" w:rsidRPr="00327DAE" w:rsidRDefault="00DA58E7" w:rsidP="0025317F">
            <w:pPr>
              <w:spacing w:after="120"/>
              <w:rPr>
                <w:b/>
                <w:sz w:val="24"/>
                <w:szCs w:val="24"/>
              </w:rPr>
            </w:pPr>
            <w:r w:rsidRPr="00327DAE">
              <w:rPr>
                <w:b/>
                <w:sz w:val="24"/>
                <w:szCs w:val="24"/>
              </w:rPr>
              <w:t>SPC-18/2015</w:t>
            </w:r>
          </w:p>
          <w:p w14:paraId="19102783" w14:textId="117E618D" w:rsidR="00DA58E7" w:rsidRPr="00327DAE" w:rsidRDefault="00DA58E7" w:rsidP="0025317F">
            <w:pPr>
              <w:spacing w:after="120"/>
              <w:rPr>
                <w:b/>
                <w:sz w:val="24"/>
                <w:szCs w:val="24"/>
              </w:rPr>
            </w:pPr>
            <w:r w:rsidRPr="00327DAE">
              <w:rPr>
                <w:b/>
                <w:sz w:val="24"/>
                <w:szCs w:val="24"/>
              </w:rPr>
              <w:t>SPC-14/2017</w:t>
            </w:r>
          </w:p>
        </w:tc>
        <w:tc>
          <w:tcPr>
            <w:tcW w:w="2409" w:type="dxa"/>
            <w:shd w:val="clear" w:color="auto" w:fill="auto"/>
            <w:vAlign w:val="bottom"/>
            <w:hideMark/>
          </w:tcPr>
          <w:p w14:paraId="1BC88D08" w14:textId="5F17DB80" w:rsidR="00DA58E7" w:rsidRPr="00327DAE" w:rsidRDefault="00DA58E7" w:rsidP="0025317F">
            <w:pPr>
              <w:spacing w:after="120"/>
              <w:rPr>
                <w:b/>
                <w:sz w:val="24"/>
                <w:szCs w:val="24"/>
              </w:rPr>
            </w:pPr>
            <w:r w:rsidRPr="00327DAE">
              <w:rPr>
                <w:b/>
                <w:sz w:val="24"/>
                <w:szCs w:val="24"/>
              </w:rPr>
              <w:t xml:space="preserve">Tiesneses </w:t>
            </w:r>
            <w:r w:rsidR="00922310">
              <w:rPr>
                <w:b/>
                <w:sz w:val="24"/>
                <w:szCs w:val="24"/>
              </w:rPr>
              <w:t>J. </w:t>
            </w:r>
            <w:proofErr w:type="spellStart"/>
            <w:r w:rsidRPr="00327DAE">
              <w:rPr>
                <w:b/>
                <w:sz w:val="24"/>
                <w:szCs w:val="24"/>
              </w:rPr>
              <w:t>Zaškinas</w:t>
            </w:r>
            <w:proofErr w:type="spellEnd"/>
            <w:r w:rsidRPr="00327DAE">
              <w:rPr>
                <w:b/>
                <w:sz w:val="24"/>
                <w:szCs w:val="24"/>
              </w:rPr>
              <w:t xml:space="preserve"> 08.01.2015. lēmums; tiesneses Sanitas </w:t>
            </w:r>
            <w:proofErr w:type="spellStart"/>
            <w:r w:rsidRPr="00327DAE">
              <w:rPr>
                <w:b/>
                <w:sz w:val="24"/>
                <w:szCs w:val="24"/>
              </w:rPr>
              <w:t>Rūtenbergas</w:t>
            </w:r>
            <w:proofErr w:type="spellEnd"/>
            <w:r w:rsidRPr="00327DAE">
              <w:rPr>
                <w:b/>
                <w:sz w:val="24"/>
                <w:szCs w:val="24"/>
              </w:rPr>
              <w:t xml:space="preserve"> 20.07.2016. lēmums</w:t>
            </w:r>
          </w:p>
        </w:tc>
        <w:tc>
          <w:tcPr>
            <w:tcW w:w="3799" w:type="dxa"/>
            <w:shd w:val="clear" w:color="auto" w:fill="auto"/>
            <w:vAlign w:val="bottom"/>
            <w:hideMark/>
          </w:tcPr>
          <w:p w14:paraId="77D72779" w14:textId="77777777" w:rsidR="00DA58E7" w:rsidRPr="00327DAE" w:rsidRDefault="00DA58E7" w:rsidP="0025317F">
            <w:pPr>
              <w:pStyle w:val="Heading3"/>
            </w:pPr>
            <w:bookmarkStart w:id="55" w:name="_Toc522527528"/>
            <w:r w:rsidRPr="00327DAE">
              <w:t>SIA „Peltes īpašumi”</w:t>
            </w:r>
            <w:bookmarkEnd w:id="55"/>
          </w:p>
        </w:tc>
      </w:tr>
      <w:tr w:rsidR="00246E58" w:rsidRPr="00327DAE" w14:paraId="1C50C8BB" w14:textId="77777777" w:rsidTr="00E732C1">
        <w:trPr>
          <w:trHeight w:val="416"/>
        </w:trPr>
        <w:tc>
          <w:tcPr>
            <w:tcW w:w="562" w:type="dxa"/>
            <w:vMerge/>
          </w:tcPr>
          <w:p w14:paraId="597BBD2B" w14:textId="77777777" w:rsidR="00246E58" w:rsidRPr="00327DAE" w:rsidRDefault="00246E58" w:rsidP="0025317F">
            <w:pPr>
              <w:spacing w:after="120"/>
              <w:rPr>
                <w:b/>
                <w:sz w:val="24"/>
                <w:szCs w:val="24"/>
              </w:rPr>
            </w:pPr>
          </w:p>
        </w:tc>
        <w:tc>
          <w:tcPr>
            <w:tcW w:w="1560" w:type="dxa"/>
            <w:shd w:val="clear" w:color="auto" w:fill="E7E6E6" w:themeFill="background2"/>
            <w:noWrap/>
            <w:vAlign w:val="center"/>
          </w:tcPr>
          <w:p w14:paraId="7B1508B0" w14:textId="067C4ECA" w:rsidR="00246E58" w:rsidRPr="009D11F9" w:rsidRDefault="00246E58" w:rsidP="0025317F">
            <w:pPr>
              <w:spacing w:after="120"/>
              <w:rPr>
                <w:b/>
                <w:i/>
              </w:rPr>
            </w:pPr>
            <w:r w:rsidRPr="009D11F9">
              <w:rPr>
                <w:b/>
                <w:i/>
              </w:rPr>
              <w:t>Sadales datums</w:t>
            </w:r>
          </w:p>
        </w:tc>
        <w:tc>
          <w:tcPr>
            <w:tcW w:w="2409" w:type="dxa"/>
            <w:shd w:val="clear" w:color="auto" w:fill="E7E6E6" w:themeFill="background2"/>
            <w:vAlign w:val="center"/>
          </w:tcPr>
          <w:p w14:paraId="70FB419E" w14:textId="69E73D53" w:rsidR="00246E58" w:rsidRPr="009D11F9" w:rsidRDefault="00246E58" w:rsidP="0025317F">
            <w:pPr>
              <w:spacing w:after="120"/>
              <w:rPr>
                <w:b/>
                <w:i/>
              </w:rPr>
            </w:pPr>
            <w:r w:rsidRPr="009D11F9">
              <w:rPr>
                <w:b/>
                <w:i/>
              </w:rPr>
              <w:t>Tiesnesis pēc sadales</w:t>
            </w:r>
          </w:p>
        </w:tc>
        <w:tc>
          <w:tcPr>
            <w:tcW w:w="3799" w:type="dxa"/>
            <w:shd w:val="clear" w:color="auto" w:fill="E7E6E6" w:themeFill="background2"/>
            <w:vAlign w:val="bottom"/>
          </w:tcPr>
          <w:p w14:paraId="72114A00" w14:textId="67287DDB" w:rsidR="00246E58" w:rsidRPr="009D11F9" w:rsidRDefault="00246E58" w:rsidP="0025317F">
            <w:pPr>
              <w:spacing w:after="120"/>
              <w:rPr>
                <w:b/>
                <w:i/>
              </w:rPr>
            </w:pPr>
            <w:r w:rsidRPr="009D11F9">
              <w:rPr>
                <w:b/>
                <w:i/>
              </w:rPr>
              <w:t>Lietu sadales veids/iemesls</w:t>
            </w:r>
          </w:p>
        </w:tc>
      </w:tr>
      <w:tr w:rsidR="00246E58" w:rsidRPr="00327DAE" w14:paraId="2CE0E939" w14:textId="77777777" w:rsidTr="00E732C1">
        <w:trPr>
          <w:trHeight w:val="416"/>
        </w:trPr>
        <w:tc>
          <w:tcPr>
            <w:tcW w:w="562" w:type="dxa"/>
            <w:vMerge/>
          </w:tcPr>
          <w:p w14:paraId="3C33333A" w14:textId="77777777" w:rsidR="00246E58" w:rsidRPr="00327DAE" w:rsidRDefault="00246E58" w:rsidP="0025317F">
            <w:pPr>
              <w:spacing w:after="120"/>
              <w:rPr>
                <w:b/>
                <w:sz w:val="24"/>
                <w:szCs w:val="24"/>
              </w:rPr>
            </w:pPr>
          </w:p>
        </w:tc>
        <w:tc>
          <w:tcPr>
            <w:tcW w:w="1560" w:type="dxa"/>
            <w:shd w:val="clear" w:color="auto" w:fill="E7E6E6" w:themeFill="background2"/>
            <w:noWrap/>
            <w:vAlign w:val="bottom"/>
          </w:tcPr>
          <w:p w14:paraId="13411D6A" w14:textId="4A082E75" w:rsidR="00246E58" w:rsidRPr="009D11F9" w:rsidRDefault="00246E58" w:rsidP="0025317F">
            <w:pPr>
              <w:spacing w:after="120"/>
              <w:rPr>
                <w:i/>
              </w:rPr>
            </w:pPr>
            <w:r w:rsidRPr="009D11F9">
              <w:rPr>
                <w:i/>
              </w:rPr>
              <w:t>29.03.2011</w:t>
            </w:r>
          </w:p>
        </w:tc>
        <w:tc>
          <w:tcPr>
            <w:tcW w:w="2409" w:type="dxa"/>
            <w:shd w:val="clear" w:color="auto" w:fill="E7E6E6" w:themeFill="background2"/>
            <w:vAlign w:val="bottom"/>
          </w:tcPr>
          <w:p w14:paraId="44122581" w14:textId="36EB0802" w:rsidR="00246E58" w:rsidRPr="009D11F9" w:rsidRDefault="00246E58" w:rsidP="0025317F">
            <w:pPr>
              <w:spacing w:after="120"/>
              <w:rPr>
                <w:i/>
              </w:rPr>
            </w:pPr>
            <w:r w:rsidRPr="009D11F9">
              <w:rPr>
                <w:i/>
              </w:rPr>
              <w:t xml:space="preserve">Jolanta </w:t>
            </w:r>
            <w:proofErr w:type="spellStart"/>
            <w:r w:rsidRPr="009D11F9">
              <w:rPr>
                <w:i/>
              </w:rPr>
              <w:t>Zaškina</w:t>
            </w:r>
            <w:proofErr w:type="spellEnd"/>
          </w:p>
        </w:tc>
        <w:tc>
          <w:tcPr>
            <w:tcW w:w="3799" w:type="dxa"/>
            <w:shd w:val="clear" w:color="auto" w:fill="E7E6E6" w:themeFill="background2"/>
            <w:vAlign w:val="bottom"/>
          </w:tcPr>
          <w:p w14:paraId="07358FF9" w14:textId="719F15D5" w:rsidR="00246E58" w:rsidRPr="009D11F9" w:rsidRDefault="00246E58" w:rsidP="0025317F">
            <w:pPr>
              <w:spacing w:after="120"/>
              <w:rPr>
                <w:i/>
              </w:rPr>
            </w:pPr>
            <w:r w:rsidRPr="009D11F9">
              <w:rPr>
                <w:i/>
              </w:rPr>
              <w:t>Datorizēta lietu sadale</w:t>
            </w:r>
          </w:p>
        </w:tc>
      </w:tr>
      <w:tr w:rsidR="00246E58" w:rsidRPr="00327DAE" w14:paraId="755CDA50" w14:textId="77777777" w:rsidTr="00E732C1">
        <w:trPr>
          <w:trHeight w:val="416"/>
        </w:trPr>
        <w:tc>
          <w:tcPr>
            <w:tcW w:w="562" w:type="dxa"/>
            <w:vMerge/>
          </w:tcPr>
          <w:p w14:paraId="4F1ECC08" w14:textId="77777777" w:rsidR="00246E58" w:rsidRPr="00327DAE" w:rsidRDefault="00246E58" w:rsidP="0025317F">
            <w:pPr>
              <w:spacing w:after="120"/>
              <w:rPr>
                <w:b/>
                <w:sz w:val="24"/>
                <w:szCs w:val="24"/>
              </w:rPr>
            </w:pPr>
          </w:p>
        </w:tc>
        <w:tc>
          <w:tcPr>
            <w:tcW w:w="1560" w:type="dxa"/>
            <w:shd w:val="clear" w:color="auto" w:fill="E7E6E6" w:themeFill="background2"/>
            <w:noWrap/>
            <w:vAlign w:val="bottom"/>
          </w:tcPr>
          <w:p w14:paraId="6B862106" w14:textId="7F1575CD" w:rsidR="00246E58" w:rsidRPr="009D11F9" w:rsidRDefault="00246E58" w:rsidP="0025317F">
            <w:pPr>
              <w:spacing w:after="120"/>
              <w:rPr>
                <w:i/>
              </w:rPr>
            </w:pPr>
            <w:r w:rsidRPr="009D11F9">
              <w:rPr>
                <w:i/>
              </w:rPr>
              <w:t>05.01.2016</w:t>
            </w:r>
          </w:p>
        </w:tc>
        <w:tc>
          <w:tcPr>
            <w:tcW w:w="2409" w:type="dxa"/>
            <w:shd w:val="clear" w:color="auto" w:fill="E7E6E6" w:themeFill="background2"/>
            <w:vAlign w:val="bottom"/>
          </w:tcPr>
          <w:p w14:paraId="13ADE662" w14:textId="75552930" w:rsidR="00246E58" w:rsidRPr="009D11F9" w:rsidRDefault="00246E58" w:rsidP="0025317F">
            <w:pPr>
              <w:spacing w:after="120"/>
              <w:rPr>
                <w:i/>
              </w:rPr>
            </w:pPr>
            <w:r w:rsidRPr="009D11F9">
              <w:rPr>
                <w:i/>
              </w:rPr>
              <w:t xml:space="preserve">Sanita </w:t>
            </w:r>
            <w:proofErr w:type="spellStart"/>
            <w:r w:rsidRPr="009D11F9">
              <w:rPr>
                <w:i/>
              </w:rPr>
              <w:t>Rūtenberga</w:t>
            </w:r>
            <w:proofErr w:type="spellEnd"/>
          </w:p>
        </w:tc>
        <w:tc>
          <w:tcPr>
            <w:tcW w:w="3799" w:type="dxa"/>
            <w:shd w:val="clear" w:color="auto" w:fill="E7E6E6" w:themeFill="background2"/>
            <w:vAlign w:val="center"/>
          </w:tcPr>
          <w:p w14:paraId="116BF32E" w14:textId="1F36D0CA" w:rsidR="00246E58" w:rsidRPr="009D11F9" w:rsidRDefault="00246E58" w:rsidP="0025317F">
            <w:pPr>
              <w:spacing w:after="120"/>
              <w:rPr>
                <w:i/>
              </w:rPr>
            </w:pPr>
            <w:r w:rsidRPr="009D11F9">
              <w:rPr>
                <w:i/>
              </w:rPr>
              <w:t>Manuāla lietu sadale - sakarā ar atcelto lēmumu AT un to, ka TAP iedalīts 5. sastāvam</w:t>
            </w:r>
          </w:p>
        </w:tc>
      </w:tr>
      <w:tr w:rsidR="00246E58" w:rsidRPr="00327DAE" w14:paraId="524AA46A" w14:textId="77777777" w:rsidTr="00E732C1">
        <w:trPr>
          <w:trHeight w:val="416"/>
        </w:trPr>
        <w:tc>
          <w:tcPr>
            <w:tcW w:w="562" w:type="dxa"/>
            <w:vMerge/>
          </w:tcPr>
          <w:p w14:paraId="47F73FBB" w14:textId="77777777" w:rsidR="00246E58" w:rsidRPr="00327DAE" w:rsidRDefault="00246E58" w:rsidP="0025317F">
            <w:pPr>
              <w:spacing w:after="120"/>
              <w:rPr>
                <w:b/>
                <w:sz w:val="24"/>
                <w:szCs w:val="24"/>
              </w:rPr>
            </w:pPr>
          </w:p>
        </w:tc>
        <w:tc>
          <w:tcPr>
            <w:tcW w:w="1560" w:type="dxa"/>
            <w:shd w:val="clear" w:color="auto" w:fill="E7E6E6" w:themeFill="background2"/>
            <w:noWrap/>
            <w:vAlign w:val="bottom"/>
          </w:tcPr>
          <w:p w14:paraId="7354C6D1" w14:textId="05E66EB6" w:rsidR="00246E58" w:rsidRPr="009D11F9" w:rsidRDefault="00246E58" w:rsidP="0025317F">
            <w:pPr>
              <w:spacing w:after="120"/>
              <w:rPr>
                <w:i/>
              </w:rPr>
            </w:pPr>
            <w:r w:rsidRPr="009D11F9">
              <w:rPr>
                <w:i/>
              </w:rPr>
              <w:t>08.01.2015</w:t>
            </w:r>
          </w:p>
        </w:tc>
        <w:tc>
          <w:tcPr>
            <w:tcW w:w="2409" w:type="dxa"/>
            <w:shd w:val="clear" w:color="auto" w:fill="E7E6E6" w:themeFill="background2"/>
            <w:vAlign w:val="bottom"/>
          </w:tcPr>
          <w:p w14:paraId="165C309F" w14:textId="7431E121" w:rsidR="00246E58" w:rsidRPr="009D11F9" w:rsidRDefault="00246E58" w:rsidP="0025317F">
            <w:pPr>
              <w:spacing w:after="120"/>
              <w:rPr>
                <w:i/>
              </w:rPr>
            </w:pPr>
            <w:r w:rsidRPr="009D11F9">
              <w:rPr>
                <w:i/>
              </w:rPr>
              <w:t xml:space="preserve">Jolanta </w:t>
            </w:r>
            <w:proofErr w:type="spellStart"/>
            <w:r w:rsidRPr="009D11F9">
              <w:rPr>
                <w:i/>
              </w:rPr>
              <w:t>Zaškina</w:t>
            </w:r>
            <w:proofErr w:type="spellEnd"/>
          </w:p>
        </w:tc>
        <w:tc>
          <w:tcPr>
            <w:tcW w:w="3799" w:type="dxa"/>
            <w:shd w:val="clear" w:color="auto" w:fill="E7E6E6" w:themeFill="background2"/>
            <w:vAlign w:val="bottom"/>
          </w:tcPr>
          <w:p w14:paraId="69C1FE6E" w14:textId="0151BB90" w:rsidR="00246E58" w:rsidRPr="009D11F9" w:rsidRDefault="00246E58" w:rsidP="0025317F">
            <w:pPr>
              <w:spacing w:after="120"/>
              <w:rPr>
                <w:i/>
              </w:rPr>
            </w:pPr>
            <w:r w:rsidRPr="009D11F9">
              <w:rPr>
                <w:i/>
              </w:rPr>
              <w:t>Manuāla lietu sadale – tiesneša nozīmēšana</w:t>
            </w:r>
          </w:p>
        </w:tc>
      </w:tr>
      <w:tr w:rsidR="00246E58" w:rsidRPr="00327DAE" w14:paraId="6338F28B" w14:textId="77777777" w:rsidTr="00E732C1">
        <w:trPr>
          <w:trHeight w:val="416"/>
        </w:trPr>
        <w:tc>
          <w:tcPr>
            <w:tcW w:w="562" w:type="dxa"/>
            <w:vMerge/>
          </w:tcPr>
          <w:p w14:paraId="16993874" w14:textId="77777777" w:rsidR="00246E58" w:rsidRPr="00327DAE" w:rsidRDefault="00246E58" w:rsidP="0025317F">
            <w:pPr>
              <w:spacing w:after="120"/>
              <w:rPr>
                <w:b/>
                <w:sz w:val="24"/>
                <w:szCs w:val="24"/>
              </w:rPr>
            </w:pPr>
          </w:p>
        </w:tc>
        <w:tc>
          <w:tcPr>
            <w:tcW w:w="1560" w:type="dxa"/>
            <w:shd w:val="clear" w:color="auto" w:fill="E7E6E6" w:themeFill="background2"/>
            <w:noWrap/>
            <w:vAlign w:val="bottom"/>
          </w:tcPr>
          <w:p w14:paraId="0F177497" w14:textId="063F0E66" w:rsidR="00246E58" w:rsidRPr="009D11F9" w:rsidRDefault="00246E58" w:rsidP="0025317F">
            <w:pPr>
              <w:spacing w:after="120"/>
              <w:rPr>
                <w:i/>
              </w:rPr>
            </w:pPr>
            <w:r w:rsidRPr="009D11F9">
              <w:rPr>
                <w:i/>
              </w:rPr>
              <w:t>05.01.2016</w:t>
            </w:r>
          </w:p>
        </w:tc>
        <w:tc>
          <w:tcPr>
            <w:tcW w:w="2409" w:type="dxa"/>
            <w:shd w:val="clear" w:color="auto" w:fill="E7E6E6" w:themeFill="background2"/>
            <w:vAlign w:val="bottom"/>
          </w:tcPr>
          <w:p w14:paraId="11E06C0C" w14:textId="3C18124E" w:rsidR="00246E58" w:rsidRPr="009D11F9" w:rsidRDefault="00246E58" w:rsidP="0025317F">
            <w:pPr>
              <w:spacing w:after="120"/>
              <w:rPr>
                <w:i/>
              </w:rPr>
            </w:pPr>
            <w:r w:rsidRPr="009D11F9">
              <w:rPr>
                <w:i/>
              </w:rPr>
              <w:t xml:space="preserve">Sanita </w:t>
            </w:r>
            <w:proofErr w:type="spellStart"/>
            <w:r w:rsidRPr="009D11F9">
              <w:rPr>
                <w:i/>
              </w:rPr>
              <w:t>Rūtenberga</w:t>
            </w:r>
            <w:proofErr w:type="spellEnd"/>
          </w:p>
        </w:tc>
        <w:tc>
          <w:tcPr>
            <w:tcW w:w="3799" w:type="dxa"/>
            <w:shd w:val="clear" w:color="auto" w:fill="E7E6E6" w:themeFill="background2"/>
            <w:vAlign w:val="bottom"/>
          </w:tcPr>
          <w:p w14:paraId="699DBBC2" w14:textId="56C544D8" w:rsidR="00246E58" w:rsidRPr="009D11F9" w:rsidRDefault="00246E58" w:rsidP="0025317F">
            <w:pPr>
              <w:spacing w:after="120"/>
              <w:rPr>
                <w:i/>
              </w:rPr>
            </w:pPr>
            <w:r w:rsidRPr="009D11F9">
              <w:rPr>
                <w:i/>
              </w:rPr>
              <w:t>Manuāla lietu sadale – sakarā ar lēmuma atcelšanu</w:t>
            </w:r>
          </w:p>
        </w:tc>
      </w:tr>
      <w:tr w:rsidR="00246E58" w:rsidRPr="00327DAE" w14:paraId="681D2A79" w14:textId="77777777" w:rsidTr="00E732C1">
        <w:trPr>
          <w:trHeight w:val="416"/>
        </w:trPr>
        <w:tc>
          <w:tcPr>
            <w:tcW w:w="562" w:type="dxa"/>
            <w:vMerge/>
          </w:tcPr>
          <w:p w14:paraId="4C838A54" w14:textId="77777777" w:rsidR="00246E58" w:rsidRPr="00327DAE" w:rsidRDefault="00246E58" w:rsidP="0025317F">
            <w:pPr>
              <w:spacing w:after="120"/>
              <w:rPr>
                <w:b/>
                <w:sz w:val="24"/>
                <w:szCs w:val="24"/>
              </w:rPr>
            </w:pPr>
          </w:p>
        </w:tc>
        <w:tc>
          <w:tcPr>
            <w:tcW w:w="1560" w:type="dxa"/>
            <w:shd w:val="clear" w:color="auto" w:fill="E7E6E6" w:themeFill="background2"/>
            <w:noWrap/>
            <w:vAlign w:val="bottom"/>
          </w:tcPr>
          <w:p w14:paraId="6D5E84B7" w14:textId="7B0E43FB" w:rsidR="00246E58" w:rsidRPr="009D11F9" w:rsidRDefault="00246E58" w:rsidP="0025317F">
            <w:pPr>
              <w:spacing w:after="120"/>
              <w:rPr>
                <w:i/>
              </w:rPr>
            </w:pPr>
            <w:r w:rsidRPr="009D11F9">
              <w:rPr>
                <w:i/>
              </w:rPr>
              <w:t>20.07.2016</w:t>
            </w:r>
          </w:p>
        </w:tc>
        <w:tc>
          <w:tcPr>
            <w:tcW w:w="2409" w:type="dxa"/>
            <w:shd w:val="clear" w:color="auto" w:fill="E7E6E6" w:themeFill="background2"/>
            <w:vAlign w:val="bottom"/>
          </w:tcPr>
          <w:p w14:paraId="5E165644" w14:textId="6D52E7A6" w:rsidR="00246E58" w:rsidRPr="009D11F9" w:rsidRDefault="00246E58" w:rsidP="0025317F">
            <w:pPr>
              <w:spacing w:after="120"/>
              <w:rPr>
                <w:i/>
              </w:rPr>
            </w:pPr>
            <w:r w:rsidRPr="009D11F9">
              <w:rPr>
                <w:i/>
              </w:rPr>
              <w:t xml:space="preserve">Sanita </w:t>
            </w:r>
            <w:proofErr w:type="spellStart"/>
            <w:r w:rsidRPr="009D11F9">
              <w:rPr>
                <w:i/>
              </w:rPr>
              <w:t>Rūtenberga</w:t>
            </w:r>
            <w:proofErr w:type="spellEnd"/>
          </w:p>
        </w:tc>
        <w:tc>
          <w:tcPr>
            <w:tcW w:w="3799" w:type="dxa"/>
            <w:shd w:val="clear" w:color="auto" w:fill="E7E6E6" w:themeFill="background2"/>
            <w:vAlign w:val="bottom"/>
          </w:tcPr>
          <w:p w14:paraId="19F85D3A" w14:textId="0553CBF7" w:rsidR="00246E58" w:rsidRPr="009D11F9" w:rsidRDefault="00246E58" w:rsidP="0025317F">
            <w:pPr>
              <w:spacing w:after="120"/>
              <w:rPr>
                <w:i/>
              </w:rPr>
            </w:pPr>
            <w:r w:rsidRPr="009D11F9">
              <w:rPr>
                <w:i/>
              </w:rPr>
              <w:t>Manuāla lietu sadale – tiesneša nozīmēšana</w:t>
            </w:r>
          </w:p>
        </w:tc>
      </w:tr>
      <w:tr w:rsidR="00DA58E7" w:rsidRPr="00327DAE" w14:paraId="585A74B7" w14:textId="77777777" w:rsidTr="00E732C1">
        <w:trPr>
          <w:trHeight w:val="416"/>
        </w:trPr>
        <w:tc>
          <w:tcPr>
            <w:tcW w:w="562" w:type="dxa"/>
            <w:vMerge/>
          </w:tcPr>
          <w:p w14:paraId="19BA372A" w14:textId="77777777" w:rsidR="00DA58E7" w:rsidRPr="00327DAE" w:rsidRDefault="00DA58E7" w:rsidP="0025317F">
            <w:pPr>
              <w:spacing w:after="120"/>
              <w:rPr>
                <w:sz w:val="24"/>
                <w:szCs w:val="24"/>
              </w:rPr>
            </w:pPr>
          </w:p>
        </w:tc>
        <w:tc>
          <w:tcPr>
            <w:tcW w:w="7768" w:type="dxa"/>
            <w:gridSpan w:val="3"/>
            <w:shd w:val="clear" w:color="auto" w:fill="auto"/>
            <w:noWrap/>
            <w:vAlign w:val="bottom"/>
          </w:tcPr>
          <w:p w14:paraId="17E2FE28" w14:textId="2F65A35E" w:rsidR="00DA58E7" w:rsidRPr="00327DAE" w:rsidRDefault="00DA58E7" w:rsidP="0025317F">
            <w:pPr>
              <w:spacing w:after="120"/>
              <w:rPr>
                <w:i/>
                <w:sz w:val="24"/>
                <w:szCs w:val="24"/>
              </w:rPr>
            </w:pPr>
            <w:r w:rsidRPr="00327DAE">
              <w:rPr>
                <w:i/>
                <w:sz w:val="24"/>
                <w:szCs w:val="24"/>
              </w:rPr>
              <w:t>Augstākās tiesas norādītais pamats sprieduma atcelšanai (SPC-18/2015)</w:t>
            </w:r>
          </w:p>
          <w:p w14:paraId="7A3D0B56" w14:textId="77777777" w:rsidR="00DA58E7" w:rsidRPr="00327DAE" w:rsidRDefault="00DA58E7" w:rsidP="0025317F">
            <w:pPr>
              <w:autoSpaceDE w:val="0"/>
              <w:autoSpaceDN w:val="0"/>
              <w:spacing w:after="120"/>
              <w:rPr>
                <w:sz w:val="24"/>
                <w:szCs w:val="24"/>
              </w:rPr>
            </w:pPr>
            <w:r w:rsidRPr="00327DAE">
              <w:rPr>
                <w:sz w:val="24"/>
                <w:szCs w:val="24"/>
              </w:rPr>
              <w:t xml:space="preserve">Neievērojot secīgu procesuālo kārtību jautājumu izlemšanai maksātnespējas procesa lietā, kam ir būtiska nozīme, lai nepieļautu nepamatotu pāreju uz TAP, kas administratoram ļautu izvairīties no normatīvajos aktos paredzētajām sekām par pārkāpumiem procesā, tiesa nav nodrošinājusi pilnvērtīgu kontroli pār maksātnespējas procesa likumību. </w:t>
            </w:r>
          </w:p>
          <w:p w14:paraId="53B341F7" w14:textId="48E9296C" w:rsidR="00DA58E7" w:rsidRPr="00327DAE" w:rsidRDefault="00DA58E7" w:rsidP="0025317F">
            <w:pPr>
              <w:autoSpaceDE w:val="0"/>
              <w:autoSpaceDN w:val="0"/>
              <w:spacing w:after="120"/>
              <w:rPr>
                <w:sz w:val="24"/>
                <w:szCs w:val="24"/>
              </w:rPr>
            </w:pPr>
            <w:r w:rsidRPr="00327DAE">
              <w:rPr>
                <w:sz w:val="24"/>
                <w:szCs w:val="24"/>
              </w:rPr>
              <w:t>Konstatējot, ka TAP plāns atbilst likuma prasībām, tiesa vērtējusi tikai formālos kritērijus, nedodot juridisku izvērtējumu tam, vai plāns var sasniegt likumā paredzēto TAP mērķi, ja tajā kā ieņēmumu vienīgais avots norādīta jau maksātnespējas procesā uzsākto tiesvedību turpināšana, neatj</w:t>
            </w:r>
            <w:r w:rsidR="00536A07" w:rsidRPr="00327DAE">
              <w:rPr>
                <w:sz w:val="24"/>
                <w:szCs w:val="24"/>
              </w:rPr>
              <w:t xml:space="preserve">aunojot </w:t>
            </w:r>
            <w:r w:rsidR="00536A07" w:rsidRPr="00327DAE">
              <w:rPr>
                <w:sz w:val="24"/>
                <w:szCs w:val="24"/>
              </w:rPr>
              <w:lastRenderedPageBreak/>
              <w:t xml:space="preserve">uzņēmuma pamatdarbību. </w:t>
            </w:r>
          </w:p>
          <w:p w14:paraId="0941783D" w14:textId="3F1F9048" w:rsidR="00DA58E7" w:rsidRPr="00327DAE" w:rsidRDefault="00DA58E7" w:rsidP="0025317F">
            <w:pPr>
              <w:adjustRightInd/>
              <w:spacing w:after="120"/>
              <w:rPr>
                <w:rFonts w:eastAsiaTheme="minorHAnsi"/>
                <w:i/>
                <w:sz w:val="24"/>
                <w:szCs w:val="24"/>
                <w:lang w:eastAsia="en-US"/>
              </w:rPr>
            </w:pPr>
            <w:r w:rsidRPr="00327DAE">
              <w:rPr>
                <w:i/>
                <w:sz w:val="24"/>
                <w:szCs w:val="24"/>
              </w:rPr>
              <w:t>Augstākās tiesas norādītais pamats sprieduma atcelšanai (SPC-14/2017)</w:t>
            </w:r>
          </w:p>
          <w:p w14:paraId="533CA388" w14:textId="3AE3DC1F" w:rsidR="00DA58E7" w:rsidRPr="00327DAE" w:rsidRDefault="00DA58E7" w:rsidP="0025317F">
            <w:pPr>
              <w:autoSpaceDE w:val="0"/>
              <w:autoSpaceDN w:val="0"/>
              <w:spacing w:after="120"/>
              <w:rPr>
                <w:sz w:val="24"/>
                <w:szCs w:val="24"/>
              </w:rPr>
            </w:pPr>
            <w:r w:rsidRPr="00327DAE">
              <w:rPr>
                <w:sz w:val="24"/>
                <w:szCs w:val="24"/>
              </w:rPr>
              <w:t>Lēmums par maksātnespējas procesa izbeigšanu, TAP pasludināšanu un administrato</w:t>
            </w:r>
            <w:r w:rsidR="00536A07" w:rsidRPr="00327DAE">
              <w:rPr>
                <w:sz w:val="24"/>
                <w:szCs w:val="24"/>
              </w:rPr>
              <w:t>ra iecelšanu atstāts negrozīts.</w:t>
            </w:r>
          </w:p>
        </w:tc>
      </w:tr>
      <w:tr w:rsidR="00DA58E7" w:rsidRPr="00327DAE" w14:paraId="35E3257F" w14:textId="77777777" w:rsidTr="00E732C1">
        <w:trPr>
          <w:trHeight w:val="301"/>
        </w:trPr>
        <w:tc>
          <w:tcPr>
            <w:tcW w:w="562" w:type="dxa"/>
            <w:vMerge/>
          </w:tcPr>
          <w:p w14:paraId="213C884B" w14:textId="77777777" w:rsidR="00DA58E7" w:rsidRPr="00327DAE" w:rsidRDefault="00DA58E7" w:rsidP="0025317F">
            <w:pPr>
              <w:spacing w:after="120"/>
              <w:rPr>
                <w:sz w:val="24"/>
                <w:szCs w:val="24"/>
              </w:rPr>
            </w:pPr>
          </w:p>
        </w:tc>
        <w:tc>
          <w:tcPr>
            <w:tcW w:w="7768" w:type="dxa"/>
            <w:gridSpan w:val="3"/>
            <w:shd w:val="clear" w:color="auto" w:fill="auto"/>
            <w:noWrap/>
            <w:vAlign w:val="bottom"/>
          </w:tcPr>
          <w:p w14:paraId="2A4569BB" w14:textId="77777777" w:rsidR="00DA58E7" w:rsidRPr="00327DAE" w:rsidRDefault="00DA58E7" w:rsidP="0025317F">
            <w:pPr>
              <w:spacing w:after="120"/>
              <w:rPr>
                <w:i/>
                <w:sz w:val="24"/>
                <w:szCs w:val="24"/>
              </w:rPr>
            </w:pPr>
            <w:r w:rsidRPr="00327DAE">
              <w:rPr>
                <w:i/>
                <w:sz w:val="24"/>
                <w:szCs w:val="24"/>
              </w:rPr>
              <w:t>Ekspertu secinājumi</w:t>
            </w:r>
          </w:p>
          <w:p w14:paraId="43F60586" w14:textId="77777777" w:rsidR="00DA58E7" w:rsidRPr="00327DAE" w:rsidRDefault="00DA58E7" w:rsidP="0025317F">
            <w:pPr>
              <w:spacing w:after="120"/>
              <w:rPr>
                <w:sz w:val="24"/>
                <w:szCs w:val="24"/>
              </w:rPr>
            </w:pPr>
            <w:r w:rsidRPr="00327DAE">
              <w:rPr>
                <w:sz w:val="24"/>
                <w:szCs w:val="24"/>
              </w:rPr>
              <w:t xml:space="preserve">Ņemot vērā, ka netika iesniegts protests par maksātnespējas administratora Māra Sprūda atcelšanu, ja tiktu atcelts 2016. gada 20. jūlijā lēmums par TAP pasludināšanu, tiktu atjaunots maksātnespējas process uzņēmumam, kuram nav parādnieku, un par administratoru tiktu atjaunots Māris Sprūds. </w:t>
            </w:r>
          </w:p>
          <w:p w14:paraId="0FFE9D3F" w14:textId="0B91807F" w:rsidR="00DA58E7" w:rsidRPr="00327DAE" w:rsidRDefault="00DA58E7" w:rsidP="0025317F">
            <w:pPr>
              <w:spacing w:after="120"/>
              <w:rPr>
                <w:sz w:val="24"/>
                <w:szCs w:val="24"/>
              </w:rPr>
            </w:pPr>
            <w:r w:rsidRPr="00327DAE">
              <w:rPr>
                <w:sz w:val="24"/>
                <w:szCs w:val="24"/>
              </w:rPr>
              <w:t xml:space="preserve">Saņemot Maksātnespējas administrācijas vēstuli, kurā norādīts uz administratora pārkāpumiem, tiesnesei </w:t>
            </w:r>
            <w:r w:rsidR="00FD0FC9">
              <w:rPr>
                <w:sz w:val="24"/>
                <w:szCs w:val="24"/>
              </w:rPr>
              <w:t>J. </w:t>
            </w:r>
            <w:proofErr w:type="spellStart"/>
            <w:r w:rsidRPr="00327DAE">
              <w:rPr>
                <w:sz w:val="24"/>
                <w:szCs w:val="24"/>
              </w:rPr>
              <w:t>Zaškinai</w:t>
            </w:r>
            <w:proofErr w:type="spellEnd"/>
            <w:r w:rsidRPr="00327DAE">
              <w:rPr>
                <w:sz w:val="24"/>
                <w:szCs w:val="24"/>
              </w:rPr>
              <w:t xml:space="preserve"> bija jālemj par šiem pārkāpumiem. Augstākā tiesa lēmumā SPC-18/2015 norādīja uz šo pārkāpumu. Pēc tam kad Maksātnespējas administrācija bija nosūtījusi atkārtotu vēstuli par šo administratoru, tiesnesei </w:t>
            </w:r>
            <w:r w:rsidR="002150CE">
              <w:rPr>
                <w:sz w:val="24"/>
                <w:szCs w:val="24"/>
              </w:rPr>
              <w:t>S. </w:t>
            </w:r>
            <w:proofErr w:type="spellStart"/>
            <w:r w:rsidRPr="00327DAE">
              <w:rPr>
                <w:sz w:val="24"/>
                <w:szCs w:val="24"/>
              </w:rPr>
              <w:t>Rūtenbergai</w:t>
            </w:r>
            <w:proofErr w:type="spellEnd"/>
            <w:r w:rsidRPr="00327DAE">
              <w:rPr>
                <w:sz w:val="24"/>
                <w:szCs w:val="24"/>
              </w:rPr>
              <w:t xml:space="preserve"> katrā ziņā bija jālemj par šo jautājumu, īpaši, ņemot vērā agrākās Augstākās tiesas norādes. Augstākā tiesa neatcēla tiesneses </w:t>
            </w:r>
            <w:r w:rsidR="002150CE">
              <w:rPr>
                <w:sz w:val="24"/>
                <w:szCs w:val="24"/>
              </w:rPr>
              <w:t>S. </w:t>
            </w:r>
            <w:proofErr w:type="spellStart"/>
            <w:r w:rsidRPr="00327DAE">
              <w:rPr>
                <w:sz w:val="24"/>
                <w:szCs w:val="24"/>
              </w:rPr>
              <w:t>Rūtenbergas</w:t>
            </w:r>
            <w:proofErr w:type="spellEnd"/>
            <w:r w:rsidRPr="00327DAE">
              <w:rPr>
                <w:sz w:val="24"/>
                <w:szCs w:val="24"/>
              </w:rPr>
              <w:t xml:space="preserve"> lēmumu, nevis tāpēc, ka lēmums bija pamatots, bet gan tādēļ, ka konkrētajā situācijā tas nozīmētu atjaunot maksātne</w:t>
            </w:r>
            <w:r w:rsidR="00536A07" w:rsidRPr="00327DAE">
              <w:rPr>
                <w:sz w:val="24"/>
                <w:szCs w:val="24"/>
              </w:rPr>
              <w:t>spēju maksātspējīgam uzņēmumam.</w:t>
            </w:r>
          </w:p>
        </w:tc>
      </w:tr>
      <w:tr w:rsidR="00DA58E7" w:rsidRPr="00327DAE" w14:paraId="6E4D2711" w14:textId="77777777" w:rsidTr="00E732C1">
        <w:trPr>
          <w:trHeight w:val="301"/>
        </w:trPr>
        <w:tc>
          <w:tcPr>
            <w:tcW w:w="562" w:type="dxa"/>
            <w:vMerge/>
          </w:tcPr>
          <w:p w14:paraId="7882C529" w14:textId="77777777" w:rsidR="00DA58E7" w:rsidRPr="00327DAE" w:rsidRDefault="00DA58E7" w:rsidP="0025317F">
            <w:pPr>
              <w:spacing w:after="120"/>
              <w:rPr>
                <w:sz w:val="24"/>
                <w:szCs w:val="24"/>
              </w:rPr>
            </w:pPr>
          </w:p>
        </w:tc>
        <w:tc>
          <w:tcPr>
            <w:tcW w:w="7768" w:type="dxa"/>
            <w:gridSpan w:val="3"/>
            <w:shd w:val="clear" w:color="auto" w:fill="auto"/>
            <w:noWrap/>
            <w:vAlign w:val="bottom"/>
          </w:tcPr>
          <w:p w14:paraId="405755F2" w14:textId="5DDAF3A9" w:rsidR="00DA58E7" w:rsidRPr="00327DAE" w:rsidRDefault="00DA58E7" w:rsidP="0025317F">
            <w:pPr>
              <w:spacing w:after="120"/>
              <w:rPr>
                <w:i/>
                <w:sz w:val="24"/>
                <w:szCs w:val="24"/>
              </w:rPr>
            </w:pPr>
            <w:r w:rsidRPr="00327DAE">
              <w:rPr>
                <w:i/>
                <w:sz w:val="24"/>
                <w:szCs w:val="24"/>
              </w:rPr>
              <w:t>H. Jaujas atsevišķie secinājumi</w:t>
            </w:r>
          </w:p>
          <w:p w14:paraId="7188EC9E" w14:textId="78FA6B99" w:rsidR="00DA58E7" w:rsidRPr="00327DAE" w:rsidRDefault="002150CE" w:rsidP="0025317F">
            <w:pPr>
              <w:spacing w:after="120"/>
              <w:rPr>
                <w:sz w:val="24"/>
                <w:szCs w:val="24"/>
              </w:rPr>
            </w:pPr>
            <w:r>
              <w:rPr>
                <w:sz w:val="24"/>
                <w:szCs w:val="24"/>
              </w:rPr>
              <w:t>SIA „</w:t>
            </w:r>
            <w:r w:rsidR="00DA58E7" w:rsidRPr="00327DAE">
              <w:rPr>
                <w:sz w:val="24"/>
                <w:szCs w:val="24"/>
              </w:rPr>
              <w:t xml:space="preserve">Peltes īpašumi” lietā C293392415 tiesnese </w:t>
            </w:r>
            <w:r w:rsidR="00FD0FC9">
              <w:rPr>
                <w:sz w:val="24"/>
                <w:szCs w:val="24"/>
              </w:rPr>
              <w:t>J. </w:t>
            </w:r>
            <w:proofErr w:type="spellStart"/>
            <w:r w:rsidR="00DA58E7" w:rsidRPr="00327DAE">
              <w:rPr>
                <w:sz w:val="24"/>
                <w:szCs w:val="24"/>
              </w:rPr>
              <w:t>Zaškina</w:t>
            </w:r>
            <w:proofErr w:type="spellEnd"/>
            <w:r w:rsidR="00DA58E7" w:rsidRPr="00327DAE">
              <w:rPr>
                <w:sz w:val="24"/>
                <w:szCs w:val="24"/>
              </w:rPr>
              <w:t xml:space="preserve"> vispirms atcēla Maksātnespējas administrācijas lēmumu, kurā bija konstatēts, ka SIA “Peltes īpašumi” maksātnespējas procesā dažādos statusos (kā parādnieka pārstāvis, kreditoru pārstāvis, īpašumu vērtētājs, parādnieka mantas pircējs) ir iesaistītas ar administratoru Māri Sprūdu saistītas personas un izteiktas pamatotas šaubas par M.</w:t>
            </w:r>
            <w:r w:rsidR="00A31D71">
              <w:rPr>
                <w:sz w:val="24"/>
                <w:szCs w:val="24"/>
              </w:rPr>
              <w:t> </w:t>
            </w:r>
            <w:r w:rsidR="00DA58E7" w:rsidRPr="00327DAE">
              <w:rPr>
                <w:sz w:val="24"/>
                <w:szCs w:val="24"/>
              </w:rPr>
              <w:t xml:space="preserve">Sprūda objektivitāti šajā procesā. Tiesnese </w:t>
            </w:r>
            <w:r w:rsidR="00FD0FC9">
              <w:rPr>
                <w:sz w:val="24"/>
                <w:szCs w:val="24"/>
              </w:rPr>
              <w:t>J. </w:t>
            </w:r>
            <w:proofErr w:type="spellStart"/>
            <w:r w:rsidR="00DA58E7" w:rsidRPr="00327DAE">
              <w:rPr>
                <w:sz w:val="24"/>
                <w:szCs w:val="24"/>
              </w:rPr>
              <w:t>Zaškina</w:t>
            </w:r>
            <w:proofErr w:type="spellEnd"/>
            <w:r w:rsidR="00DA58E7" w:rsidRPr="00327DAE">
              <w:rPr>
                <w:sz w:val="24"/>
                <w:szCs w:val="24"/>
              </w:rPr>
              <w:t xml:space="preserve"> visus apstākļus nosauca par pieteicēja subjektīvu viedokli, neanalizējot tos savstarpējā kopsakarā. Šo lēmumu AT C</w:t>
            </w:r>
            <w:r w:rsidR="001F01BD" w:rsidRPr="00327DAE">
              <w:rPr>
                <w:sz w:val="24"/>
                <w:szCs w:val="24"/>
              </w:rPr>
              <w:t>L</w:t>
            </w:r>
            <w:r w:rsidR="00DA58E7" w:rsidRPr="00327DAE">
              <w:rPr>
                <w:sz w:val="24"/>
                <w:szCs w:val="24"/>
              </w:rPr>
              <w:t>D atcēla ar lēmumu SPC</w:t>
            </w:r>
            <w:r w:rsidR="001F01BD" w:rsidRPr="00327DAE">
              <w:rPr>
                <w:sz w:val="24"/>
                <w:szCs w:val="24"/>
              </w:rPr>
              <w:noBreakHyphen/>
            </w:r>
            <w:r w:rsidR="00DA58E7" w:rsidRPr="00327DAE">
              <w:rPr>
                <w:sz w:val="24"/>
                <w:szCs w:val="24"/>
              </w:rPr>
              <w:t>0003/2016, atzīstot, ka šaj</w:t>
            </w:r>
            <w:r w:rsidR="00A31D71">
              <w:rPr>
                <w:sz w:val="24"/>
                <w:szCs w:val="24"/>
              </w:rPr>
              <w:t>ā</w:t>
            </w:r>
            <w:r w:rsidR="00DA58E7" w:rsidRPr="00327DAE">
              <w:rPr>
                <w:sz w:val="24"/>
                <w:szCs w:val="24"/>
              </w:rPr>
              <w:t xml:space="preserve"> procesā</w:t>
            </w:r>
            <w:r w:rsidR="00A31D71">
              <w:rPr>
                <w:sz w:val="24"/>
                <w:szCs w:val="24"/>
              </w:rPr>
              <w:t>,</w:t>
            </w:r>
            <w:r w:rsidR="00DA58E7" w:rsidRPr="00327DAE">
              <w:rPr>
                <w:sz w:val="24"/>
                <w:szCs w:val="24"/>
              </w:rPr>
              <w:t xml:space="preserve"> iespējams</w:t>
            </w:r>
            <w:r w:rsidR="00A31D71">
              <w:rPr>
                <w:sz w:val="24"/>
                <w:szCs w:val="24"/>
              </w:rPr>
              <w:t>,</w:t>
            </w:r>
            <w:r w:rsidR="00DA58E7" w:rsidRPr="00327DAE">
              <w:rPr>
                <w:sz w:val="24"/>
                <w:szCs w:val="24"/>
              </w:rPr>
              <w:t xml:space="preserve"> ir veiktas saskaņotas man</w:t>
            </w:r>
            <w:r w:rsidR="00A31D71">
              <w:rPr>
                <w:sz w:val="24"/>
                <w:szCs w:val="24"/>
              </w:rPr>
              <w:t>i</w:t>
            </w:r>
            <w:r w:rsidR="00DA58E7" w:rsidRPr="00327DAE">
              <w:rPr>
                <w:sz w:val="24"/>
                <w:szCs w:val="24"/>
              </w:rPr>
              <w:t>pulatīvas darbības, lai virzītu procesa gaitu.</w:t>
            </w:r>
          </w:p>
          <w:p w14:paraId="36E7F5DF" w14:textId="2A47DD6F" w:rsidR="00DA58E7" w:rsidRPr="00327DAE" w:rsidRDefault="00DA58E7" w:rsidP="0025317F">
            <w:pPr>
              <w:spacing w:after="120"/>
              <w:rPr>
                <w:sz w:val="24"/>
                <w:szCs w:val="24"/>
              </w:rPr>
            </w:pPr>
            <w:r w:rsidRPr="00327DAE">
              <w:rPr>
                <w:sz w:val="24"/>
                <w:szCs w:val="24"/>
              </w:rPr>
              <w:t xml:space="preserve">Tāpat tiesnese </w:t>
            </w:r>
            <w:r w:rsidR="00FD0FC9">
              <w:rPr>
                <w:sz w:val="24"/>
                <w:szCs w:val="24"/>
              </w:rPr>
              <w:t>J. </w:t>
            </w:r>
            <w:proofErr w:type="spellStart"/>
            <w:r w:rsidR="002150CE">
              <w:rPr>
                <w:sz w:val="24"/>
                <w:szCs w:val="24"/>
              </w:rPr>
              <w:t>Zaškina</w:t>
            </w:r>
            <w:proofErr w:type="spellEnd"/>
            <w:r w:rsidR="002150CE">
              <w:rPr>
                <w:sz w:val="24"/>
                <w:szCs w:val="24"/>
              </w:rPr>
              <w:t xml:space="preserve"> pieņēma lēmumu par SIA „</w:t>
            </w:r>
            <w:r w:rsidRPr="00327DAE">
              <w:rPr>
                <w:sz w:val="24"/>
                <w:szCs w:val="24"/>
              </w:rPr>
              <w:t xml:space="preserve">Peltes </w:t>
            </w:r>
            <w:r w:rsidR="00A31D71">
              <w:rPr>
                <w:sz w:val="24"/>
                <w:szCs w:val="24"/>
              </w:rPr>
              <w:t>ī</w:t>
            </w:r>
            <w:r w:rsidRPr="00327DAE">
              <w:rPr>
                <w:sz w:val="24"/>
                <w:szCs w:val="24"/>
              </w:rPr>
              <w:t>pašumi” pāreju no maksātnespējas procesa un ĀTAP brīdī, kad Maksātnespējas administrācija bija vērsusies tiesā par M. Sprūda atcelšanu no maksātnespējas procesa. Tādā veidā M.</w:t>
            </w:r>
            <w:r w:rsidR="00A31D71">
              <w:rPr>
                <w:sz w:val="24"/>
                <w:szCs w:val="24"/>
              </w:rPr>
              <w:t> </w:t>
            </w:r>
            <w:r w:rsidRPr="00327DAE">
              <w:rPr>
                <w:sz w:val="24"/>
                <w:szCs w:val="24"/>
              </w:rPr>
              <w:t>Sprūds tika pasargāts no negatīvu juridisko seku iestāšanās.</w:t>
            </w:r>
          </w:p>
          <w:p w14:paraId="4BD2BA98" w14:textId="349E239E" w:rsidR="00DA58E7" w:rsidRPr="00327DAE" w:rsidRDefault="00DA58E7" w:rsidP="0025317F">
            <w:pPr>
              <w:spacing w:after="120"/>
              <w:rPr>
                <w:sz w:val="24"/>
                <w:szCs w:val="24"/>
              </w:rPr>
            </w:pPr>
            <w:r w:rsidRPr="00327DAE">
              <w:rPr>
                <w:sz w:val="24"/>
                <w:szCs w:val="24"/>
              </w:rPr>
              <w:t xml:space="preserve">Abi tiesneses </w:t>
            </w:r>
            <w:r w:rsidR="00FD0FC9">
              <w:rPr>
                <w:sz w:val="24"/>
                <w:szCs w:val="24"/>
              </w:rPr>
              <w:t>J. </w:t>
            </w:r>
            <w:proofErr w:type="spellStart"/>
            <w:r w:rsidRPr="00327DAE">
              <w:rPr>
                <w:sz w:val="24"/>
                <w:szCs w:val="24"/>
              </w:rPr>
              <w:t>Zaškinas</w:t>
            </w:r>
            <w:proofErr w:type="spellEnd"/>
            <w:r w:rsidRPr="00327DAE">
              <w:rPr>
                <w:sz w:val="24"/>
                <w:szCs w:val="24"/>
              </w:rPr>
              <w:t xml:space="preserve"> lēmumi šajā liet</w:t>
            </w:r>
            <w:r w:rsidR="00A31D71">
              <w:rPr>
                <w:sz w:val="24"/>
                <w:szCs w:val="24"/>
              </w:rPr>
              <w:t>ā</w:t>
            </w:r>
            <w:r w:rsidRPr="00327DAE">
              <w:rPr>
                <w:sz w:val="24"/>
                <w:szCs w:val="24"/>
              </w:rPr>
              <w:t xml:space="preserve"> kā minimums </w:t>
            </w:r>
            <w:r w:rsidR="00A31D71" w:rsidRPr="00327DAE">
              <w:rPr>
                <w:sz w:val="24"/>
                <w:szCs w:val="24"/>
              </w:rPr>
              <w:t xml:space="preserve">norāda </w:t>
            </w:r>
            <w:r w:rsidRPr="00327DAE">
              <w:rPr>
                <w:sz w:val="24"/>
                <w:szCs w:val="24"/>
              </w:rPr>
              <w:t>uz tiesneses iecietību pret negodprātīgām darbībām. Taču</w:t>
            </w:r>
            <w:r w:rsidR="00A31D71">
              <w:rPr>
                <w:sz w:val="24"/>
                <w:szCs w:val="24"/>
              </w:rPr>
              <w:t>,</w:t>
            </w:r>
            <w:r w:rsidRPr="00327DAE">
              <w:rPr>
                <w:sz w:val="24"/>
                <w:szCs w:val="24"/>
              </w:rPr>
              <w:t xml:space="preserve"> ņemot vēr</w:t>
            </w:r>
            <w:r w:rsidR="00A31D71">
              <w:rPr>
                <w:sz w:val="24"/>
                <w:szCs w:val="24"/>
              </w:rPr>
              <w:t>ā</w:t>
            </w:r>
            <w:r w:rsidRPr="00327DAE">
              <w:rPr>
                <w:sz w:val="24"/>
                <w:szCs w:val="24"/>
              </w:rPr>
              <w:t xml:space="preserve"> kopsakaru ar </w:t>
            </w:r>
            <w:r w:rsidR="002150CE">
              <w:rPr>
                <w:sz w:val="24"/>
                <w:szCs w:val="24"/>
              </w:rPr>
              <w:t>„</w:t>
            </w:r>
            <w:proofErr w:type="spellStart"/>
            <w:r w:rsidRPr="00327DAE">
              <w:rPr>
                <w:sz w:val="24"/>
                <w:szCs w:val="24"/>
              </w:rPr>
              <w:t>Winergy</w:t>
            </w:r>
            <w:proofErr w:type="spellEnd"/>
            <w:r w:rsidR="00A31D71">
              <w:rPr>
                <w:sz w:val="24"/>
                <w:szCs w:val="24"/>
              </w:rPr>
              <w:t>”</w:t>
            </w:r>
            <w:r w:rsidRPr="00327DAE">
              <w:rPr>
                <w:sz w:val="24"/>
                <w:szCs w:val="24"/>
              </w:rPr>
              <w:t xml:space="preserve"> lietas apstākļiem, saprātīgam vērotājam no malas šie lietas apstākļi rada pamatu domāt, ka tiesnese </w:t>
            </w:r>
            <w:r w:rsidR="00FD0FC9">
              <w:rPr>
                <w:sz w:val="24"/>
                <w:szCs w:val="24"/>
              </w:rPr>
              <w:t>J. </w:t>
            </w:r>
            <w:proofErr w:type="spellStart"/>
            <w:r w:rsidR="002150CE">
              <w:rPr>
                <w:sz w:val="24"/>
                <w:szCs w:val="24"/>
              </w:rPr>
              <w:t>Zaškina</w:t>
            </w:r>
            <w:proofErr w:type="spellEnd"/>
            <w:r w:rsidR="002150CE">
              <w:rPr>
                <w:sz w:val="24"/>
                <w:szCs w:val="24"/>
              </w:rPr>
              <w:t xml:space="preserve"> ir apzināti „</w:t>
            </w:r>
            <w:r w:rsidRPr="00327DAE">
              <w:rPr>
                <w:sz w:val="24"/>
                <w:szCs w:val="24"/>
              </w:rPr>
              <w:t>piesegusi” M.</w:t>
            </w:r>
            <w:r w:rsidR="00A31D71">
              <w:rPr>
                <w:sz w:val="24"/>
                <w:szCs w:val="24"/>
              </w:rPr>
              <w:t> </w:t>
            </w:r>
            <w:r w:rsidRPr="00327DAE">
              <w:rPr>
                <w:sz w:val="24"/>
                <w:szCs w:val="24"/>
              </w:rPr>
              <w:t>Sprūdu, t.i.</w:t>
            </w:r>
            <w:r w:rsidR="00A31D71">
              <w:rPr>
                <w:sz w:val="24"/>
                <w:szCs w:val="24"/>
              </w:rPr>
              <w:t>,</w:t>
            </w:r>
            <w:r w:rsidRPr="00327DAE">
              <w:rPr>
                <w:sz w:val="24"/>
                <w:szCs w:val="24"/>
              </w:rPr>
              <w:t xml:space="preserve"> pieņēmusi M.</w:t>
            </w:r>
            <w:r w:rsidR="00A31D71">
              <w:rPr>
                <w:sz w:val="24"/>
                <w:szCs w:val="24"/>
              </w:rPr>
              <w:t> </w:t>
            </w:r>
            <w:r w:rsidRPr="00327DAE">
              <w:rPr>
                <w:sz w:val="24"/>
                <w:szCs w:val="24"/>
              </w:rPr>
              <w:t>Sprūdam labvēlīgu lēmumu situācijā, kurā saprātīgam un objektīvam tiesnesim bi</w:t>
            </w:r>
            <w:r w:rsidR="002150CE">
              <w:rPr>
                <w:sz w:val="24"/>
                <w:szCs w:val="24"/>
              </w:rPr>
              <w:t>ja jāsaskata manipulācijas SIA „</w:t>
            </w:r>
            <w:r w:rsidRPr="00327DAE">
              <w:rPr>
                <w:sz w:val="24"/>
                <w:szCs w:val="24"/>
              </w:rPr>
              <w:t>Peltes īpašumi” lietā un M.</w:t>
            </w:r>
            <w:r w:rsidR="00A31D71">
              <w:rPr>
                <w:sz w:val="24"/>
                <w:szCs w:val="24"/>
              </w:rPr>
              <w:t> </w:t>
            </w:r>
            <w:r w:rsidRPr="00327DAE">
              <w:rPr>
                <w:sz w:val="24"/>
                <w:szCs w:val="24"/>
              </w:rPr>
              <w:t>Sprūda prettiesiskā rīcība.</w:t>
            </w:r>
          </w:p>
        </w:tc>
      </w:tr>
      <w:tr w:rsidR="00DE37BC" w:rsidRPr="00327DAE" w14:paraId="60346CE1" w14:textId="77777777" w:rsidTr="00E732C1">
        <w:trPr>
          <w:trHeight w:val="301"/>
        </w:trPr>
        <w:tc>
          <w:tcPr>
            <w:tcW w:w="562" w:type="dxa"/>
          </w:tcPr>
          <w:p w14:paraId="66224809" w14:textId="77777777" w:rsidR="00DE37BC" w:rsidRPr="00327DAE" w:rsidRDefault="00DE37BC" w:rsidP="0025317F">
            <w:pPr>
              <w:spacing w:after="120"/>
              <w:rPr>
                <w:sz w:val="24"/>
                <w:szCs w:val="24"/>
              </w:rPr>
            </w:pPr>
          </w:p>
        </w:tc>
        <w:tc>
          <w:tcPr>
            <w:tcW w:w="7768" w:type="dxa"/>
            <w:gridSpan w:val="3"/>
            <w:shd w:val="clear" w:color="auto" w:fill="auto"/>
            <w:noWrap/>
            <w:vAlign w:val="bottom"/>
          </w:tcPr>
          <w:p w14:paraId="62FA4748" w14:textId="360B805B" w:rsidR="00DE37BC" w:rsidRPr="00327DAE" w:rsidRDefault="00DE37BC" w:rsidP="0025317F">
            <w:pPr>
              <w:spacing w:after="120"/>
              <w:rPr>
                <w:i/>
                <w:sz w:val="24"/>
                <w:szCs w:val="24"/>
              </w:rPr>
            </w:pPr>
            <w:r w:rsidRPr="00E27399">
              <w:rPr>
                <w:i/>
                <w:sz w:val="24"/>
                <w:szCs w:val="24"/>
              </w:rPr>
              <w:t xml:space="preserve">Apkopojoši ekspertu secinājumi par tiesneses </w:t>
            </w:r>
            <w:r w:rsidR="00922310">
              <w:rPr>
                <w:i/>
                <w:sz w:val="24"/>
                <w:szCs w:val="24"/>
              </w:rPr>
              <w:t>J. </w:t>
            </w:r>
            <w:proofErr w:type="spellStart"/>
            <w:r w:rsidRPr="00E27399">
              <w:rPr>
                <w:i/>
                <w:sz w:val="24"/>
                <w:szCs w:val="24"/>
              </w:rPr>
              <w:t>Zaškinas</w:t>
            </w:r>
            <w:proofErr w:type="spellEnd"/>
            <w:r w:rsidRPr="00E27399">
              <w:rPr>
                <w:i/>
                <w:sz w:val="24"/>
                <w:szCs w:val="24"/>
              </w:rPr>
              <w:t xml:space="preserve"> nolēmumiem</w:t>
            </w:r>
          </w:p>
          <w:p w14:paraId="4467E120" w14:textId="1308F215" w:rsidR="0073320A" w:rsidRPr="00E27399" w:rsidRDefault="0073320A" w:rsidP="009B7210">
            <w:pPr>
              <w:spacing w:after="120"/>
              <w:rPr>
                <w:sz w:val="24"/>
                <w:szCs w:val="24"/>
              </w:rPr>
            </w:pPr>
            <w:r w:rsidRPr="00E27399">
              <w:rPr>
                <w:sz w:val="24"/>
                <w:szCs w:val="24"/>
              </w:rPr>
              <w:t xml:space="preserve">Tiesnese </w:t>
            </w:r>
            <w:proofErr w:type="spellStart"/>
            <w:r w:rsidRPr="00E27399">
              <w:rPr>
                <w:sz w:val="24"/>
                <w:szCs w:val="24"/>
              </w:rPr>
              <w:t>Zaškina</w:t>
            </w:r>
            <w:proofErr w:type="spellEnd"/>
            <w:r w:rsidRPr="00E27399">
              <w:rPr>
                <w:sz w:val="24"/>
                <w:szCs w:val="24"/>
              </w:rPr>
              <w:t xml:space="preserve"> 2008.</w:t>
            </w:r>
            <w:r w:rsidR="00A31D71">
              <w:rPr>
                <w:sz w:val="24"/>
                <w:szCs w:val="24"/>
              </w:rPr>
              <w:t>–</w:t>
            </w:r>
            <w:r w:rsidRPr="00E27399">
              <w:rPr>
                <w:sz w:val="24"/>
                <w:szCs w:val="24"/>
              </w:rPr>
              <w:t>2014.</w:t>
            </w:r>
            <w:r w:rsidR="00A31D71">
              <w:rPr>
                <w:sz w:val="24"/>
                <w:szCs w:val="24"/>
              </w:rPr>
              <w:t> </w:t>
            </w:r>
            <w:r w:rsidRPr="00E27399">
              <w:rPr>
                <w:sz w:val="24"/>
                <w:szCs w:val="24"/>
              </w:rPr>
              <w:t>gad</w:t>
            </w:r>
            <w:r w:rsidR="00A31D71">
              <w:rPr>
                <w:sz w:val="24"/>
                <w:szCs w:val="24"/>
              </w:rPr>
              <w:t>ā</w:t>
            </w:r>
            <w:r w:rsidRPr="00E27399">
              <w:rPr>
                <w:sz w:val="24"/>
                <w:szCs w:val="24"/>
              </w:rPr>
              <w:t xml:space="preserve"> izskatījusi </w:t>
            </w:r>
            <w:r w:rsidR="009B7210">
              <w:rPr>
                <w:sz w:val="24"/>
                <w:szCs w:val="24"/>
              </w:rPr>
              <w:t>2742</w:t>
            </w:r>
            <w:r w:rsidR="008A7DC2" w:rsidRPr="008A7DC2">
              <w:rPr>
                <w:sz w:val="24"/>
                <w:szCs w:val="24"/>
              </w:rPr>
              <w:t xml:space="preserve"> lietas, no tām </w:t>
            </w:r>
            <w:r w:rsidR="009B7210">
              <w:rPr>
                <w:sz w:val="24"/>
                <w:szCs w:val="24"/>
              </w:rPr>
              <w:t>2156</w:t>
            </w:r>
            <w:r w:rsidR="008A7DC2" w:rsidRPr="008A7DC2">
              <w:rPr>
                <w:sz w:val="24"/>
                <w:szCs w:val="24"/>
              </w:rPr>
              <w:t xml:space="preserve"> civillietas. TIS šajā laika posmā civillietās pievienoti </w:t>
            </w:r>
            <w:r w:rsidR="009B7210">
              <w:rPr>
                <w:sz w:val="24"/>
                <w:szCs w:val="24"/>
              </w:rPr>
              <w:t>16304</w:t>
            </w:r>
            <w:r w:rsidR="008A7DC2" w:rsidRPr="008A7DC2">
              <w:rPr>
                <w:sz w:val="24"/>
                <w:szCs w:val="24"/>
              </w:rPr>
              <w:t xml:space="preserve"> nolēmumi. Kasācijas instancē saņemti protesti par </w:t>
            </w:r>
            <w:r w:rsidR="009B7210">
              <w:rPr>
                <w:sz w:val="24"/>
                <w:szCs w:val="24"/>
              </w:rPr>
              <w:t>20</w:t>
            </w:r>
            <w:r w:rsidR="008A7DC2" w:rsidRPr="008A7DC2">
              <w:rPr>
                <w:sz w:val="24"/>
                <w:szCs w:val="24"/>
              </w:rPr>
              <w:t xml:space="preserve"> nolēmumiem</w:t>
            </w:r>
            <w:r w:rsidR="009B7210">
              <w:rPr>
                <w:sz w:val="24"/>
                <w:szCs w:val="24"/>
              </w:rPr>
              <w:t>, no kuriem nolēmums atcelts vai grozīts 12 lietās</w:t>
            </w:r>
            <w:r w:rsidR="008A7DC2" w:rsidRPr="008A7DC2">
              <w:rPr>
                <w:sz w:val="24"/>
                <w:szCs w:val="24"/>
              </w:rPr>
              <w:t xml:space="preserve">. </w:t>
            </w:r>
            <w:r w:rsidR="00F00590" w:rsidRPr="008A7DC2">
              <w:rPr>
                <w:sz w:val="24"/>
                <w:szCs w:val="24"/>
              </w:rPr>
              <w:t>Konstatējams</w:t>
            </w:r>
            <w:r w:rsidR="00F00590" w:rsidRPr="00E27399">
              <w:rPr>
                <w:sz w:val="24"/>
                <w:szCs w:val="24"/>
              </w:rPr>
              <w:t xml:space="preserve">, ka abās vērtētajās lietās tiesnese ir </w:t>
            </w:r>
            <w:r w:rsidR="00F00590" w:rsidRPr="00E27399">
              <w:rPr>
                <w:sz w:val="24"/>
                <w:szCs w:val="24"/>
              </w:rPr>
              <w:lastRenderedPageBreak/>
              <w:t>pieļāvusi nopietnas kļūdas.</w:t>
            </w:r>
          </w:p>
        </w:tc>
      </w:tr>
      <w:tr w:rsidR="00DA58E7" w:rsidRPr="00327DAE" w14:paraId="102BF42A" w14:textId="77777777" w:rsidTr="00E732C1">
        <w:trPr>
          <w:trHeight w:val="301"/>
        </w:trPr>
        <w:tc>
          <w:tcPr>
            <w:tcW w:w="562" w:type="dxa"/>
          </w:tcPr>
          <w:p w14:paraId="22A8F7B2" w14:textId="77777777" w:rsidR="00DA58E7" w:rsidRPr="00327DAE" w:rsidRDefault="00DA58E7" w:rsidP="0025317F">
            <w:pPr>
              <w:spacing w:after="120"/>
              <w:rPr>
                <w:sz w:val="24"/>
                <w:szCs w:val="24"/>
              </w:rPr>
            </w:pPr>
          </w:p>
        </w:tc>
        <w:tc>
          <w:tcPr>
            <w:tcW w:w="7768" w:type="dxa"/>
            <w:gridSpan w:val="3"/>
            <w:shd w:val="clear" w:color="auto" w:fill="auto"/>
            <w:noWrap/>
            <w:vAlign w:val="bottom"/>
          </w:tcPr>
          <w:p w14:paraId="37F2C99D" w14:textId="23BD6ED0" w:rsidR="00DA58E7" w:rsidRPr="00327DAE" w:rsidRDefault="00DA58E7" w:rsidP="0025317F">
            <w:pPr>
              <w:spacing w:after="120"/>
              <w:rPr>
                <w:i/>
                <w:sz w:val="24"/>
                <w:szCs w:val="24"/>
              </w:rPr>
            </w:pPr>
            <w:r w:rsidRPr="00E27399">
              <w:rPr>
                <w:i/>
                <w:sz w:val="24"/>
                <w:szCs w:val="24"/>
              </w:rPr>
              <w:t>H. Jaujas atsevišķie secinājumi par tiesneses J</w:t>
            </w:r>
            <w:r w:rsidR="00922310">
              <w:rPr>
                <w:i/>
                <w:sz w:val="24"/>
                <w:szCs w:val="24"/>
              </w:rPr>
              <w:t>. </w:t>
            </w:r>
            <w:proofErr w:type="spellStart"/>
            <w:r w:rsidRPr="00E27399">
              <w:rPr>
                <w:i/>
                <w:sz w:val="24"/>
                <w:szCs w:val="24"/>
              </w:rPr>
              <w:t>Zaškinas</w:t>
            </w:r>
            <w:proofErr w:type="spellEnd"/>
            <w:r w:rsidRPr="00E27399">
              <w:rPr>
                <w:i/>
                <w:sz w:val="24"/>
                <w:szCs w:val="24"/>
              </w:rPr>
              <w:t xml:space="preserve"> nolēmumiem</w:t>
            </w:r>
          </w:p>
          <w:p w14:paraId="782D6652" w14:textId="6C7DE74E" w:rsidR="00DA58E7" w:rsidRPr="00327DAE" w:rsidRDefault="00DA58E7" w:rsidP="0025317F">
            <w:pPr>
              <w:spacing w:after="120"/>
              <w:rPr>
                <w:sz w:val="24"/>
                <w:szCs w:val="24"/>
              </w:rPr>
            </w:pPr>
            <w:r w:rsidRPr="00327DAE">
              <w:rPr>
                <w:sz w:val="24"/>
                <w:szCs w:val="24"/>
              </w:rPr>
              <w:t xml:space="preserve">Lai gan tika analizētas tikai divas lietas, kurās tiesnese </w:t>
            </w:r>
            <w:r w:rsidR="00FD0FC9">
              <w:rPr>
                <w:sz w:val="24"/>
                <w:szCs w:val="24"/>
              </w:rPr>
              <w:t>J. </w:t>
            </w:r>
            <w:proofErr w:type="spellStart"/>
            <w:r w:rsidRPr="00327DAE">
              <w:rPr>
                <w:sz w:val="24"/>
                <w:szCs w:val="24"/>
              </w:rPr>
              <w:t>Zaškina</w:t>
            </w:r>
            <w:proofErr w:type="spellEnd"/>
            <w:r w:rsidRPr="00327DAE">
              <w:rPr>
                <w:sz w:val="24"/>
                <w:szCs w:val="24"/>
              </w:rPr>
              <w:t xml:space="preserve"> pieņēma nolēmumus, </w:t>
            </w:r>
            <w:r w:rsidRPr="00302854">
              <w:rPr>
                <w:sz w:val="24"/>
                <w:szCs w:val="24"/>
              </w:rPr>
              <w:t>ab</w:t>
            </w:r>
            <w:r w:rsidR="00A31D71" w:rsidRPr="00302854">
              <w:rPr>
                <w:sz w:val="24"/>
                <w:szCs w:val="24"/>
              </w:rPr>
              <w:t>ā</w:t>
            </w:r>
            <w:r w:rsidRPr="00302854">
              <w:rPr>
                <w:sz w:val="24"/>
                <w:szCs w:val="24"/>
              </w:rPr>
              <w:t xml:space="preserve">s šajās lietās tiesnese ar vairākiem nolēmumiem ir akceptējusi (nav mēģinājusi vērsties pret) ļaunprātīgu maksātnespējas procesa izmantošanu, lai </w:t>
            </w:r>
            <w:r w:rsidR="00302854" w:rsidRPr="00302854">
              <w:rPr>
                <w:sz w:val="24"/>
                <w:szCs w:val="24"/>
              </w:rPr>
              <w:t xml:space="preserve">gan </w:t>
            </w:r>
            <w:r w:rsidRPr="00302854">
              <w:rPr>
                <w:sz w:val="24"/>
                <w:szCs w:val="24"/>
              </w:rPr>
              <w:t>no lietas apstākļiem to varēja konstatēt un likums neierobežoja tiesnesi to darīt. T</w:t>
            </w:r>
            <w:r w:rsidR="00A31D71" w:rsidRPr="00302854">
              <w:rPr>
                <w:sz w:val="24"/>
                <w:szCs w:val="24"/>
              </w:rPr>
              <w:t>ā</w:t>
            </w:r>
            <w:r w:rsidRPr="00302854">
              <w:rPr>
                <w:sz w:val="24"/>
                <w:szCs w:val="24"/>
              </w:rPr>
              <w:t xml:space="preserve"> vietā tiesnese izvēlējas tādu risinājumu, kurš formāli atbilst likuma burtam, bet pēc būtības noved pie netaisnīga risinājuma, ko apstiprināja arī AT CLD, atceļot tiesneses nolēmumus</w:t>
            </w:r>
            <w:r w:rsidRPr="00327DAE">
              <w:rPr>
                <w:sz w:val="24"/>
                <w:szCs w:val="24"/>
              </w:rPr>
              <w:t xml:space="preserve">. Apstākļi, kādos </w:t>
            </w:r>
            <w:r w:rsidR="002150CE">
              <w:rPr>
                <w:sz w:val="24"/>
                <w:szCs w:val="24"/>
              </w:rPr>
              <w:t>„</w:t>
            </w:r>
            <w:proofErr w:type="spellStart"/>
            <w:r w:rsidRPr="00327DAE">
              <w:rPr>
                <w:sz w:val="24"/>
                <w:szCs w:val="24"/>
              </w:rPr>
              <w:t>Winergy</w:t>
            </w:r>
            <w:proofErr w:type="spellEnd"/>
            <w:r w:rsidR="00A31D71">
              <w:rPr>
                <w:sz w:val="24"/>
                <w:szCs w:val="24"/>
              </w:rPr>
              <w:t>”</w:t>
            </w:r>
            <w:r w:rsidRPr="00327DAE">
              <w:rPr>
                <w:sz w:val="24"/>
                <w:szCs w:val="24"/>
              </w:rPr>
              <w:t xml:space="preserve"> lieta nokļuva pie tiesneses </w:t>
            </w:r>
            <w:r w:rsidR="00FD0FC9">
              <w:rPr>
                <w:sz w:val="24"/>
                <w:szCs w:val="24"/>
              </w:rPr>
              <w:t>J. </w:t>
            </w:r>
            <w:proofErr w:type="spellStart"/>
            <w:r w:rsidRPr="00327DAE">
              <w:rPr>
                <w:sz w:val="24"/>
                <w:szCs w:val="24"/>
              </w:rPr>
              <w:t>Zaškinas</w:t>
            </w:r>
            <w:proofErr w:type="spellEnd"/>
            <w:r w:rsidRPr="00327DAE">
              <w:rPr>
                <w:sz w:val="24"/>
                <w:szCs w:val="24"/>
              </w:rPr>
              <w:t xml:space="preserve"> un kādos ar </w:t>
            </w:r>
            <w:r w:rsidR="002150CE">
              <w:rPr>
                <w:sz w:val="24"/>
                <w:szCs w:val="24"/>
              </w:rPr>
              <w:t>„</w:t>
            </w:r>
            <w:proofErr w:type="spellStart"/>
            <w:r w:rsidRPr="00327DAE">
              <w:rPr>
                <w:sz w:val="24"/>
                <w:szCs w:val="24"/>
              </w:rPr>
              <w:t>Winergy</w:t>
            </w:r>
            <w:proofErr w:type="spellEnd"/>
            <w:r w:rsidR="00A31D71">
              <w:rPr>
                <w:sz w:val="24"/>
                <w:szCs w:val="24"/>
              </w:rPr>
              <w:t>”</w:t>
            </w:r>
            <w:r w:rsidRPr="00327DAE">
              <w:rPr>
                <w:sz w:val="24"/>
                <w:szCs w:val="24"/>
              </w:rPr>
              <w:t xml:space="preserve"> lietu saistītas personas ir vēlāk mēģinājušas panākt lietas nokļūšanu pie kādas no Latgales priekšpilsētas tiesas tiesnešiem, diemžēl rada pamatotas aizdomas par to, ka tiesnesei varētu būt bijusi kāda neatļauta vienošanās ar šīm personām par lietu labvēlīgu izspriešanu. Katr</w:t>
            </w:r>
            <w:r w:rsidR="00A31D71">
              <w:rPr>
                <w:sz w:val="24"/>
                <w:szCs w:val="24"/>
              </w:rPr>
              <w:t>ā</w:t>
            </w:r>
            <w:r w:rsidR="002150CE">
              <w:rPr>
                <w:sz w:val="24"/>
                <w:szCs w:val="24"/>
              </w:rPr>
              <w:t xml:space="preserve"> ziņā SIA „</w:t>
            </w:r>
            <w:proofErr w:type="spellStart"/>
            <w:r w:rsidRPr="00327DAE">
              <w:rPr>
                <w:sz w:val="24"/>
                <w:szCs w:val="24"/>
              </w:rPr>
              <w:t>Winergy</w:t>
            </w:r>
            <w:proofErr w:type="spellEnd"/>
            <w:r w:rsidRPr="00327DAE">
              <w:rPr>
                <w:sz w:val="24"/>
                <w:szCs w:val="24"/>
              </w:rPr>
              <w:t>” un SIA “Peltes īpašumi” gadījumā praktiski visi nolēmumi, kas ir pieņemti strīdīg</w:t>
            </w:r>
            <w:r w:rsidR="00A31D71">
              <w:rPr>
                <w:sz w:val="24"/>
                <w:szCs w:val="24"/>
              </w:rPr>
              <w:t>ā</w:t>
            </w:r>
            <w:r w:rsidRPr="00327DAE">
              <w:rPr>
                <w:sz w:val="24"/>
                <w:szCs w:val="24"/>
              </w:rPr>
              <w:t xml:space="preserve"> situācijā, ir bijuši par labu personām, kuras ir ļaunprātīgi izmantojušas maksātnespējas procesu, pamatojot to ar likuma burtu, lai gan likuma gars pieļāva un pieprasīja diametrāli pretēja lēmuma pieņemšanu.  </w:t>
            </w:r>
          </w:p>
          <w:p w14:paraId="47332554" w14:textId="109659A3" w:rsidR="00DA58E7" w:rsidRPr="00327DAE" w:rsidRDefault="00DA58E7" w:rsidP="0025317F">
            <w:pPr>
              <w:spacing w:after="120"/>
              <w:rPr>
                <w:sz w:val="24"/>
                <w:szCs w:val="24"/>
              </w:rPr>
            </w:pPr>
            <w:r w:rsidRPr="00327DAE">
              <w:rPr>
                <w:sz w:val="24"/>
                <w:szCs w:val="24"/>
              </w:rPr>
              <w:t xml:space="preserve">Kopumā aplūkoto tiesneses </w:t>
            </w:r>
            <w:r w:rsidR="00FD0FC9">
              <w:rPr>
                <w:sz w:val="24"/>
                <w:szCs w:val="24"/>
              </w:rPr>
              <w:t>J. </w:t>
            </w:r>
            <w:proofErr w:type="spellStart"/>
            <w:r w:rsidRPr="00327DAE">
              <w:rPr>
                <w:sz w:val="24"/>
                <w:szCs w:val="24"/>
              </w:rPr>
              <w:t>Zaškinas</w:t>
            </w:r>
            <w:proofErr w:type="spellEnd"/>
            <w:r w:rsidRPr="00327DAE">
              <w:rPr>
                <w:sz w:val="24"/>
                <w:szCs w:val="24"/>
              </w:rPr>
              <w:t xml:space="preserve"> pieņemto nolēmumu un citu apstākļu analīze to kopsakarā drīzāk a</w:t>
            </w:r>
            <w:r w:rsidR="002150CE">
              <w:rPr>
                <w:sz w:val="24"/>
                <w:szCs w:val="24"/>
              </w:rPr>
              <w:t>pstiprina nekā atspēko žurnālā „</w:t>
            </w:r>
            <w:r w:rsidRPr="00327DAE">
              <w:rPr>
                <w:sz w:val="24"/>
                <w:szCs w:val="24"/>
              </w:rPr>
              <w:t xml:space="preserve">IR” izskanējušās aizdomas par tiesneses </w:t>
            </w:r>
            <w:r w:rsidR="00FD0FC9">
              <w:rPr>
                <w:sz w:val="24"/>
                <w:szCs w:val="24"/>
              </w:rPr>
              <w:t>J. </w:t>
            </w:r>
            <w:proofErr w:type="spellStart"/>
            <w:r w:rsidRPr="00327DAE">
              <w:rPr>
                <w:sz w:val="24"/>
                <w:szCs w:val="24"/>
              </w:rPr>
              <w:t>Zaškinas</w:t>
            </w:r>
            <w:proofErr w:type="spellEnd"/>
            <w:r w:rsidRPr="00327DAE">
              <w:rPr>
                <w:sz w:val="24"/>
                <w:szCs w:val="24"/>
              </w:rPr>
              <w:t xml:space="preserve"> iespējamu līdzdalību maksātnespējas shēmu piesegšanā. </w:t>
            </w:r>
          </w:p>
        </w:tc>
      </w:tr>
    </w:tbl>
    <w:p w14:paraId="208CAAD2" w14:textId="77777777" w:rsidR="00DE37BC" w:rsidRPr="00327DAE" w:rsidRDefault="00DE37BC" w:rsidP="0025317F">
      <w:pPr>
        <w:spacing w:after="120"/>
        <w:rPr>
          <w:sz w:val="24"/>
          <w:szCs w:val="24"/>
        </w:rPr>
      </w:pPr>
    </w:p>
    <w:p w14:paraId="55A9C97C" w14:textId="77777777" w:rsidR="006B7629" w:rsidRPr="00327DAE" w:rsidRDefault="006B7629" w:rsidP="0025317F">
      <w:pPr>
        <w:widowControl/>
        <w:adjustRightInd/>
        <w:spacing w:after="120"/>
        <w:jc w:val="left"/>
        <w:textAlignment w:val="auto"/>
        <w:rPr>
          <w:b/>
          <w:sz w:val="24"/>
          <w:szCs w:val="24"/>
        </w:rPr>
      </w:pPr>
      <w:r w:rsidRPr="00327DAE">
        <w:rPr>
          <w:sz w:val="24"/>
          <w:szCs w:val="24"/>
        </w:rPr>
        <w:br w:type="page"/>
      </w:r>
    </w:p>
    <w:p w14:paraId="012BFDE5" w14:textId="2D7AA8C8" w:rsidR="00D8090D" w:rsidRPr="00327DAE" w:rsidRDefault="00C06CD6" w:rsidP="0025317F">
      <w:pPr>
        <w:pStyle w:val="Heading1"/>
        <w:rPr>
          <w:rFonts w:cs="Times New Roman"/>
          <w:szCs w:val="24"/>
        </w:rPr>
      </w:pPr>
      <w:bookmarkStart w:id="56" w:name="_Toc522527529"/>
      <w:r w:rsidRPr="00327DAE">
        <w:rPr>
          <w:rFonts w:cs="Times New Roman"/>
          <w:szCs w:val="24"/>
        </w:rPr>
        <w:lastRenderedPageBreak/>
        <w:t>INFORMĀCIJA UN STATISTIKA</w:t>
      </w:r>
      <w:bookmarkEnd w:id="56"/>
    </w:p>
    <w:p w14:paraId="3BB70DC1" w14:textId="77777777" w:rsidR="00B40DAA" w:rsidRPr="00327DAE" w:rsidRDefault="00B40DAA" w:rsidP="0025317F">
      <w:pPr>
        <w:spacing w:after="120"/>
        <w:rPr>
          <w:sz w:val="24"/>
          <w:szCs w:val="24"/>
        </w:rPr>
      </w:pPr>
    </w:p>
    <w:p w14:paraId="6B6F1E9E" w14:textId="77777777" w:rsidR="00B40DAA" w:rsidRPr="00327DAE" w:rsidRDefault="00B40DAA" w:rsidP="0025317F">
      <w:pPr>
        <w:pStyle w:val="Heading2"/>
        <w:rPr>
          <w:rFonts w:cs="Times New Roman"/>
          <w:szCs w:val="24"/>
        </w:rPr>
      </w:pPr>
      <w:bookmarkStart w:id="57" w:name="_Toc522527530"/>
      <w:r w:rsidRPr="00327DAE">
        <w:rPr>
          <w:rFonts w:cs="Times New Roman"/>
          <w:szCs w:val="24"/>
        </w:rPr>
        <w:t>Statistika</w:t>
      </w:r>
      <w:bookmarkEnd w:id="57"/>
      <w:r w:rsidRPr="00327DAE">
        <w:rPr>
          <w:rFonts w:cs="Times New Roman"/>
          <w:szCs w:val="24"/>
        </w:rPr>
        <w:t xml:space="preserve"> </w:t>
      </w:r>
    </w:p>
    <w:p w14:paraId="20F682D2" w14:textId="77777777" w:rsidR="00B40DAA" w:rsidRPr="00327DAE" w:rsidRDefault="00B40DAA" w:rsidP="0025317F">
      <w:pPr>
        <w:spacing w:after="120"/>
        <w:rPr>
          <w:sz w:val="24"/>
          <w:szCs w:val="24"/>
        </w:rPr>
      </w:pPr>
    </w:p>
    <w:p w14:paraId="2C0569AA" w14:textId="77777777" w:rsidR="00B40DAA" w:rsidRPr="00327DAE" w:rsidRDefault="00B40DAA" w:rsidP="0025317F">
      <w:pPr>
        <w:pStyle w:val="Heading3"/>
      </w:pPr>
      <w:bookmarkStart w:id="58" w:name="_Toc508955451"/>
      <w:bookmarkStart w:id="59" w:name="_Toc522527531"/>
      <w:r w:rsidRPr="00327DAE">
        <w:t>Statistika pirmās instances tiesā</w:t>
      </w:r>
      <w:bookmarkEnd w:id="58"/>
      <w:bookmarkEnd w:id="59"/>
    </w:p>
    <w:p w14:paraId="66B35B26" w14:textId="77777777" w:rsidR="00B40DAA" w:rsidRPr="00327DAE" w:rsidRDefault="00B40DAA" w:rsidP="0025317F">
      <w:pPr>
        <w:spacing w:after="120"/>
        <w:rPr>
          <w:i/>
          <w:sz w:val="24"/>
          <w:szCs w:val="24"/>
        </w:rPr>
      </w:pPr>
      <w:r w:rsidRPr="00327DAE">
        <w:rPr>
          <w:i/>
          <w:sz w:val="24"/>
          <w:szCs w:val="24"/>
        </w:rPr>
        <w:t>Statistikas apkopošanai izmantoti Tiesu informatīvās sistēmas dati.</w:t>
      </w:r>
    </w:p>
    <w:p w14:paraId="09BCAA15" w14:textId="77777777" w:rsidR="00B40DAA" w:rsidRPr="00327DAE" w:rsidRDefault="00B40DAA" w:rsidP="0025317F">
      <w:pPr>
        <w:pStyle w:val="Heading4"/>
        <w:rPr>
          <w:rFonts w:cs="Times New Roman"/>
          <w:szCs w:val="24"/>
        </w:rPr>
      </w:pPr>
      <w:bookmarkStart w:id="60" w:name="_Toc522527532"/>
      <w:r w:rsidRPr="00327DAE">
        <w:rPr>
          <w:rFonts w:cs="Times New Roman"/>
          <w:szCs w:val="24"/>
        </w:rPr>
        <w:t>Saņemto lietu sk</w:t>
      </w:r>
      <w:r w:rsidRPr="00327DAE">
        <w:rPr>
          <w:rFonts w:cs="Times New Roman"/>
          <w:b w:val="0"/>
          <w:szCs w:val="24"/>
        </w:rPr>
        <w:t>a</w:t>
      </w:r>
      <w:r w:rsidRPr="00327DAE">
        <w:rPr>
          <w:rFonts w:cs="Times New Roman"/>
          <w:szCs w:val="24"/>
        </w:rPr>
        <w:t>its</w:t>
      </w:r>
      <w:bookmarkEnd w:id="60"/>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644"/>
        <w:gridCol w:w="948"/>
        <w:gridCol w:w="1537"/>
        <w:gridCol w:w="1537"/>
        <w:gridCol w:w="1717"/>
      </w:tblGrid>
      <w:tr w:rsidR="00B40DAA" w:rsidRPr="00327DAE" w14:paraId="003EEE1B" w14:textId="77777777" w:rsidTr="00B40DAA">
        <w:trPr>
          <w:trHeight w:val="736"/>
        </w:trPr>
        <w:tc>
          <w:tcPr>
            <w:tcW w:w="960" w:type="dxa"/>
            <w:shd w:val="clear" w:color="auto" w:fill="auto"/>
            <w:vAlign w:val="bottom"/>
            <w:hideMark/>
          </w:tcPr>
          <w:p w14:paraId="25D5A2F9" w14:textId="77777777" w:rsidR="00B40DAA" w:rsidRPr="00327DAE" w:rsidRDefault="00B40DAA" w:rsidP="0025317F">
            <w:pPr>
              <w:spacing w:after="120"/>
              <w:rPr>
                <w:sz w:val="24"/>
                <w:szCs w:val="24"/>
              </w:rPr>
            </w:pPr>
          </w:p>
        </w:tc>
        <w:tc>
          <w:tcPr>
            <w:tcW w:w="1729" w:type="dxa"/>
            <w:shd w:val="clear" w:color="auto" w:fill="auto"/>
            <w:vAlign w:val="bottom"/>
            <w:hideMark/>
          </w:tcPr>
          <w:p w14:paraId="0FD9FEE8" w14:textId="77777777" w:rsidR="00B40DAA" w:rsidRPr="00327DAE" w:rsidRDefault="00B40DAA" w:rsidP="0025317F">
            <w:pPr>
              <w:spacing w:after="120"/>
              <w:rPr>
                <w:color w:val="000000"/>
                <w:sz w:val="24"/>
                <w:szCs w:val="24"/>
              </w:rPr>
            </w:pPr>
            <w:r w:rsidRPr="00327DAE">
              <w:rPr>
                <w:color w:val="000000"/>
                <w:sz w:val="24"/>
                <w:szCs w:val="24"/>
              </w:rPr>
              <w:t xml:space="preserve">uzņēmumu </w:t>
            </w:r>
            <w:r w:rsidRPr="00327DAE">
              <w:rPr>
                <w:sz w:val="24"/>
                <w:szCs w:val="24"/>
              </w:rPr>
              <w:t>maksātnespēja</w:t>
            </w:r>
          </w:p>
        </w:tc>
        <w:tc>
          <w:tcPr>
            <w:tcW w:w="992" w:type="dxa"/>
            <w:shd w:val="clear" w:color="auto" w:fill="auto"/>
            <w:vAlign w:val="bottom"/>
            <w:hideMark/>
          </w:tcPr>
          <w:p w14:paraId="3914B298" w14:textId="77777777" w:rsidR="00B40DAA" w:rsidRPr="00327DAE" w:rsidRDefault="00B40DAA" w:rsidP="0025317F">
            <w:pPr>
              <w:spacing w:after="120"/>
              <w:rPr>
                <w:color w:val="000000"/>
                <w:sz w:val="24"/>
                <w:szCs w:val="24"/>
              </w:rPr>
            </w:pPr>
            <w:r w:rsidRPr="00327DAE">
              <w:rPr>
                <w:color w:val="000000"/>
                <w:sz w:val="24"/>
                <w:szCs w:val="24"/>
              </w:rPr>
              <w:t>TAP</w:t>
            </w:r>
          </w:p>
        </w:tc>
        <w:tc>
          <w:tcPr>
            <w:tcW w:w="1417" w:type="dxa"/>
            <w:shd w:val="clear" w:color="auto" w:fill="auto"/>
            <w:vAlign w:val="bottom"/>
            <w:hideMark/>
          </w:tcPr>
          <w:p w14:paraId="6A14406A" w14:textId="77777777" w:rsidR="00B40DAA" w:rsidRPr="00327DAE" w:rsidRDefault="00B40DAA" w:rsidP="0025317F">
            <w:pPr>
              <w:spacing w:after="120"/>
              <w:rPr>
                <w:color w:val="000000"/>
                <w:sz w:val="24"/>
                <w:szCs w:val="24"/>
              </w:rPr>
            </w:pPr>
            <w:r w:rsidRPr="00327DAE">
              <w:rPr>
                <w:color w:val="000000"/>
                <w:sz w:val="24"/>
                <w:szCs w:val="24"/>
              </w:rPr>
              <w:t xml:space="preserve">juridisku personu </w:t>
            </w:r>
            <w:r w:rsidRPr="00327DAE">
              <w:rPr>
                <w:sz w:val="24"/>
                <w:szCs w:val="24"/>
              </w:rPr>
              <w:t>maksātnespēja</w:t>
            </w:r>
          </w:p>
        </w:tc>
        <w:tc>
          <w:tcPr>
            <w:tcW w:w="1276" w:type="dxa"/>
            <w:shd w:val="clear" w:color="auto" w:fill="auto"/>
            <w:vAlign w:val="bottom"/>
            <w:hideMark/>
          </w:tcPr>
          <w:p w14:paraId="25F8227D" w14:textId="77777777" w:rsidR="00B40DAA" w:rsidRPr="00327DAE" w:rsidRDefault="00B40DAA" w:rsidP="0025317F">
            <w:pPr>
              <w:spacing w:after="120"/>
              <w:rPr>
                <w:color w:val="000000"/>
                <w:sz w:val="24"/>
                <w:szCs w:val="24"/>
              </w:rPr>
            </w:pPr>
            <w:r w:rsidRPr="00327DAE">
              <w:rPr>
                <w:color w:val="000000"/>
                <w:sz w:val="24"/>
                <w:szCs w:val="24"/>
              </w:rPr>
              <w:t xml:space="preserve">fizisku personu </w:t>
            </w:r>
            <w:r w:rsidRPr="00327DAE">
              <w:rPr>
                <w:sz w:val="24"/>
                <w:szCs w:val="24"/>
              </w:rPr>
              <w:t>maksātnespēja</w:t>
            </w:r>
          </w:p>
        </w:tc>
        <w:tc>
          <w:tcPr>
            <w:tcW w:w="1806" w:type="dxa"/>
            <w:shd w:val="clear" w:color="auto" w:fill="auto"/>
            <w:vAlign w:val="bottom"/>
            <w:hideMark/>
          </w:tcPr>
          <w:p w14:paraId="3B4FD22D" w14:textId="77777777" w:rsidR="00B40DAA" w:rsidRPr="00327DAE" w:rsidRDefault="00B40DAA" w:rsidP="0025317F">
            <w:pPr>
              <w:spacing w:after="120"/>
              <w:rPr>
                <w:color w:val="000000"/>
                <w:sz w:val="24"/>
                <w:szCs w:val="24"/>
              </w:rPr>
            </w:pPr>
            <w:r w:rsidRPr="00327DAE">
              <w:rPr>
                <w:color w:val="000000"/>
                <w:sz w:val="24"/>
                <w:szCs w:val="24"/>
              </w:rPr>
              <w:t>sūdzības par kreditoru sapulces lēmumiem</w:t>
            </w:r>
          </w:p>
        </w:tc>
      </w:tr>
      <w:tr w:rsidR="00B40DAA" w:rsidRPr="00327DAE" w14:paraId="3D4D2EFF" w14:textId="77777777" w:rsidTr="00B40DAA">
        <w:trPr>
          <w:trHeight w:val="600"/>
        </w:trPr>
        <w:tc>
          <w:tcPr>
            <w:tcW w:w="960" w:type="dxa"/>
            <w:shd w:val="clear" w:color="auto" w:fill="auto"/>
            <w:noWrap/>
            <w:vAlign w:val="bottom"/>
            <w:hideMark/>
          </w:tcPr>
          <w:p w14:paraId="0941288D" w14:textId="77777777" w:rsidR="00B40DAA" w:rsidRPr="00327DAE" w:rsidRDefault="00B40DAA" w:rsidP="0025317F">
            <w:pPr>
              <w:spacing w:after="120"/>
              <w:jc w:val="right"/>
              <w:rPr>
                <w:color w:val="000000"/>
                <w:sz w:val="24"/>
                <w:szCs w:val="24"/>
              </w:rPr>
            </w:pPr>
            <w:r w:rsidRPr="00327DAE">
              <w:rPr>
                <w:color w:val="000000"/>
                <w:sz w:val="24"/>
                <w:szCs w:val="24"/>
              </w:rPr>
              <w:t>2007</w:t>
            </w:r>
          </w:p>
        </w:tc>
        <w:tc>
          <w:tcPr>
            <w:tcW w:w="1729" w:type="dxa"/>
            <w:shd w:val="clear" w:color="auto" w:fill="auto"/>
            <w:vAlign w:val="bottom"/>
            <w:hideMark/>
          </w:tcPr>
          <w:p w14:paraId="23BD592E" w14:textId="77777777" w:rsidR="00B40DAA" w:rsidRPr="00327DAE" w:rsidRDefault="00B40DAA" w:rsidP="0025317F">
            <w:pPr>
              <w:spacing w:after="120"/>
              <w:rPr>
                <w:color w:val="000000"/>
                <w:sz w:val="24"/>
                <w:szCs w:val="24"/>
              </w:rPr>
            </w:pPr>
            <w:r w:rsidRPr="00327DAE">
              <w:rPr>
                <w:color w:val="000000"/>
                <w:sz w:val="24"/>
                <w:szCs w:val="24"/>
              </w:rPr>
              <w:t>1445</w:t>
            </w:r>
          </w:p>
          <w:p w14:paraId="32130528" w14:textId="77777777" w:rsidR="00B40DAA" w:rsidRPr="00327DAE" w:rsidRDefault="00B40DAA" w:rsidP="0025317F">
            <w:pPr>
              <w:spacing w:after="120"/>
              <w:rPr>
                <w:color w:val="000000"/>
                <w:sz w:val="24"/>
                <w:szCs w:val="24"/>
              </w:rPr>
            </w:pPr>
            <w:r w:rsidRPr="00327DAE">
              <w:rPr>
                <w:color w:val="000000"/>
                <w:sz w:val="24"/>
                <w:szCs w:val="24"/>
              </w:rPr>
              <w:t>(atlikums 2308)</w:t>
            </w:r>
          </w:p>
        </w:tc>
        <w:tc>
          <w:tcPr>
            <w:tcW w:w="992" w:type="dxa"/>
            <w:shd w:val="clear" w:color="auto" w:fill="auto"/>
            <w:vAlign w:val="bottom"/>
            <w:hideMark/>
          </w:tcPr>
          <w:p w14:paraId="1EB996C1"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1417" w:type="dxa"/>
            <w:shd w:val="clear" w:color="auto" w:fill="auto"/>
            <w:vAlign w:val="bottom"/>
            <w:hideMark/>
          </w:tcPr>
          <w:p w14:paraId="50D92352" w14:textId="77777777" w:rsidR="00B40DAA" w:rsidRPr="00327DAE" w:rsidRDefault="00B40DAA" w:rsidP="0025317F">
            <w:pPr>
              <w:spacing w:after="120"/>
              <w:jc w:val="right"/>
              <w:rPr>
                <w:color w:val="000000"/>
                <w:sz w:val="24"/>
                <w:szCs w:val="24"/>
              </w:rPr>
            </w:pPr>
            <w:r w:rsidRPr="00327DAE">
              <w:rPr>
                <w:color w:val="000000"/>
                <w:sz w:val="24"/>
                <w:szCs w:val="24"/>
              </w:rPr>
              <w:t>2</w:t>
            </w:r>
          </w:p>
        </w:tc>
        <w:tc>
          <w:tcPr>
            <w:tcW w:w="1276" w:type="dxa"/>
            <w:shd w:val="clear" w:color="auto" w:fill="auto"/>
            <w:vAlign w:val="bottom"/>
            <w:hideMark/>
          </w:tcPr>
          <w:p w14:paraId="352CE1A3"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1806" w:type="dxa"/>
            <w:shd w:val="clear" w:color="auto" w:fill="auto"/>
            <w:vAlign w:val="bottom"/>
            <w:hideMark/>
          </w:tcPr>
          <w:p w14:paraId="15D8E81C" w14:textId="77777777" w:rsidR="00B40DAA" w:rsidRPr="00327DAE" w:rsidRDefault="00B40DAA" w:rsidP="0025317F">
            <w:pPr>
              <w:spacing w:after="120"/>
              <w:jc w:val="right"/>
              <w:rPr>
                <w:color w:val="000000"/>
                <w:sz w:val="24"/>
                <w:szCs w:val="24"/>
              </w:rPr>
            </w:pPr>
            <w:r w:rsidRPr="00327DAE">
              <w:rPr>
                <w:color w:val="000000"/>
                <w:sz w:val="24"/>
                <w:szCs w:val="24"/>
              </w:rPr>
              <w:t>32</w:t>
            </w:r>
          </w:p>
        </w:tc>
      </w:tr>
      <w:tr w:rsidR="00B40DAA" w:rsidRPr="00327DAE" w14:paraId="575458EF" w14:textId="77777777" w:rsidTr="00B40DAA">
        <w:trPr>
          <w:trHeight w:val="300"/>
        </w:trPr>
        <w:tc>
          <w:tcPr>
            <w:tcW w:w="960" w:type="dxa"/>
            <w:shd w:val="clear" w:color="auto" w:fill="auto"/>
            <w:noWrap/>
            <w:vAlign w:val="bottom"/>
            <w:hideMark/>
          </w:tcPr>
          <w:p w14:paraId="5510C8A6" w14:textId="77777777" w:rsidR="00B40DAA" w:rsidRPr="00327DAE" w:rsidRDefault="00B40DAA" w:rsidP="0025317F">
            <w:pPr>
              <w:spacing w:after="120"/>
              <w:jc w:val="right"/>
              <w:rPr>
                <w:color w:val="000000"/>
                <w:sz w:val="24"/>
                <w:szCs w:val="24"/>
              </w:rPr>
            </w:pPr>
            <w:r w:rsidRPr="00327DAE">
              <w:rPr>
                <w:color w:val="000000"/>
                <w:sz w:val="24"/>
                <w:szCs w:val="24"/>
              </w:rPr>
              <w:t>2008</w:t>
            </w:r>
          </w:p>
        </w:tc>
        <w:tc>
          <w:tcPr>
            <w:tcW w:w="1729" w:type="dxa"/>
            <w:shd w:val="clear" w:color="auto" w:fill="auto"/>
            <w:vAlign w:val="bottom"/>
            <w:hideMark/>
          </w:tcPr>
          <w:p w14:paraId="7FEE643D"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7788737D" w14:textId="77777777" w:rsidR="00B40DAA" w:rsidRPr="00327DAE" w:rsidRDefault="00B40DAA" w:rsidP="0025317F">
            <w:pPr>
              <w:spacing w:after="120"/>
              <w:jc w:val="right"/>
              <w:rPr>
                <w:color w:val="000000"/>
                <w:sz w:val="24"/>
                <w:szCs w:val="24"/>
              </w:rPr>
            </w:pPr>
            <w:r w:rsidRPr="00327DAE">
              <w:rPr>
                <w:color w:val="000000"/>
                <w:sz w:val="24"/>
                <w:szCs w:val="24"/>
              </w:rPr>
              <w:t>9</w:t>
            </w:r>
          </w:p>
        </w:tc>
        <w:tc>
          <w:tcPr>
            <w:tcW w:w="1417" w:type="dxa"/>
            <w:shd w:val="clear" w:color="auto" w:fill="auto"/>
            <w:vAlign w:val="bottom"/>
            <w:hideMark/>
          </w:tcPr>
          <w:p w14:paraId="48C38203" w14:textId="77777777" w:rsidR="00B40DAA" w:rsidRPr="00327DAE" w:rsidRDefault="00B40DAA" w:rsidP="0025317F">
            <w:pPr>
              <w:spacing w:after="120"/>
              <w:jc w:val="right"/>
              <w:rPr>
                <w:color w:val="000000"/>
                <w:sz w:val="24"/>
                <w:szCs w:val="24"/>
              </w:rPr>
            </w:pPr>
            <w:r w:rsidRPr="00327DAE">
              <w:rPr>
                <w:color w:val="000000"/>
                <w:sz w:val="24"/>
                <w:szCs w:val="24"/>
              </w:rPr>
              <w:t>1652</w:t>
            </w:r>
          </w:p>
        </w:tc>
        <w:tc>
          <w:tcPr>
            <w:tcW w:w="1276" w:type="dxa"/>
            <w:shd w:val="clear" w:color="auto" w:fill="auto"/>
            <w:vAlign w:val="bottom"/>
            <w:hideMark/>
          </w:tcPr>
          <w:p w14:paraId="0F5F93D2" w14:textId="77777777" w:rsidR="00B40DAA" w:rsidRPr="00327DAE" w:rsidRDefault="00B40DAA" w:rsidP="0025317F">
            <w:pPr>
              <w:spacing w:after="120"/>
              <w:jc w:val="right"/>
              <w:rPr>
                <w:color w:val="000000"/>
                <w:sz w:val="24"/>
                <w:szCs w:val="24"/>
              </w:rPr>
            </w:pPr>
            <w:r w:rsidRPr="00327DAE">
              <w:rPr>
                <w:color w:val="000000"/>
                <w:sz w:val="24"/>
                <w:szCs w:val="24"/>
              </w:rPr>
              <w:t>12</w:t>
            </w:r>
          </w:p>
        </w:tc>
        <w:tc>
          <w:tcPr>
            <w:tcW w:w="1806" w:type="dxa"/>
            <w:shd w:val="clear" w:color="auto" w:fill="auto"/>
            <w:vAlign w:val="bottom"/>
            <w:hideMark/>
          </w:tcPr>
          <w:p w14:paraId="60B693E3" w14:textId="77777777" w:rsidR="00B40DAA" w:rsidRPr="00327DAE" w:rsidRDefault="00B40DAA" w:rsidP="0025317F">
            <w:pPr>
              <w:spacing w:after="120"/>
              <w:jc w:val="right"/>
              <w:rPr>
                <w:color w:val="000000"/>
                <w:sz w:val="24"/>
                <w:szCs w:val="24"/>
              </w:rPr>
            </w:pPr>
            <w:r w:rsidRPr="00327DAE">
              <w:rPr>
                <w:color w:val="000000"/>
                <w:sz w:val="24"/>
                <w:szCs w:val="24"/>
              </w:rPr>
              <w:t>28</w:t>
            </w:r>
          </w:p>
        </w:tc>
      </w:tr>
      <w:tr w:rsidR="00B40DAA" w:rsidRPr="00327DAE" w14:paraId="7C47E8A7" w14:textId="77777777" w:rsidTr="00B40DAA">
        <w:trPr>
          <w:trHeight w:val="300"/>
        </w:trPr>
        <w:tc>
          <w:tcPr>
            <w:tcW w:w="960" w:type="dxa"/>
            <w:shd w:val="clear" w:color="auto" w:fill="auto"/>
            <w:noWrap/>
            <w:vAlign w:val="bottom"/>
            <w:hideMark/>
          </w:tcPr>
          <w:p w14:paraId="59E4B120" w14:textId="77777777" w:rsidR="00B40DAA" w:rsidRPr="00327DAE" w:rsidRDefault="00B40DAA" w:rsidP="0025317F">
            <w:pPr>
              <w:spacing w:after="120"/>
              <w:jc w:val="right"/>
              <w:rPr>
                <w:color w:val="000000"/>
                <w:sz w:val="24"/>
                <w:szCs w:val="24"/>
              </w:rPr>
            </w:pPr>
            <w:r w:rsidRPr="00327DAE">
              <w:rPr>
                <w:color w:val="000000"/>
                <w:sz w:val="24"/>
                <w:szCs w:val="24"/>
              </w:rPr>
              <w:t>2009</w:t>
            </w:r>
          </w:p>
        </w:tc>
        <w:tc>
          <w:tcPr>
            <w:tcW w:w="1729" w:type="dxa"/>
            <w:shd w:val="clear" w:color="auto" w:fill="auto"/>
            <w:vAlign w:val="bottom"/>
            <w:hideMark/>
          </w:tcPr>
          <w:p w14:paraId="356BEC79"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085B9B41" w14:textId="77777777" w:rsidR="00B40DAA" w:rsidRPr="00327DAE" w:rsidRDefault="00B40DAA" w:rsidP="0025317F">
            <w:pPr>
              <w:spacing w:after="120"/>
              <w:jc w:val="right"/>
              <w:rPr>
                <w:color w:val="000000"/>
                <w:sz w:val="24"/>
                <w:szCs w:val="24"/>
              </w:rPr>
            </w:pPr>
            <w:r w:rsidRPr="00327DAE">
              <w:rPr>
                <w:color w:val="000000"/>
                <w:sz w:val="24"/>
                <w:szCs w:val="24"/>
              </w:rPr>
              <w:t>83</w:t>
            </w:r>
          </w:p>
        </w:tc>
        <w:tc>
          <w:tcPr>
            <w:tcW w:w="1417" w:type="dxa"/>
            <w:shd w:val="clear" w:color="auto" w:fill="auto"/>
            <w:vAlign w:val="bottom"/>
            <w:hideMark/>
          </w:tcPr>
          <w:p w14:paraId="3D5FB00E" w14:textId="77777777" w:rsidR="00B40DAA" w:rsidRPr="00327DAE" w:rsidRDefault="00B40DAA" w:rsidP="0025317F">
            <w:pPr>
              <w:spacing w:after="120"/>
              <w:jc w:val="right"/>
              <w:rPr>
                <w:color w:val="000000"/>
                <w:sz w:val="24"/>
                <w:szCs w:val="24"/>
              </w:rPr>
            </w:pPr>
            <w:r w:rsidRPr="00327DAE">
              <w:rPr>
                <w:color w:val="000000"/>
                <w:sz w:val="24"/>
                <w:szCs w:val="24"/>
              </w:rPr>
              <w:t>2620</w:t>
            </w:r>
          </w:p>
        </w:tc>
        <w:tc>
          <w:tcPr>
            <w:tcW w:w="1276" w:type="dxa"/>
            <w:shd w:val="clear" w:color="auto" w:fill="auto"/>
            <w:vAlign w:val="bottom"/>
            <w:hideMark/>
          </w:tcPr>
          <w:p w14:paraId="1AF1DFB5" w14:textId="77777777" w:rsidR="00B40DAA" w:rsidRPr="00327DAE" w:rsidRDefault="00B40DAA" w:rsidP="0025317F">
            <w:pPr>
              <w:spacing w:after="120"/>
              <w:jc w:val="right"/>
              <w:rPr>
                <w:color w:val="000000"/>
                <w:sz w:val="24"/>
                <w:szCs w:val="24"/>
              </w:rPr>
            </w:pPr>
            <w:r w:rsidRPr="00327DAE">
              <w:rPr>
                <w:color w:val="000000"/>
                <w:sz w:val="24"/>
                <w:szCs w:val="24"/>
              </w:rPr>
              <w:t>155</w:t>
            </w:r>
          </w:p>
        </w:tc>
        <w:tc>
          <w:tcPr>
            <w:tcW w:w="1806" w:type="dxa"/>
            <w:shd w:val="clear" w:color="auto" w:fill="auto"/>
            <w:vAlign w:val="bottom"/>
            <w:hideMark/>
          </w:tcPr>
          <w:p w14:paraId="4C1FD555" w14:textId="77777777" w:rsidR="00B40DAA" w:rsidRPr="00327DAE" w:rsidRDefault="00B40DAA" w:rsidP="0025317F">
            <w:pPr>
              <w:spacing w:after="120"/>
              <w:jc w:val="right"/>
              <w:rPr>
                <w:color w:val="000000"/>
                <w:sz w:val="24"/>
                <w:szCs w:val="24"/>
              </w:rPr>
            </w:pPr>
            <w:r w:rsidRPr="00327DAE">
              <w:rPr>
                <w:color w:val="000000"/>
                <w:sz w:val="24"/>
                <w:szCs w:val="24"/>
              </w:rPr>
              <w:t>127</w:t>
            </w:r>
          </w:p>
        </w:tc>
      </w:tr>
      <w:tr w:rsidR="00B40DAA" w:rsidRPr="00327DAE" w14:paraId="75019C61" w14:textId="77777777" w:rsidTr="00B40DAA">
        <w:trPr>
          <w:trHeight w:val="300"/>
        </w:trPr>
        <w:tc>
          <w:tcPr>
            <w:tcW w:w="960" w:type="dxa"/>
            <w:shd w:val="clear" w:color="auto" w:fill="auto"/>
            <w:noWrap/>
            <w:vAlign w:val="bottom"/>
            <w:hideMark/>
          </w:tcPr>
          <w:p w14:paraId="6DB55982" w14:textId="77777777" w:rsidR="00B40DAA" w:rsidRPr="00327DAE" w:rsidRDefault="00B40DAA" w:rsidP="0025317F">
            <w:pPr>
              <w:spacing w:after="120"/>
              <w:jc w:val="right"/>
              <w:rPr>
                <w:color w:val="000000"/>
                <w:sz w:val="24"/>
                <w:szCs w:val="24"/>
              </w:rPr>
            </w:pPr>
            <w:r w:rsidRPr="00327DAE">
              <w:rPr>
                <w:color w:val="000000"/>
                <w:sz w:val="24"/>
                <w:szCs w:val="24"/>
              </w:rPr>
              <w:t>2010</w:t>
            </w:r>
          </w:p>
        </w:tc>
        <w:tc>
          <w:tcPr>
            <w:tcW w:w="1729" w:type="dxa"/>
            <w:shd w:val="clear" w:color="auto" w:fill="auto"/>
            <w:vAlign w:val="bottom"/>
            <w:hideMark/>
          </w:tcPr>
          <w:p w14:paraId="6137C064"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32DCB962" w14:textId="77777777" w:rsidR="00B40DAA" w:rsidRPr="00327DAE" w:rsidRDefault="00B40DAA" w:rsidP="0025317F">
            <w:pPr>
              <w:spacing w:after="120"/>
              <w:jc w:val="right"/>
              <w:rPr>
                <w:color w:val="000000"/>
                <w:sz w:val="24"/>
                <w:szCs w:val="24"/>
              </w:rPr>
            </w:pPr>
            <w:r w:rsidRPr="00327DAE">
              <w:rPr>
                <w:color w:val="000000"/>
                <w:sz w:val="24"/>
                <w:szCs w:val="24"/>
              </w:rPr>
              <w:t>223</w:t>
            </w:r>
          </w:p>
        </w:tc>
        <w:tc>
          <w:tcPr>
            <w:tcW w:w="1417" w:type="dxa"/>
            <w:shd w:val="clear" w:color="auto" w:fill="auto"/>
            <w:vAlign w:val="bottom"/>
            <w:hideMark/>
          </w:tcPr>
          <w:p w14:paraId="58C0C482" w14:textId="77777777" w:rsidR="00B40DAA" w:rsidRPr="00327DAE" w:rsidRDefault="00B40DAA" w:rsidP="0025317F">
            <w:pPr>
              <w:spacing w:after="120"/>
              <w:jc w:val="right"/>
              <w:rPr>
                <w:color w:val="000000"/>
                <w:sz w:val="24"/>
                <w:szCs w:val="24"/>
              </w:rPr>
            </w:pPr>
            <w:r w:rsidRPr="00327DAE">
              <w:rPr>
                <w:color w:val="000000"/>
                <w:sz w:val="24"/>
                <w:szCs w:val="24"/>
              </w:rPr>
              <w:t>2606</w:t>
            </w:r>
          </w:p>
        </w:tc>
        <w:tc>
          <w:tcPr>
            <w:tcW w:w="1276" w:type="dxa"/>
            <w:shd w:val="clear" w:color="auto" w:fill="auto"/>
            <w:vAlign w:val="bottom"/>
            <w:hideMark/>
          </w:tcPr>
          <w:p w14:paraId="763F9C3F" w14:textId="77777777" w:rsidR="00B40DAA" w:rsidRPr="00327DAE" w:rsidRDefault="00B40DAA" w:rsidP="0025317F">
            <w:pPr>
              <w:spacing w:after="120"/>
              <w:jc w:val="right"/>
              <w:rPr>
                <w:color w:val="000000"/>
                <w:sz w:val="24"/>
                <w:szCs w:val="24"/>
              </w:rPr>
            </w:pPr>
            <w:r w:rsidRPr="00327DAE">
              <w:rPr>
                <w:color w:val="000000"/>
                <w:sz w:val="24"/>
                <w:szCs w:val="24"/>
              </w:rPr>
              <w:t>305</w:t>
            </w:r>
          </w:p>
        </w:tc>
        <w:tc>
          <w:tcPr>
            <w:tcW w:w="1806" w:type="dxa"/>
            <w:shd w:val="clear" w:color="auto" w:fill="auto"/>
            <w:vAlign w:val="bottom"/>
            <w:hideMark/>
          </w:tcPr>
          <w:p w14:paraId="015A01BF" w14:textId="77777777" w:rsidR="00B40DAA" w:rsidRPr="00327DAE" w:rsidRDefault="00B40DAA" w:rsidP="0025317F">
            <w:pPr>
              <w:spacing w:after="120"/>
              <w:jc w:val="right"/>
              <w:rPr>
                <w:color w:val="000000"/>
                <w:sz w:val="24"/>
                <w:szCs w:val="24"/>
              </w:rPr>
            </w:pPr>
            <w:r w:rsidRPr="00327DAE">
              <w:rPr>
                <w:color w:val="000000"/>
                <w:sz w:val="24"/>
                <w:szCs w:val="24"/>
              </w:rPr>
              <w:t>139</w:t>
            </w:r>
          </w:p>
        </w:tc>
      </w:tr>
      <w:tr w:rsidR="00B40DAA" w:rsidRPr="00327DAE" w14:paraId="240A0D87" w14:textId="77777777" w:rsidTr="00B40DAA">
        <w:trPr>
          <w:trHeight w:val="300"/>
        </w:trPr>
        <w:tc>
          <w:tcPr>
            <w:tcW w:w="960" w:type="dxa"/>
            <w:shd w:val="clear" w:color="auto" w:fill="auto"/>
            <w:noWrap/>
            <w:vAlign w:val="bottom"/>
            <w:hideMark/>
          </w:tcPr>
          <w:p w14:paraId="59D92495" w14:textId="77777777" w:rsidR="00B40DAA" w:rsidRPr="00327DAE" w:rsidRDefault="00B40DAA" w:rsidP="0025317F">
            <w:pPr>
              <w:spacing w:after="120"/>
              <w:jc w:val="right"/>
              <w:rPr>
                <w:color w:val="000000"/>
                <w:sz w:val="24"/>
                <w:szCs w:val="24"/>
              </w:rPr>
            </w:pPr>
            <w:r w:rsidRPr="00327DAE">
              <w:rPr>
                <w:color w:val="000000"/>
                <w:sz w:val="24"/>
                <w:szCs w:val="24"/>
              </w:rPr>
              <w:t>2011</w:t>
            </w:r>
          </w:p>
        </w:tc>
        <w:tc>
          <w:tcPr>
            <w:tcW w:w="1729" w:type="dxa"/>
            <w:shd w:val="clear" w:color="auto" w:fill="auto"/>
            <w:vAlign w:val="bottom"/>
            <w:hideMark/>
          </w:tcPr>
          <w:p w14:paraId="7A5D4A5B"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67FA8A47" w14:textId="77777777" w:rsidR="00B40DAA" w:rsidRPr="00327DAE" w:rsidRDefault="00B40DAA" w:rsidP="0025317F">
            <w:pPr>
              <w:spacing w:after="120"/>
              <w:jc w:val="right"/>
              <w:rPr>
                <w:color w:val="000000"/>
                <w:sz w:val="24"/>
                <w:szCs w:val="24"/>
              </w:rPr>
            </w:pPr>
            <w:r w:rsidRPr="00327DAE">
              <w:rPr>
                <w:color w:val="000000"/>
                <w:sz w:val="24"/>
                <w:szCs w:val="24"/>
              </w:rPr>
              <w:t>118</w:t>
            </w:r>
          </w:p>
        </w:tc>
        <w:tc>
          <w:tcPr>
            <w:tcW w:w="1417" w:type="dxa"/>
            <w:shd w:val="clear" w:color="auto" w:fill="auto"/>
            <w:vAlign w:val="bottom"/>
            <w:hideMark/>
          </w:tcPr>
          <w:p w14:paraId="1197C480" w14:textId="77777777" w:rsidR="00B40DAA" w:rsidRPr="00327DAE" w:rsidRDefault="00B40DAA" w:rsidP="0025317F">
            <w:pPr>
              <w:spacing w:after="120"/>
              <w:jc w:val="right"/>
              <w:rPr>
                <w:color w:val="000000"/>
                <w:sz w:val="24"/>
                <w:szCs w:val="24"/>
              </w:rPr>
            </w:pPr>
            <w:r w:rsidRPr="00327DAE">
              <w:rPr>
                <w:color w:val="000000"/>
                <w:sz w:val="24"/>
                <w:szCs w:val="24"/>
              </w:rPr>
              <w:t>922</w:t>
            </w:r>
          </w:p>
        </w:tc>
        <w:tc>
          <w:tcPr>
            <w:tcW w:w="1276" w:type="dxa"/>
            <w:shd w:val="clear" w:color="auto" w:fill="auto"/>
            <w:vAlign w:val="bottom"/>
            <w:hideMark/>
          </w:tcPr>
          <w:p w14:paraId="065A1BE6" w14:textId="77777777" w:rsidR="00B40DAA" w:rsidRPr="00327DAE" w:rsidRDefault="00B40DAA" w:rsidP="0025317F">
            <w:pPr>
              <w:spacing w:after="120"/>
              <w:jc w:val="right"/>
              <w:rPr>
                <w:color w:val="000000"/>
                <w:sz w:val="24"/>
                <w:szCs w:val="24"/>
              </w:rPr>
            </w:pPr>
            <w:r w:rsidRPr="00327DAE">
              <w:rPr>
                <w:color w:val="000000"/>
                <w:sz w:val="24"/>
                <w:szCs w:val="24"/>
              </w:rPr>
              <w:t>921</w:t>
            </w:r>
          </w:p>
        </w:tc>
        <w:tc>
          <w:tcPr>
            <w:tcW w:w="1806" w:type="dxa"/>
            <w:shd w:val="clear" w:color="auto" w:fill="auto"/>
            <w:vAlign w:val="bottom"/>
            <w:hideMark/>
          </w:tcPr>
          <w:p w14:paraId="49ECFF46" w14:textId="77777777" w:rsidR="00B40DAA" w:rsidRPr="00327DAE" w:rsidRDefault="00B40DAA" w:rsidP="0025317F">
            <w:pPr>
              <w:spacing w:after="120"/>
              <w:jc w:val="right"/>
              <w:rPr>
                <w:color w:val="000000"/>
                <w:sz w:val="24"/>
                <w:szCs w:val="24"/>
              </w:rPr>
            </w:pPr>
            <w:r w:rsidRPr="00327DAE">
              <w:rPr>
                <w:color w:val="000000"/>
                <w:sz w:val="24"/>
                <w:szCs w:val="24"/>
              </w:rPr>
              <w:t>210</w:t>
            </w:r>
          </w:p>
        </w:tc>
      </w:tr>
      <w:tr w:rsidR="00B40DAA" w:rsidRPr="00327DAE" w14:paraId="6D39994D" w14:textId="77777777" w:rsidTr="00B40DAA">
        <w:trPr>
          <w:trHeight w:val="300"/>
        </w:trPr>
        <w:tc>
          <w:tcPr>
            <w:tcW w:w="960" w:type="dxa"/>
            <w:shd w:val="clear" w:color="auto" w:fill="auto"/>
            <w:noWrap/>
            <w:vAlign w:val="bottom"/>
            <w:hideMark/>
          </w:tcPr>
          <w:p w14:paraId="30B5B981" w14:textId="77777777" w:rsidR="00B40DAA" w:rsidRPr="00327DAE" w:rsidRDefault="00B40DAA" w:rsidP="0025317F">
            <w:pPr>
              <w:spacing w:after="120"/>
              <w:jc w:val="right"/>
              <w:rPr>
                <w:color w:val="000000"/>
                <w:sz w:val="24"/>
                <w:szCs w:val="24"/>
              </w:rPr>
            </w:pPr>
            <w:r w:rsidRPr="00327DAE">
              <w:rPr>
                <w:color w:val="000000"/>
                <w:sz w:val="24"/>
                <w:szCs w:val="24"/>
              </w:rPr>
              <w:t>2012</w:t>
            </w:r>
          </w:p>
        </w:tc>
        <w:tc>
          <w:tcPr>
            <w:tcW w:w="1729" w:type="dxa"/>
            <w:shd w:val="clear" w:color="auto" w:fill="auto"/>
            <w:vAlign w:val="bottom"/>
            <w:hideMark/>
          </w:tcPr>
          <w:p w14:paraId="469A4BF3"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28608B0F" w14:textId="77777777" w:rsidR="00B40DAA" w:rsidRPr="00327DAE" w:rsidRDefault="00B40DAA" w:rsidP="0025317F">
            <w:pPr>
              <w:spacing w:after="120"/>
              <w:jc w:val="right"/>
              <w:rPr>
                <w:color w:val="000000"/>
                <w:sz w:val="24"/>
                <w:szCs w:val="24"/>
              </w:rPr>
            </w:pPr>
            <w:r w:rsidRPr="00327DAE">
              <w:rPr>
                <w:color w:val="000000"/>
                <w:sz w:val="24"/>
                <w:szCs w:val="24"/>
              </w:rPr>
              <w:t>150</w:t>
            </w:r>
          </w:p>
        </w:tc>
        <w:tc>
          <w:tcPr>
            <w:tcW w:w="1417" w:type="dxa"/>
            <w:shd w:val="clear" w:color="auto" w:fill="auto"/>
            <w:vAlign w:val="bottom"/>
            <w:hideMark/>
          </w:tcPr>
          <w:p w14:paraId="1AC399DD" w14:textId="77777777" w:rsidR="00B40DAA" w:rsidRPr="00327DAE" w:rsidRDefault="00B40DAA" w:rsidP="0025317F">
            <w:pPr>
              <w:spacing w:after="120"/>
              <w:jc w:val="right"/>
              <w:rPr>
                <w:color w:val="000000"/>
                <w:sz w:val="24"/>
                <w:szCs w:val="24"/>
              </w:rPr>
            </w:pPr>
            <w:r w:rsidRPr="00327DAE">
              <w:rPr>
                <w:color w:val="000000"/>
                <w:sz w:val="24"/>
                <w:szCs w:val="24"/>
              </w:rPr>
              <w:t>995</w:t>
            </w:r>
          </w:p>
        </w:tc>
        <w:tc>
          <w:tcPr>
            <w:tcW w:w="1276" w:type="dxa"/>
            <w:shd w:val="clear" w:color="auto" w:fill="auto"/>
            <w:vAlign w:val="bottom"/>
            <w:hideMark/>
          </w:tcPr>
          <w:p w14:paraId="5CF27DD6" w14:textId="77777777" w:rsidR="00B40DAA" w:rsidRPr="00327DAE" w:rsidRDefault="00B40DAA" w:rsidP="0025317F">
            <w:pPr>
              <w:spacing w:after="120"/>
              <w:jc w:val="right"/>
              <w:rPr>
                <w:color w:val="000000"/>
                <w:sz w:val="24"/>
                <w:szCs w:val="24"/>
              </w:rPr>
            </w:pPr>
            <w:r w:rsidRPr="00327DAE">
              <w:rPr>
                <w:color w:val="000000"/>
                <w:sz w:val="24"/>
                <w:szCs w:val="24"/>
              </w:rPr>
              <w:t>1500</w:t>
            </w:r>
          </w:p>
        </w:tc>
        <w:tc>
          <w:tcPr>
            <w:tcW w:w="1806" w:type="dxa"/>
            <w:shd w:val="clear" w:color="auto" w:fill="auto"/>
            <w:vAlign w:val="bottom"/>
            <w:hideMark/>
          </w:tcPr>
          <w:p w14:paraId="5DD270AE" w14:textId="77777777" w:rsidR="00B40DAA" w:rsidRPr="00327DAE" w:rsidRDefault="00B40DAA" w:rsidP="0025317F">
            <w:pPr>
              <w:spacing w:after="120"/>
              <w:jc w:val="right"/>
              <w:rPr>
                <w:color w:val="000000"/>
                <w:sz w:val="24"/>
                <w:szCs w:val="24"/>
              </w:rPr>
            </w:pPr>
            <w:r w:rsidRPr="00327DAE">
              <w:rPr>
                <w:color w:val="000000"/>
                <w:sz w:val="24"/>
                <w:szCs w:val="24"/>
              </w:rPr>
              <w:t>204</w:t>
            </w:r>
          </w:p>
        </w:tc>
      </w:tr>
      <w:tr w:rsidR="00B40DAA" w:rsidRPr="00327DAE" w14:paraId="09914C52" w14:textId="77777777" w:rsidTr="00B40DAA">
        <w:trPr>
          <w:trHeight w:val="300"/>
        </w:trPr>
        <w:tc>
          <w:tcPr>
            <w:tcW w:w="960" w:type="dxa"/>
            <w:shd w:val="clear" w:color="auto" w:fill="auto"/>
            <w:noWrap/>
            <w:vAlign w:val="bottom"/>
            <w:hideMark/>
          </w:tcPr>
          <w:p w14:paraId="55BB13DC" w14:textId="77777777" w:rsidR="00B40DAA" w:rsidRPr="00327DAE" w:rsidRDefault="00B40DAA" w:rsidP="0025317F">
            <w:pPr>
              <w:spacing w:after="120"/>
              <w:jc w:val="right"/>
              <w:rPr>
                <w:color w:val="000000"/>
                <w:sz w:val="24"/>
                <w:szCs w:val="24"/>
              </w:rPr>
            </w:pPr>
            <w:r w:rsidRPr="00327DAE">
              <w:rPr>
                <w:color w:val="000000"/>
                <w:sz w:val="24"/>
                <w:szCs w:val="24"/>
              </w:rPr>
              <w:t>2013</w:t>
            </w:r>
          </w:p>
        </w:tc>
        <w:tc>
          <w:tcPr>
            <w:tcW w:w="1729" w:type="dxa"/>
            <w:shd w:val="clear" w:color="auto" w:fill="auto"/>
            <w:vAlign w:val="bottom"/>
            <w:hideMark/>
          </w:tcPr>
          <w:p w14:paraId="04F5C68D"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63CECAB7" w14:textId="77777777" w:rsidR="00B40DAA" w:rsidRPr="00327DAE" w:rsidRDefault="00B40DAA" w:rsidP="0025317F">
            <w:pPr>
              <w:spacing w:after="120"/>
              <w:jc w:val="right"/>
              <w:rPr>
                <w:color w:val="000000"/>
                <w:sz w:val="24"/>
                <w:szCs w:val="24"/>
              </w:rPr>
            </w:pPr>
            <w:r w:rsidRPr="00327DAE">
              <w:rPr>
                <w:color w:val="000000"/>
                <w:sz w:val="24"/>
                <w:szCs w:val="24"/>
              </w:rPr>
              <w:t>216</w:t>
            </w:r>
          </w:p>
        </w:tc>
        <w:tc>
          <w:tcPr>
            <w:tcW w:w="1417" w:type="dxa"/>
            <w:shd w:val="clear" w:color="auto" w:fill="auto"/>
            <w:vAlign w:val="bottom"/>
            <w:hideMark/>
          </w:tcPr>
          <w:p w14:paraId="0F43B0DD" w14:textId="77777777" w:rsidR="00B40DAA" w:rsidRPr="00327DAE" w:rsidRDefault="00B40DAA" w:rsidP="0025317F">
            <w:pPr>
              <w:spacing w:after="120"/>
              <w:jc w:val="right"/>
              <w:rPr>
                <w:color w:val="000000"/>
                <w:sz w:val="24"/>
                <w:szCs w:val="24"/>
              </w:rPr>
            </w:pPr>
            <w:r w:rsidRPr="00327DAE">
              <w:rPr>
                <w:color w:val="000000"/>
                <w:sz w:val="24"/>
                <w:szCs w:val="24"/>
              </w:rPr>
              <w:t>990</w:t>
            </w:r>
          </w:p>
        </w:tc>
        <w:tc>
          <w:tcPr>
            <w:tcW w:w="1276" w:type="dxa"/>
            <w:shd w:val="clear" w:color="auto" w:fill="auto"/>
            <w:vAlign w:val="bottom"/>
            <w:hideMark/>
          </w:tcPr>
          <w:p w14:paraId="32E4D4B8" w14:textId="77777777" w:rsidR="00B40DAA" w:rsidRPr="00327DAE" w:rsidRDefault="00B40DAA" w:rsidP="0025317F">
            <w:pPr>
              <w:spacing w:after="120"/>
              <w:jc w:val="right"/>
              <w:rPr>
                <w:color w:val="000000"/>
                <w:sz w:val="24"/>
                <w:szCs w:val="24"/>
              </w:rPr>
            </w:pPr>
            <w:r w:rsidRPr="00327DAE">
              <w:rPr>
                <w:color w:val="000000"/>
                <w:sz w:val="24"/>
                <w:szCs w:val="24"/>
              </w:rPr>
              <w:t>1813</w:t>
            </w:r>
          </w:p>
        </w:tc>
        <w:tc>
          <w:tcPr>
            <w:tcW w:w="1806" w:type="dxa"/>
            <w:shd w:val="clear" w:color="auto" w:fill="auto"/>
            <w:vAlign w:val="bottom"/>
            <w:hideMark/>
          </w:tcPr>
          <w:p w14:paraId="0FC166CC" w14:textId="77777777" w:rsidR="00B40DAA" w:rsidRPr="00327DAE" w:rsidRDefault="00B40DAA" w:rsidP="0025317F">
            <w:pPr>
              <w:spacing w:after="120"/>
              <w:jc w:val="right"/>
              <w:rPr>
                <w:color w:val="000000"/>
                <w:sz w:val="24"/>
                <w:szCs w:val="24"/>
              </w:rPr>
            </w:pPr>
            <w:r w:rsidRPr="00327DAE">
              <w:rPr>
                <w:color w:val="000000"/>
                <w:sz w:val="24"/>
                <w:szCs w:val="24"/>
              </w:rPr>
              <w:t>151</w:t>
            </w:r>
          </w:p>
        </w:tc>
      </w:tr>
      <w:tr w:rsidR="00B40DAA" w:rsidRPr="00327DAE" w14:paraId="5BB6CD2B" w14:textId="77777777" w:rsidTr="00B40DAA">
        <w:trPr>
          <w:trHeight w:val="300"/>
        </w:trPr>
        <w:tc>
          <w:tcPr>
            <w:tcW w:w="960" w:type="dxa"/>
            <w:shd w:val="clear" w:color="auto" w:fill="auto"/>
            <w:noWrap/>
            <w:vAlign w:val="bottom"/>
            <w:hideMark/>
          </w:tcPr>
          <w:p w14:paraId="26299FB6" w14:textId="77777777" w:rsidR="00B40DAA" w:rsidRPr="00327DAE" w:rsidRDefault="00B40DAA" w:rsidP="0025317F">
            <w:pPr>
              <w:spacing w:after="120"/>
              <w:jc w:val="right"/>
              <w:rPr>
                <w:color w:val="000000"/>
                <w:sz w:val="24"/>
                <w:szCs w:val="24"/>
              </w:rPr>
            </w:pPr>
            <w:r w:rsidRPr="00327DAE">
              <w:rPr>
                <w:color w:val="000000"/>
                <w:sz w:val="24"/>
                <w:szCs w:val="24"/>
              </w:rPr>
              <w:t>2014</w:t>
            </w:r>
          </w:p>
        </w:tc>
        <w:tc>
          <w:tcPr>
            <w:tcW w:w="1729" w:type="dxa"/>
            <w:shd w:val="clear" w:color="auto" w:fill="auto"/>
            <w:vAlign w:val="bottom"/>
            <w:hideMark/>
          </w:tcPr>
          <w:p w14:paraId="25E0CC41"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14:paraId="3C08A9DD" w14:textId="77777777" w:rsidR="00B40DAA" w:rsidRPr="00327DAE" w:rsidRDefault="00B40DAA" w:rsidP="0025317F">
            <w:pPr>
              <w:spacing w:after="120"/>
              <w:jc w:val="right"/>
              <w:rPr>
                <w:color w:val="000000"/>
                <w:sz w:val="24"/>
                <w:szCs w:val="24"/>
              </w:rPr>
            </w:pPr>
            <w:r w:rsidRPr="00327DAE">
              <w:rPr>
                <w:color w:val="000000"/>
                <w:sz w:val="24"/>
                <w:szCs w:val="24"/>
              </w:rPr>
              <w:t>263</w:t>
            </w:r>
          </w:p>
        </w:tc>
        <w:tc>
          <w:tcPr>
            <w:tcW w:w="1417" w:type="dxa"/>
            <w:shd w:val="clear" w:color="auto" w:fill="auto"/>
            <w:vAlign w:val="bottom"/>
            <w:hideMark/>
          </w:tcPr>
          <w:p w14:paraId="33694B5E" w14:textId="77777777" w:rsidR="00B40DAA" w:rsidRPr="00327DAE" w:rsidRDefault="00B40DAA" w:rsidP="0025317F">
            <w:pPr>
              <w:spacing w:after="120"/>
              <w:jc w:val="right"/>
              <w:rPr>
                <w:color w:val="000000"/>
                <w:sz w:val="24"/>
                <w:szCs w:val="24"/>
              </w:rPr>
            </w:pPr>
            <w:r w:rsidRPr="00327DAE">
              <w:rPr>
                <w:color w:val="000000"/>
                <w:sz w:val="24"/>
                <w:szCs w:val="24"/>
              </w:rPr>
              <w:t>1143</w:t>
            </w:r>
          </w:p>
        </w:tc>
        <w:tc>
          <w:tcPr>
            <w:tcW w:w="1276" w:type="dxa"/>
            <w:shd w:val="clear" w:color="auto" w:fill="auto"/>
            <w:vAlign w:val="bottom"/>
            <w:hideMark/>
          </w:tcPr>
          <w:p w14:paraId="697D24F2" w14:textId="77777777" w:rsidR="00B40DAA" w:rsidRPr="00327DAE" w:rsidRDefault="00B40DAA" w:rsidP="0025317F">
            <w:pPr>
              <w:spacing w:after="120"/>
              <w:jc w:val="right"/>
              <w:rPr>
                <w:color w:val="000000"/>
                <w:sz w:val="24"/>
                <w:szCs w:val="24"/>
              </w:rPr>
            </w:pPr>
            <w:r w:rsidRPr="00327DAE">
              <w:rPr>
                <w:color w:val="000000"/>
                <w:sz w:val="24"/>
                <w:szCs w:val="24"/>
              </w:rPr>
              <w:t>1489</w:t>
            </w:r>
          </w:p>
        </w:tc>
        <w:tc>
          <w:tcPr>
            <w:tcW w:w="1806" w:type="dxa"/>
            <w:shd w:val="clear" w:color="auto" w:fill="auto"/>
            <w:vAlign w:val="bottom"/>
            <w:hideMark/>
          </w:tcPr>
          <w:p w14:paraId="00FF42EA" w14:textId="77777777" w:rsidR="00B40DAA" w:rsidRPr="00327DAE" w:rsidRDefault="00B40DAA" w:rsidP="0025317F">
            <w:pPr>
              <w:spacing w:after="120"/>
              <w:jc w:val="right"/>
              <w:rPr>
                <w:color w:val="000000"/>
                <w:sz w:val="24"/>
                <w:szCs w:val="24"/>
              </w:rPr>
            </w:pPr>
            <w:r w:rsidRPr="00327DAE">
              <w:rPr>
                <w:color w:val="000000"/>
                <w:sz w:val="24"/>
                <w:szCs w:val="24"/>
              </w:rPr>
              <w:t>173</w:t>
            </w:r>
          </w:p>
        </w:tc>
      </w:tr>
      <w:tr w:rsidR="00B40DAA" w:rsidRPr="00327DAE" w14:paraId="1BD47332" w14:textId="77777777" w:rsidTr="00B40DAA">
        <w:trPr>
          <w:trHeight w:val="300"/>
        </w:trPr>
        <w:tc>
          <w:tcPr>
            <w:tcW w:w="960" w:type="dxa"/>
            <w:shd w:val="clear" w:color="auto" w:fill="auto"/>
            <w:noWrap/>
            <w:vAlign w:val="bottom"/>
            <w:hideMark/>
          </w:tcPr>
          <w:p w14:paraId="0EE9D360" w14:textId="77777777" w:rsidR="00B40DAA" w:rsidRPr="00327DAE" w:rsidRDefault="00B40DAA" w:rsidP="0025317F">
            <w:pPr>
              <w:spacing w:after="120"/>
              <w:rPr>
                <w:color w:val="000000"/>
                <w:sz w:val="24"/>
                <w:szCs w:val="24"/>
              </w:rPr>
            </w:pPr>
            <w:r w:rsidRPr="00327DAE">
              <w:rPr>
                <w:color w:val="000000"/>
                <w:sz w:val="24"/>
                <w:szCs w:val="24"/>
              </w:rPr>
              <w:t>kopā</w:t>
            </w:r>
          </w:p>
        </w:tc>
        <w:tc>
          <w:tcPr>
            <w:tcW w:w="1729" w:type="dxa"/>
            <w:shd w:val="clear" w:color="auto" w:fill="auto"/>
            <w:noWrap/>
            <w:vAlign w:val="bottom"/>
            <w:hideMark/>
          </w:tcPr>
          <w:p w14:paraId="3B5EC645"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noWrap/>
            <w:vAlign w:val="bottom"/>
            <w:hideMark/>
          </w:tcPr>
          <w:p w14:paraId="3DE907FA" w14:textId="77777777" w:rsidR="00B40DAA" w:rsidRPr="00327DAE" w:rsidRDefault="00B40DAA" w:rsidP="0025317F">
            <w:pPr>
              <w:spacing w:after="120"/>
              <w:jc w:val="right"/>
              <w:rPr>
                <w:color w:val="000000"/>
                <w:sz w:val="24"/>
                <w:szCs w:val="24"/>
              </w:rPr>
            </w:pPr>
            <w:r w:rsidRPr="00327DAE">
              <w:rPr>
                <w:color w:val="000000"/>
                <w:sz w:val="24"/>
                <w:szCs w:val="24"/>
              </w:rPr>
              <w:t>1062</w:t>
            </w:r>
          </w:p>
        </w:tc>
        <w:tc>
          <w:tcPr>
            <w:tcW w:w="1417" w:type="dxa"/>
            <w:shd w:val="clear" w:color="auto" w:fill="auto"/>
            <w:noWrap/>
            <w:vAlign w:val="bottom"/>
            <w:hideMark/>
          </w:tcPr>
          <w:p w14:paraId="2FE3E387" w14:textId="77777777" w:rsidR="00B40DAA" w:rsidRPr="00327DAE" w:rsidRDefault="00B40DAA" w:rsidP="0025317F">
            <w:pPr>
              <w:spacing w:after="120"/>
              <w:jc w:val="right"/>
              <w:rPr>
                <w:color w:val="000000"/>
                <w:sz w:val="24"/>
                <w:szCs w:val="24"/>
              </w:rPr>
            </w:pPr>
            <w:r w:rsidRPr="00327DAE">
              <w:rPr>
                <w:color w:val="000000"/>
                <w:sz w:val="24"/>
                <w:szCs w:val="24"/>
              </w:rPr>
              <w:t>10930</w:t>
            </w:r>
          </w:p>
        </w:tc>
        <w:tc>
          <w:tcPr>
            <w:tcW w:w="1276" w:type="dxa"/>
            <w:shd w:val="clear" w:color="auto" w:fill="auto"/>
            <w:noWrap/>
            <w:vAlign w:val="bottom"/>
            <w:hideMark/>
          </w:tcPr>
          <w:p w14:paraId="549C867C" w14:textId="77777777" w:rsidR="00B40DAA" w:rsidRPr="00327DAE" w:rsidRDefault="00B40DAA" w:rsidP="0025317F">
            <w:pPr>
              <w:spacing w:after="120"/>
              <w:jc w:val="right"/>
              <w:rPr>
                <w:color w:val="000000"/>
                <w:sz w:val="24"/>
                <w:szCs w:val="24"/>
              </w:rPr>
            </w:pPr>
            <w:r w:rsidRPr="00327DAE">
              <w:rPr>
                <w:color w:val="000000"/>
                <w:sz w:val="24"/>
                <w:szCs w:val="24"/>
              </w:rPr>
              <w:t>6195</w:t>
            </w:r>
          </w:p>
        </w:tc>
        <w:tc>
          <w:tcPr>
            <w:tcW w:w="1806" w:type="dxa"/>
            <w:shd w:val="clear" w:color="auto" w:fill="auto"/>
            <w:noWrap/>
            <w:vAlign w:val="bottom"/>
            <w:hideMark/>
          </w:tcPr>
          <w:p w14:paraId="13E03816" w14:textId="77777777" w:rsidR="00B40DAA" w:rsidRPr="00327DAE" w:rsidRDefault="00B40DAA" w:rsidP="0025317F">
            <w:pPr>
              <w:spacing w:after="120"/>
              <w:jc w:val="right"/>
              <w:rPr>
                <w:color w:val="000000"/>
                <w:sz w:val="24"/>
                <w:szCs w:val="24"/>
              </w:rPr>
            </w:pPr>
            <w:r w:rsidRPr="00327DAE">
              <w:rPr>
                <w:color w:val="000000"/>
                <w:sz w:val="24"/>
                <w:szCs w:val="24"/>
              </w:rPr>
              <w:t>1064</w:t>
            </w:r>
          </w:p>
        </w:tc>
      </w:tr>
    </w:tbl>
    <w:p w14:paraId="4053F86A" w14:textId="77777777" w:rsidR="00B40DAA" w:rsidRPr="00327DAE" w:rsidRDefault="00B40DAA" w:rsidP="0025317F">
      <w:pPr>
        <w:spacing w:after="120"/>
        <w:rPr>
          <w:sz w:val="24"/>
          <w:szCs w:val="24"/>
        </w:rPr>
      </w:pPr>
    </w:p>
    <w:p w14:paraId="706DDDA3" w14:textId="77777777" w:rsidR="00B40DAA" w:rsidRPr="00327DAE" w:rsidRDefault="00B40DAA" w:rsidP="0025317F">
      <w:pPr>
        <w:pStyle w:val="Heading4"/>
        <w:rPr>
          <w:rFonts w:cs="Times New Roman"/>
          <w:szCs w:val="24"/>
        </w:rPr>
      </w:pPr>
      <w:bookmarkStart w:id="61" w:name="_Toc522527533"/>
      <w:r w:rsidRPr="00327DAE">
        <w:rPr>
          <w:rFonts w:cs="Times New Roman"/>
          <w:szCs w:val="24"/>
        </w:rPr>
        <w:t>Izlemto (pabeigto) lietu skaits</w:t>
      </w:r>
      <w:r w:rsidRPr="00327DAE">
        <w:rPr>
          <w:rStyle w:val="FootnoteReference"/>
          <w:rFonts w:cs="Times New Roman"/>
          <w:szCs w:val="24"/>
        </w:rPr>
        <w:footnoteReference w:id="40"/>
      </w:r>
      <w:bookmarkEnd w:id="61"/>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16"/>
        <w:gridCol w:w="993"/>
        <w:gridCol w:w="1616"/>
        <w:gridCol w:w="1616"/>
        <w:gridCol w:w="1381"/>
      </w:tblGrid>
      <w:tr w:rsidR="00B40DAA" w:rsidRPr="00327DAE" w14:paraId="515E57FC" w14:textId="77777777" w:rsidTr="00B40DAA">
        <w:trPr>
          <w:trHeight w:val="833"/>
        </w:trPr>
        <w:tc>
          <w:tcPr>
            <w:tcW w:w="960" w:type="dxa"/>
            <w:shd w:val="clear" w:color="auto" w:fill="auto"/>
            <w:vAlign w:val="bottom"/>
            <w:hideMark/>
          </w:tcPr>
          <w:p w14:paraId="41DC9BF8" w14:textId="77777777" w:rsidR="00B40DAA" w:rsidRPr="00327DAE" w:rsidRDefault="00B40DAA" w:rsidP="0025317F">
            <w:pPr>
              <w:spacing w:after="120"/>
              <w:rPr>
                <w:sz w:val="24"/>
                <w:szCs w:val="24"/>
              </w:rPr>
            </w:pPr>
          </w:p>
        </w:tc>
        <w:tc>
          <w:tcPr>
            <w:tcW w:w="1303" w:type="dxa"/>
            <w:shd w:val="clear" w:color="auto" w:fill="auto"/>
            <w:vAlign w:val="bottom"/>
            <w:hideMark/>
          </w:tcPr>
          <w:p w14:paraId="47584658" w14:textId="77777777" w:rsidR="00B40DAA" w:rsidRPr="00327DAE" w:rsidRDefault="00B40DAA" w:rsidP="0025317F">
            <w:pPr>
              <w:spacing w:after="120"/>
              <w:rPr>
                <w:color w:val="000000"/>
                <w:sz w:val="24"/>
                <w:szCs w:val="24"/>
              </w:rPr>
            </w:pPr>
            <w:r w:rsidRPr="00327DAE">
              <w:rPr>
                <w:color w:val="000000"/>
                <w:sz w:val="24"/>
                <w:szCs w:val="24"/>
              </w:rPr>
              <w:t xml:space="preserve">uzņēmumu </w:t>
            </w:r>
            <w:r w:rsidRPr="00327DAE">
              <w:rPr>
                <w:sz w:val="24"/>
                <w:szCs w:val="24"/>
              </w:rPr>
              <w:t>maksātnespēja</w:t>
            </w:r>
          </w:p>
        </w:tc>
        <w:tc>
          <w:tcPr>
            <w:tcW w:w="993" w:type="dxa"/>
            <w:shd w:val="clear" w:color="auto" w:fill="auto"/>
            <w:vAlign w:val="bottom"/>
            <w:hideMark/>
          </w:tcPr>
          <w:p w14:paraId="208F823A" w14:textId="77777777" w:rsidR="00B40DAA" w:rsidRPr="00327DAE" w:rsidRDefault="00B40DAA" w:rsidP="0025317F">
            <w:pPr>
              <w:spacing w:after="120"/>
              <w:rPr>
                <w:color w:val="000000"/>
                <w:sz w:val="24"/>
                <w:szCs w:val="24"/>
              </w:rPr>
            </w:pPr>
            <w:r w:rsidRPr="00327DAE">
              <w:rPr>
                <w:color w:val="000000"/>
                <w:sz w:val="24"/>
                <w:szCs w:val="24"/>
              </w:rPr>
              <w:t>TAP</w:t>
            </w:r>
          </w:p>
        </w:tc>
        <w:tc>
          <w:tcPr>
            <w:tcW w:w="1842" w:type="dxa"/>
            <w:shd w:val="clear" w:color="auto" w:fill="auto"/>
            <w:vAlign w:val="bottom"/>
            <w:hideMark/>
          </w:tcPr>
          <w:p w14:paraId="3C839FE5" w14:textId="77777777" w:rsidR="00B40DAA" w:rsidRPr="00327DAE" w:rsidRDefault="00B40DAA" w:rsidP="0025317F">
            <w:pPr>
              <w:spacing w:after="120"/>
              <w:rPr>
                <w:color w:val="000000"/>
                <w:sz w:val="24"/>
                <w:szCs w:val="24"/>
              </w:rPr>
            </w:pPr>
            <w:r w:rsidRPr="00327DAE">
              <w:rPr>
                <w:color w:val="000000"/>
                <w:sz w:val="24"/>
                <w:szCs w:val="24"/>
              </w:rPr>
              <w:t xml:space="preserve">juridisku personu </w:t>
            </w:r>
            <w:r w:rsidRPr="00327DAE">
              <w:rPr>
                <w:sz w:val="24"/>
                <w:szCs w:val="24"/>
              </w:rPr>
              <w:t>maksātnespēja</w:t>
            </w:r>
          </w:p>
        </w:tc>
        <w:tc>
          <w:tcPr>
            <w:tcW w:w="1701" w:type="dxa"/>
            <w:shd w:val="clear" w:color="auto" w:fill="auto"/>
            <w:vAlign w:val="bottom"/>
            <w:hideMark/>
          </w:tcPr>
          <w:p w14:paraId="2099F035" w14:textId="77777777" w:rsidR="00B40DAA" w:rsidRPr="00327DAE" w:rsidRDefault="00B40DAA" w:rsidP="0025317F">
            <w:pPr>
              <w:spacing w:after="120"/>
              <w:rPr>
                <w:color w:val="000000"/>
                <w:sz w:val="24"/>
                <w:szCs w:val="24"/>
              </w:rPr>
            </w:pPr>
            <w:r w:rsidRPr="00327DAE">
              <w:rPr>
                <w:color w:val="000000"/>
                <w:sz w:val="24"/>
                <w:szCs w:val="24"/>
              </w:rPr>
              <w:t xml:space="preserve">fizisku personu </w:t>
            </w:r>
            <w:r w:rsidRPr="00327DAE">
              <w:rPr>
                <w:sz w:val="24"/>
                <w:szCs w:val="24"/>
              </w:rPr>
              <w:t>maksātnespēja</w:t>
            </w:r>
          </w:p>
        </w:tc>
        <w:tc>
          <w:tcPr>
            <w:tcW w:w="1381" w:type="dxa"/>
            <w:shd w:val="clear" w:color="auto" w:fill="auto"/>
            <w:vAlign w:val="bottom"/>
            <w:hideMark/>
          </w:tcPr>
          <w:p w14:paraId="4CA0D6D4" w14:textId="77777777" w:rsidR="00B40DAA" w:rsidRPr="00327DAE" w:rsidRDefault="00B40DAA" w:rsidP="0025317F">
            <w:pPr>
              <w:spacing w:after="120"/>
              <w:rPr>
                <w:color w:val="000000"/>
                <w:sz w:val="24"/>
                <w:szCs w:val="24"/>
              </w:rPr>
            </w:pPr>
            <w:r w:rsidRPr="00327DAE">
              <w:rPr>
                <w:color w:val="000000"/>
                <w:sz w:val="24"/>
                <w:szCs w:val="24"/>
              </w:rPr>
              <w:t>sūdzības par kreditoru sapulces lēmumiem</w:t>
            </w:r>
          </w:p>
        </w:tc>
      </w:tr>
      <w:tr w:rsidR="00B40DAA" w:rsidRPr="00327DAE" w14:paraId="1A26C893" w14:textId="77777777" w:rsidTr="00B40DAA">
        <w:trPr>
          <w:trHeight w:val="300"/>
        </w:trPr>
        <w:tc>
          <w:tcPr>
            <w:tcW w:w="960" w:type="dxa"/>
            <w:shd w:val="clear" w:color="auto" w:fill="auto"/>
            <w:noWrap/>
            <w:vAlign w:val="bottom"/>
            <w:hideMark/>
          </w:tcPr>
          <w:p w14:paraId="2B6237A3" w14:textId="77777777" w:rsidR="00B40DAA" w:rsidRPr="00327DAE" w:rsidRDefault="00B40DAA" w:rsidP="0025317F">
            <w:pPr>
              <w:spacing w:after="120"/>
              <w:jc w:val="right"/>
              <w:rPr>
                <w:color w:val="000000"/>
                <w:sz w:val="24"/>
                <w:szCs w:val="24"/>
              </w:rPr>
            </w:pPr>
            <w:r w:rsidRPr="00327DAE">
              <w:rPr>
                <w:color w:val="000000"/>
                <w:sz w:val="24"/>
                <w:szCs w:val="24"/>
              </w:rPr>
              <w:t>2007</w:t>
            </w:r>
          </w:p>
        </w:tc>
        <w:tc>
          <w:tcPr>
            <w:tcW w:w="1303" w:type="dxa"/>
            <w:shd w:val="clear" w:color="auto" w:fill="auto"/>
            <w:vAlign w:val="bottom"/>
            <w:hideMark/>
          </w:tcPr>
          <w:p w14:paraId="71FD40ED" w14:textId="77777777" w:rsidR="00B40DAA" w:rsidRPr="00327DAE" w:rsidRDefault="00B40DAA" w:rsidP="0025317F">
            <w:pPr>
              <w:spacing w:after="120"/>
              <w:jc w:val="right"/>
              <w:rPr>
                <w:color w:val="000000"/>
                <w:sz w:val="24"/>
                <w:szCs w:val="24"/>
              </w:rPr>
            </w:pPr>
            <w:r w:rsidRPr="00327DAE">
              <w:rPr>
                <w:color w:val="000000"/>
                <w:sz w:val="24"/>
                <w:szCs w:val="24"/>
              </w:rPr>
              <w:t>1404</w:t>
            </w:r>
          </w:p>
        </w:tc>
        <w:tc>
          <w:tcPr>
            <w:tcW w:w="993" w:type="dxa"/>
            <w:shd w:val="clear" w:color="auto" w:fill="auto"/>
            <w:vAlign w:val="bottom"/>
            <w:hideMark/>
          </w:tcPr>
          <w:p w14:paraId="1BB0C6B3"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1842" w:type="dxa"/>
            <w:shd w:val="clear" w:color="auto" w:fill="auto"/>
            <w:vAlign w:val="bottom"/>
            <w:hideMark/>
          </w:tcPr>
          <w:p w14:paraId="67C38B94"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1701" w:type="dxa"/>
            <w:shd w:val="clear" w:color="auto" w:fill="auto"/>
            <w:vAlign w:val="bottom"/>
            <w:hideMark/>
          </w:tcPr>
          <w:p w14:paraId="53CEA2B4"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1381" w:type="dxa"/>
            <w:shd w:val="clear" w:color="auto" w:fill="auto"/>
            <w:vAlign w:val="bottom"/>
            <w:hideMark/>
          </w:tcPr>
          <w:p w14:paraId="3944A97C" w14:textId="77777777" w:rsidR="00B40DAA" w:rsidRPr="00327DAE" w:rsidRDefault="00B40DAA" w:rsidP="0025317F">
            <w:pPr>
              <w:spacing w:after="120"/>
              <w:jc w:val="right"/>
              <w:rPr>
                <w:color w:val="000000"/>
                <w:sz w:val="24"/>
                <w:szCs w:val="24"/>
              </w:rPr>
            </w:pPr>
            <w:r w:rsidRPr="00327DAE">
              <w:rPr>
                <w:color w:val="000000"/>
                <w:sz w:val="24"/>
                <w:szCs w:val="24"/>
              </w:rPr>
              <w:t>36</w:t>
            </w:r>
          </w:p>
        </w:tc>
      </w:tr>
      <w:tr w:rsidR="00B40DAA" w:rsidRPr="00327DAE" w14:paraId="316AB7E3" w14:textId="77777777" w:rsidTr="00B40DAA">
        <w:trPr>
          <w:trHeight w:val="300"/>
        </w:trPr>
        <w:tc>
          <w:tcPr>
            <w:tcW w:w="960" w:type="dxa"/>
            <w:shd w:val="clear" w:color="auto" w:fill="auto"/>
            <w:noWrap/>
            <w:vAlign w:val="bottom"/>
            <w:hideMark/>
          </w:tcPr>
          <w:p w14:paraId="5CE970AA" w14:textId="77777777" w:rsidR="00B40DAA" w:rsidRPr="00327DAE" w:rsidRDefault="00B40DAA" w:rsidP="0025317F">
            <w:pPr>
              <w:spacing w:after="120"/>
              <w:jc w:val="right"/>
              <w:rPr>
                <w:color w:val="000000"/>
                <w:sz w:val="24"/>
                <w:szCs w:val="24"/>
              </w:rPr>
            </w:pPr>
            <w:r w:rsidRPr="00327DAE">
              <w:rPr>
                <w:color w:val="000000"/>
                <w:sz w:val="24"/>
                <w:szCs w:val="24"/>
              </w:rPr>
              <w:t>2008</w:t>
            </w:r>
          </w:p>
        </w:tc>
        <w:tc>
          <w:tcPr>
            <w:tcW w:w="1303" w:type="dxa"/>
            <w:shd w:val="clear" w:color="auto" w:fill="auto"/>
            <w:vAlign w:val="bottom"/>
            <w:hideMark/>
          </w:tcPr>
          <w:p w14:paraId="02940B9E" w14:textId="77777777" w:rsidR="00B40DAA" w:rsidRPr="00327DAE" w:rsidRDefault="00B40DAA" w:rsidP="0025317F">
            <w:pPr>
              <w:spacing w:after="120"/>
              <w:jc w:val="right"/>
              <w:rPr>
                <w:color w:val="000000"/>
                <w:sz w:val="24"/>
                <w:szCs w:val="24"/>
              </w:rPr>
            </w:pPr>
            <w:r w:rsidRPr="00327DAE">
              <w:rPr>
                <w:color w:val="000000"/>
                <w:sz w:val="24"/>
                <w:szCs w:val="24"/>
              </w:rPr>
              <w:t>1076</w:t>
            </w:r>
          </w:p>
        </w:tc>
        <w:tc>
          <w:tcPr>
            <w:tcW w:w="993" w:type="dxa"/>
            <w:shd w:val="clear" w:color="auto" w:fill="auto"/>
            <w:vAlign w:val="bottom"/>
            <w:hideMark/>
          </w:tcPr>
          <w:p w14:paraId="048E686C" w14:textId="77777777" w:rsidR="00B40DAA" w:rsidRPr="00327DAE" w:rsidRDefault="00B40DAA" w:rsidP="0025317F">
            <w:pPr>
              <w:spacing w:after="120"/>
              <w:jc w:val="right"/>
              <w:rPr>
                <w:color w:val="000000"/>
                <w:sz w:val="24"/>
                <w:szCs w:val="24"/>
              </w:rPr>
            </w:pPr>
            <w:r w:rsidRPr="00327DAE">
              <w:rPr>
                <w:color w:val="000000"/>
                <w:sz w:val="24"/>
                <w:szCs w:val="24"/>
              </w:rPr>
              <w:t>5</w:t>
            </w:r>
          </w:p>
        </w:tc>
        <w:tc>
          <w:tcPr>
            <w:tcW w:w="1842" w:type="dxa"/>
            <w:shd w:val="clear" w:color="auto" w:fill="auto"/>
            <w:vAlign w:val="bottom"/>
            <w:hideMark/>
          </w:tcPr>
          <w:p w14:paraId="6648974E" w14:textId="77777777" w:rsidR="00B40DAA" w:rsidRPr="00327DAE" w:rsidRDefault="00B40DAA" w:rsidP="0025317F">
            <w:pPr>
              <w:spacing w:after="120"/>
              <w:jc w:val="right"/>
              <w:rPr>
                <w:color w:val="000000"/>
                <w:sz w:val="24"/>
                <w:szCs w:val="24"/>
              </w:rPr>
            </w:pPr>
            <w:r w:rsidRPr="00327DAE">
              <w:rPr>
                <w:color w:val="000000"/>
                <w:sz w:val="24"/>
                <w:szCs w:val="24"/>
              </w:rPr>
              <w:t>415</w:t>
            </w:r>
          </w:p>
        </w:tc>
        <w:tc>
          <w:tcPr>
            <w:tcW w:w="1701" w:type="dxa"/>
            <w:shd w:val="clear" w:color="auto" w:fill="auto"/>
            <w:vAlign w:val="bottom"/>
            <w:hideMark/>
          </w:tcPr>
          <w:p w14:paraId="09E17248" w14:textId="77777777" w:rsidR="00B40DAA" w:rsidRPr="00327DAE" w:rsidRDefault="00B40DAA" w:rsidP="0025317F">
            <w:pPr>
              <w:spacing w:after="120"/>
              <w:jc w:val="right"/>
              <w:rPr>
                <w:color w:val="000000"/>
                <w:sz w:val="24"/>
                <w:szCs w:val="24"/>
              </w:rPr>
            </w:pPr>
            <w:r w:rsidRPr="00327DAE">
              <w:rPr>
                <w:color w:val="000000"/>
                <w:sz w:val="24"/>
                <w:szCs w:val="24"/>
              </w:rPr>
              <w:t>2</w:t>
            </w:r>
          </w:p>
        </w:tc>
        <w:tc>
          <w:tcPr>
            <w:tcW w:w="1381" w:type="dxa"/>
            <w:shd w:val="clear" w:color="auto" w:fill="auto"/>
            <w:vAlign w:val="bottom"/>
            <w:hideMark/>
          </w:tcPr>
          <w:p w14:paraId="28E9EE61" w14:textId="77777777" w:rsidR="00B40DAA" w:rsidRPr="00327DAE" w:rsidRDefault="00B40DAA" w:rsidP="0025317F">
            <w:pPr>
              <w:spacing w:after="120"/>
              <w:jc w:val="right"/>
              <w:rPr>
                <w:color w:val="000000"/>
                <w:sz w:val="24"/>
                <w:szCs w:val="24"/>
              </w:rPr>
            </w:pPr>
            <w:r w:rsidRPr="00327DAE">
              <w:rPr>
                <w:color w:val="000000"/>
                <w:sz w:val="24"/>
                <w:szCs w:val="24"/>
              </w:rPr>
              <w:t>27</w:t>
            </w:r>
          </w:p>
        </w:tc>
      </w:tr>
      <w:tr w:rsidR="00B40DAA" w:rsidRPr="00327DAE" w14:paraId="3A90EB43" w14:textId="77777777" w:rsidTr="00B40DAA">
        <w:trPr>
          <w:trHeight w:val="300"/>
        </w:trPr>
        <w:tc>
          <w:tcPr>
            <w:tcW w:w="960" w:type="dxa"/>
            <w:shd w:val="clear" w:color="auto" w:fill="auto"/>
            <w:noWrap/>
            <w:vAlign w:val="bottom"/>
            <w:hideMark/>
          </w:tcPr>
          <w:p w14:paraId="661D3F3A" w14:textId="77777777" w:rsidR="00B40DAA" w:rsidRPr="00327DAE" w:rsidRDefault="00B40DAA" w:rsidP="0025317F">
            <w:pPr>
              <w:spacing w:after="120"/>
              <w:jc w:val="right"/>
              <w:rPr>
                <w:color w:val="000000"/>
                <w:sz w:val="24"/>
                <w:szCs w:val="24"/>
              </w:rPr>
            </w:pPr>
            <w:r w:rsidRPr="00327DAE">
              <w:rPr>
                <w:color w:val="000000"/>
                <w:sz w:val="24"/>
                <w:szCs w:val="24"/>
              </w:rPr>
              <w:t>2009</w:t>
            </w:r>
          </w:p>
        </w:tc>
        <w:tc>
          <w:tcPr>
            <w:tcW w:w="1303" w:type="dxa"/>
            <w:shd w:val="clear" w:color="auto" w:fill="auto"/>
            <w:vAlign w:val="bottom"/>
            <w:hideMark/>
          </w:tcPr>
          <w:p w14:paraId="0B0F8404" w14:textId="77777777" w:rsidR="00B40DAA" w:rsidRPr="00327DAE" w:rsidRDefault="00B40DAA" w:rsidP="0025317F">
            <w:pPr>
              <w:spacing w:after="120"/>
              <w:jc w:val="right"/>
              <w:rPr>
                <w:color w:val="000000"/>
                <w:sz w:val="24"/>
                <w:szCs w:val="24"/>
              </w:rPr>
            </w:pPr>
            <w:r w:rsidRPr="00327DAE">
              <w:rPr>
                <w:color w:val="000000"/>
                <w:sz w:val="24"/>
                <w:szCs w:val="24"/>
              </w:rPr>
              <w:t>447</w:t>
            </w:r>
          </w:p>
        </w:tc>
        <w:tc>
          <w:tcPr>
            <w:tcW w:w="993" w:type="dxa"/>
            <w:shd w:val="clear" w:color="auto" w:fill="auto"/>
            <w:vAlign w:val="bottom"/>
            <w:hideMark/>
          </w:tcPr>
          <w:p w14:paraId="6D484F2A" w14:textId="77777777" w:rsidR="00B40DAA" w:rsidRPr="00327DAE" w:rsidRDefault="00B40DAA" w:rsidP="0025317F">
            <w:pPr>
              <w:spacing w:after="120"/>
              <w:jc w:val="right"/>
              <w:rPr>
                <w:color w:val="000000"/>
                <w:sz w:val="24"/>
                <w:szCs w:val="24"/>
              </w:rPr>
            </w:pPr>
            <w:r w:rsidRPr="00327DAE">
              <w:rPr>
                <w:color w:val="000000"/>
                <w:sz w:val="24"/>
                <w:szCs w:val="24"/>
              </w:rPr>
              <w:t>40</w:t>
            </w:r>
          </w:p>
        </w:tc>
        <w:tc>
          <w:tcPr>
            <w:tcW w:w="1842" w:type="dxa"/>
            <w:shd w:val="clear" w:color="auto" w:fill="auto"/>
            <w:vAlign w:val="bottom"/>
            <w:hideMark/>
          </w:tcPr>
          <w:p w14:paraId="0A11E391" w14:textId="77777777" w:rsidR="00B40DAA" w:rsidRPr="00327DAE" w:rsidRDefault="00B40DAA" w:rsidP="0025317F">
            <w:pPr>
              <w:spacing w:after="120"/>
              <w:jc w:val="right"/>
              <w:rPr>
                <w:color w:val="000000"/>
                <w:sz w:val="24"/>
                <w:szCs w:val="24"/>
              </w:rPr>
            </w:pPr>
            <w:r w:rsidRPr="00327DAE">
              <w:rPr>
                <w:color w:val="000000"/>
                <w:sz w:val="24"/>
                <w:szCs w:val="24"/>
              </w:rPr>
              <w:t>1236</w:t>
            </w:r>
          </w:p>
        </w:tc>
        <w:tc>
          <w:tcPr>
            <w:tcW w:w="1701" w:type="dxa"/>
            <w:shd w:val="clear" w:color="auto" w:fill="auto"/>
            <w:vAlign w:val="bottom"/>
            <w:hideMark/>
          </w:tcPr>
          <w:p w14:paraId="6B53D4F7" w14:textId="77777777" w:rsidR="00B40DAA" w:rsidRPr="00327DAE" w:rsidRDefault="00B40DAA" w:rsidP="0025317F">
            <w:pPr>
              <w:spacing w:after="120"/>
              <w:jc w:val="right"/>
              <w:rPr>
                <w:color w:val="000000"/>
                <w:sz w:val="24"/>
                <w:szCs w:val="24"/>
              </w:rPr>
            </w:pPr>
            <w:r w:rsidRPr="00327DAE">
              <w:rPr>
                <w:color w:val="000000"/>
                <w:sz w:val="24"/>
                <w:szCs w:val="24"/>
              </w:rPr>
              <w:t>68</w:t>
            </w:r>
          </w:p>
        </w:tc>
        <w:tc>
          <w:tcPr>
            <w:tcW w:w="1381" w:type="dxa"/>
            <w:shd w:val="clear" w:color="auto" w:fill="auto"/>
            <w:vAlign w:val="bottom"/>
            <w:hideMark/>
          </w:tcPr>
          <w:p w14:paraId="0A1DF6C7" w14:textId="77777777" w:rsidR="00B40DAA" w:rsidRPr="00327DAE" w:rsidRDefault="00B40DAA" w:rsidP="0025317F">
            <w:pPr>
              <w:spacing w:after="120"/>
              <w:jc w:val="right"/>
              <w:rPr>
                <w:color w:val="000000"/>
                <w:sz w:val="24"/>
                <w:szCs w:val="24"/>
              </w:rPr>
            </w:pPr>
            <w:r w:rsidRPr="00327DAE">
              <w:rPr>
                <w:color w:val="000000"/>
                <w:sz w:val="24"/>
                <w:szCs w:val="24"/>
              </w:rPr>
              <w:t>124</w:t>
            </w:r>
          </w:p>
        </w:tc>
      </w:tr>
      <w:tr w:rsidR="00B40DAA" w:rsidRPr="00327DAE" w14:paraId="0E029DC5" w14:textId="77777777" w:rsidTr="00B40DAA">
        <w:trPr>
          <w:trHeight w:val="300"/>
        </w:trPr>
        <w:tc>
          <w:tcPr>
            <w:tcW w:w="960" w:type="dxa"/>
            <w:shd w:val="clear" w:color="auto" w:fill="auto"/>
            <w:noWrap/>
            <w:vAlign w:val="bottom"/>
            <w:hideMark/>
          </w:tcPr>
          <w:p w14:paraId="649E414E" w14:textId="77777777" w:rsidR="00B40DAA" w:rsidRPr="00327DAE" w:rsidRDefault="00B40DAA" w:rsidP="0025317F">
            <w:pPr>
              <w:spacing w:after="120"/>
              <w:jc w:val="right"/>
              <w:rPr>
                <w:color w:val="000000"/>
                <w:sz w:val="24"/>
                <w:szCs w:val="24"/>
              </w:rPr>
            </w:pPr>
            <w:r w:rsidRPr="00327DAE">
              <w:rPr>
                <w:color w:val="000000"/>
                <w:sz w:val="24"/>
                <w:szCs w:val="24"/>
              </w:rPr>
              <w:t>2010</w:t>
            </w:r>
          </w:p>
        </w:tc>
        <w:tc>
          <w:tcPr>
            <w:tcW w:w="1303" w:type="dxa"/>
            <w:shd w:val="clear" w:color="auto" w:fill="auto"/>
            <w:vAlign w:val="bottom"/>
            <w:hideMark/>
          </w:tcPr>
          <w:p w14:paraId="263C309E" w14:textId="77777777" w:rsidR="00B40DAA" w:rsidRPr="00327DAE" w:rsidRDefault="00B40DAA" w:rsidP="0025317F">
            <w:pPr>
              <w:spacing w:after="120"/>
              <w:jc w:val="right"/>
              <w:rPr>
                <w:color w:val="000000"/>
                <w:sz w:val="24"/>
                <w:szCs w:val="24"/>
              </w:rPr>
            </w:pPr>
            <w:r w:rsidRPr="00327DAE">
              <w:rPr>
                <w:color w:val="000000"/>
                <w:sz w:val="24"/>
                <w:szCs w:val="24"/>
              </w:rPr>
              <w:t>226</w:t>
            </w:r>
          </w:p>
        </w:tc>
        <w:tc>
          <w:tcPr>
            <w:tcW w:w="993" w:type="dxa"/>
            <w:shd w:val="clear" w:color="auto" w:fill="auto"/>
            <w:vAlign w:val="bottom"/>
            <w:hideMark/>
          </w:tcPr>
          <w:p w14:paraId="6E21EAB9" w14:textId="77777777" w:rsidR="00B40DAA" w:rsidRPr="00327DAE" w:rsidRDefault="00B40DAA" w:rsidP="0025317F">
            <w:pPr>
              <w:spacing w:after="120"/>
              <w:jc w:val="right"/>
              <w:rPr>
                <w:color w:val="000000"/>
                <w:sz w:val="24"/>
                <w:szCs w:val="24"/>
              </w:rPr>
            </w:pPr>
            <w:r w:rsidRPr="00327DAE">
              <w:rPr>
                <w:color w:val="000000"/>
                <w:sz w:val="24"/>
                <w:szCs w:val="24"/>
              </w:rPr>
              <w:t>166</w:t>
            </w:r>
          </w:p>
        </w:tc>
        <w:tc>
          <w:tcPr>
            <w:tcW w:w="1842" w:type="dxa"/>
            <w:shd w:val="clear" w:color="auto" w:fill="auto"/>
            <w:vAlign w:val="bottom"/>
            <w:hideMark/>
          </w:tcPr>
          <w:p w14:paraId="2636A66E" w14:textId="77777777" w:rsidR="00B40DAA" w:rsidRPr="00327DAE" w:rsidRDefault="00B40DAA" w:rsidP="0025317F">
            <w:pPr>
              <w:spacing w:after="120"/>
              <w:jc w:val="right"/>
              <w:rPr>
                <w:color w:val="000000"/>
                <w:sz w:val="24"/>
                <w:szCs w:val="24"/>
              </w:rPr>
            </w:pPr>
            <w:r w:rsidRPr="00327DAE">
              <w:rPr>
                <w:color w:val="000000"/>
                <w:sz w:val="24"/>
                <w:szCs w:val="24"/>
              </w:rPr>
              <w:t>1434</w:t>
            </w:r>
          </w:p>
        </w:tc>
        <w:tc>
          <w:tcPr>
            <w:tcW w:w="1701" w:type="dxa"/>
            <w:shd w:val="clear" w:color="auto" w:fill="auto"/>
            <w:vAlign w:val="bottom"/>
            <w:hideMark/>
          </w:tcPr>
          <w:p w14:paraId="199BA11B" w14:textId="77777777" w:rsidR="00B40DAA" w:rsidRPr="00327DAE" w:rsidRDefault="00B40DAA" w:rsidP="0025317F">
            <w:pPr>
              <w:spacing w:after="120"/>
              <w:jc w:val="right"/>
              <w:rPr>
                <w:color w:val="000000"/>
                <w:sz w:val="24"/>
                <w:szCs w:val="24"/>
              </w:rPr>
            </w:pPr>
            <w:r w:rsidRPr="00327DAE">
              <w:rPr>
                <w:color w:val="000000"/>
                <w:sz w:val="24"/>
                <w:szCs w:val="24"/>
              </w:rPr>
              <w:t>116</w:t>
            </w:r>
          </w:p>
        </w:tc>
        <w:tc>
          <w:tcPr>
            <w:tcW w:w="1381" w:type="dxa"/>
            <w:shd w:val="clear" w:color="auto" w:fill="auto"/>
            <w:vAlign w:val="bottom"/>
            <w:hideMark/>
          </w:tcPr>
          <w:p w14:paraId="028045CE" w14:textId="77777777" w:rsidR="00B40DAA" w:rsidRPr="00327DAE" w:rsidRDefault="00B40DAA" w:rsidP="0025317F">
            <w:pPr>
              <w:spacing w:after="120"/>
              <w:jc w:val="right"/>
              <w:rPr>
                <w:color w:val="000000"/>
                <w:sz w:val="24"/>
                <w:szCs w:val="24"/>
              </w:rPr>
            </w:pPr>
            <w:r w:rsidRPr="00327DAE">
              <w:rPr>
                <w:color w:val="000000"/>
                <w:sz w:val="24"/>
                <w:szCs w:val="24"/>
              </w:rPr>
              <w:t>131</w:t>
            </w:r>
          </w:p>
        </w:tc>
      </w:tr>
      <w:tr w:rsidR="00B40DAA" w:rsidRPr="00327DAE" w14:paraId="68A782EF" w14:textId="77777777" w:rsidTr="00B40DAA">
        <w:trPr>
          <w:trHeight w:val="300"/>
        </w:trPr>
        <w:tc>
          <w:tcPr>
            <w:tcW w:w="960" w:type="dxa"/>
            <w:shd w:val="clear" w:color="auto" w:fill="auto"/>
            <w:noWrap/>
            <w:vAlign w:val="bottom"/>
            <w:hideMark/>
          </w:tcPr>
          <w:p w14:paraId="156B4F4F" w14:textId="77777777" w:rsidR="00B40DAA" w:rsidRPr="00327DAE" w:rsidRDefault="00B40DAA" w:rsidP="0025317F">
            <w:pPr>
              <w:spacing w:after="120"/>
              <w:jc w:val="right"/>
              <w:rPr>
                <w:color w:val="000000"/>
                <w:sz w:val="24"/>
                <w:szCs w:val="24"/>
              </w:rPr>
            </w:pPr>
            <w:r w:rsidRPr="00327DAE">
              <w:rPr>
                <w:color w:val="000000"/>
                <w:sz w:val="24"/>
                <w:szCs w:val="24"/>
              </w:rPr>
              <w:t>2011</w:t>
            </w:r>
          </w:p>
        </w:tc>
        <w:tc>
          <w:tcPr>
            <w:tcW w:w="1303" w:type="dxa"/>
            <w:shd w:val="clear" w:color="auto" w:fill="auto"/>
            <w:vAlign w:val="bottom"/>
            <w:hideMark/>
          </w:tcPr>
          <w:p w14:paraId="50CE51C8" w14:textId="77777777" w:rsidR="00B40DAA" w:rsidRPr="00327DAE" w:rsidRDefault="00B40DAA" w:rsidP="0025317F">
            <w:pPr>
              <w:spacing w:after="120"/>
              <w:jc w:val="right"/>
              <w:rPr>
                <w:color w:val="000000"/>
                <w:sz w:val="24"/>
                <w:szCs w:val="24"/>
              </w:rPr>
            </w:pPr>
            <w:r w:rsidRPr="00327DAE">
              <w:rPr>
                <w:color w:val="000000"/>
                <w:sz w:val="24"/>
                <w:szCs w:val="24"/>
              </w:rPr>
              <w:t>159</w:t>
            </w:r>
          </w:p>
        </w:tc>
        <w:tc>
          <w:tcPr>
            <w:tcW w:w="993" w:type="dxa"/>
            <w:shd w:val="clear" w:color="auto" w:fill="auto"/>
            <w:vAlign w:val="bottom"/>
            <w:hideMark/>
          </w:tcPr>
          <w:p w14:paraId="16243575" w14:textId="77777777" w:rsidR="00B40DAA" w:rsidRPr="00327DAE" w:rsidRDefault="00B40DAA" w:rsidP="0025317F">
            <w:pPr>
              <w:spacing w:after="120"/>
              <w:jc w:val="right"/>
              <w:rPr>
                <w:color w:val="000000"/>
                <w:sz w:val="24"/>
                <w:szCs w:val="24"/>
              </w:rPr>
            </w:pPr>
            <w:r w:rsidRPr="00327DAE">
              <w:rPr>
                <w:color w:val="000000"/>
                <w:sz w:val="24"/>
                <w:szCs w:val="24"/>
              </w:rPr>
              <w:t>122</w:t>
            </w:r>
          </w:p>
        </w:tc>
        <w:tc>
          <w:tcPr>
            <w:tcW w:w="1842" w:type="dxa"/>
            <w:shd w:val="clear" w:color="auto" w:fill="auto"/>
            <w:vAlign w:val="bottom"/>
            <w:hideMark/>
          </w:tcPr>
          <w:p w14:paraId="06238E24" w14:textId="77777777" w:rsidR="00B40DAA" w:rsidRPr="00327DAE" w:rsidRDefault="00B40DAA" w:rsidP="0025317F">
            <w:pPr>
              <w:spacing w:after="120"/>
              <w:jc w:val="right"/>
              <w:rPr>
                <w:color w:val="000000"/>
                <w:sz w:val="24"/>
                <w:szCs w:val="24"/>
              </w:rPr>
            </w:pPr>
            <w:r w:rsidRPr="00327DAE">
              <w:rPr>
                <w:color w:val="000000"/>
                <w:sz w:val="24"/>
                <w:szCs w:val="24"/>
              </w:rPr>
              <w:t>1484</w:t>
            </w:r>
          </w:p>
        </w:tc>
        <w:tc>
          <w:tcPr>
            <w:tcW w:w="1701" w:type="dxa"/>
            <w:shd w:val="clear" w:color="auto" w:fill="auto"/>
            <w:vAlign w:val="bottom"/>
            <w:hideMark/>
          </w:tcPr>
          <w:p w14:paraId="1D10BD3E" w14:textId="77777777" w:rsidR="00B40DAA" w:rsidRPr="00327DAE" w:rsidRDefault="00B40DAA" w:rsidP="0025317F">
            <w:pPr>
              <w:spacing w:after="120"/>
              <w:jc w:val="right"/>
              <w:rPr>
                <w:color w:val="000000"/>
                <w:sz w:val="24"/>
                <w:szCs w:val="24"/>
              </w:rPr>
            </w:pPr>
            <w:r w:rsidRPr="00327DAE">
              <w:rPr>
                <w:color w:val="000000"/>
                <w:sz w:val="24"/>
                <w:szCs w:val="24"/>
              </w:rPr>
              <w:t>107</w:t>
            </w:r>
          </w:p>
        </w:tc>
        <w:tc>
          <w:tcPr>
            <w:tcW w:w="1381" w:type="dxa"/>
            <w:shd w:val="clear" w:color="auto" w:fill="auto"/>
            <w:vAlign w:val="bottom"/>
            <w:hideMark/>
          </w:tcPr>
          <w:p w14:paraId="2638B5E9" w14:textId="77777777" w:rsidR="00B40DAA" w:rsidRPr="00327DAE" w:rsidRDefault="00B40DAA" w:rsidP="0025317F">
            <w:pPr>
              <w:spacing w:after="120"/>
              <w:jc w:val="right"/>
              <w:rPr>
                <w:color w:val="000000"/>
                <w:sz w:val="24"/>
                <w:szCs w:val="24"/>
              </w:rPr>
            </w:pPr>
            <w:r w:rsidRPr="00327DAE">
              <w:rPr>
                <w:color w:val="000000"/>
                <w:sz w:val="24"/>
                <w:szCs w:val="24"/>
              </w:rPr>
              <w:t>198</w:t>
            </w:r>
          </w:p>
        </w:tc>
      </w:tr>
      <w:tr w:rsidR="00B40DAA" w:rsidRPr="00327DAE" w14:paraId="4A6B4490" w14:textId="77777777" w:rsidTr="00B40DAA">
        <w:trPr>
          <w:trHeight w:val="300"/>
        </w:trPr>
        <w:tc>
          <w:tcPr>
            <w:tcW w:w="960" w:type="dxa"/>
            <w:shd w:val="clear" w:color="auto" w:fill="auto"/>
            <w:noWrap/>
            <w:vAlign w:val="bottom"/>
            <w:hideMark/>
          </w:tcPr>
          <w:p w14:paraId="7D56FC1D" w14:textId="77777777" w:rsidR="00B40DAA" w:rsidRPr="00327DAE" w:rsidRDefault="00B40DAA" w:rsidP="0025317F">
            <w:pPr>
              <w:spacing w:after="120"/>
              <w:jc w:val="right"/>
              <w:rPr>
                <w:color w:val="000000"/>
                <w:sz w:val="24"/>
                <w:szCs w:val="24"/>
              </w:rPr>
            </w:pPr>
            <w:r w:rsidRPr="00327DAE">
              <w:rPr>
                <w:color w:val="000000"/>
                <w:sz w:val="24"/>
                <w:szCs w:val="24"/>
              </w:rPr>
              <w:t>2012</w:t>
            </w:r>
          </w:p>
        </w:tc>
        <w:tc>
          <w:tcPr>
            <w:tcW w:w="1303" w:type="dxa"/>
            <w:shd w:val="clear" w:color="auto" w:fill="auto"/>
            <w:vAlign w:val="bottom"/>
            <w:hideMark/>
          </w:tcPr>
          <w:p w14:paraId="0D12D6F4" w14:textId="77777777" w:rsidR="00B40DAA" w:rsidRPr="00327DAE" w:rsidRDefault="00B40DAA" w:rsidP="0025317F">
            <w:pPr>
              <w:spacing w:after="120"/>
              <w:jc w:val="right"/>
              <w:rPr>
                <w:color w:val="000000"/>
                <w:sz w:val="24"/>
                <w:szCs w:val="24"/>
              </w:rPr>
            </w:pPr>
            <w:r w:rsidRPr="00327DAE">
              <w:rPr>
                <w:color w:val="000000"/>
                <w:sz w:val="24"/>
                <w:szCs w:val="24"/>
              </w:rPr>
              <w:t>155</w:t>
            </w:r>
          </w:p>
        </w:tc>
        <w:tc>
          <w:tcPr>
            <w:tcW w:w="993" w:type="dxa"/>
            <w:shd w:val="clear" w:color="auto" w:fill="auto"/>
            <w:vAlign w:val="bottom"/>
            <w:hideMark/>
          </w:tcPr>
          <w:p w14:paraId="26CD1034" w14:textId="77777777" w:rsidR="00B40DAA" w:rsidRPr="00327DAE" w:rsidRDefault="00B40DAA" w:rsidP="0025317F">
            <w:pPr>
              <w:spacing w:after="120"/>
              <w:jc w:val="right"/>
              <w:rPr>
                <w:color w:val="000000"/>
                <w:sz w:val="24"/>
                <w:szCs w:val="24"/>
              </w:rPr>
            </w:pPr>
            <w:r w:rsidRPr="00327DAE">
              <w:rPr>
                <w:color w:val="000000"/>
                <w:sz w:val="24"/>
                <w:szCs w:val="24"/>
              </w:rPr>
              <w:t>158</w:t>
            </w:r>
          </w:p>
        </w:tc>
        <w:tc>
          <w:tcPr>
            <w:tcW w:w="1842" w:type="dxa"/>
            <w:shd w:val="clear" w:color="auto" w:fill="auto"/>
            <w:vAlign w:val="bottom"/>
            <w:hideMark/>
          </w:tcPr>
          <w:p w14:paraId="23F37242" w14:textId="77777777" w:rsidR="00B40DAA" w:rsidRPr="00327DAE" w:rsidRDefault="00B40DAA" w:rsidP="0025317F">
            <w:pPr>
              <w:spacing w:after="120"/>
              <w:jc w:val="right"/>
              <w:rPr>
                <w:color w:val="000000"/>
                <w:sz w:val="24"/>
                <w:szCs w:val="24"/>
              </w:rPr>
            </w:pPr>
            <w:r w:rsidRPr="00327DAE">
              <w:rPr>
                <w:color w:val="000000"/>
                <w:sz w:val="24"/>
                <w:szCs w:val="24"/>
              </w:rPr>
              <w:t>1567</w:t>
            </w:r>
          </w:p>
        </w:tc>
        <w:tc>
          <w:tcPr>
            <w:tcW w:w="1701" w:type="dxa"/>
            <w:shd w:val="clear" w:color="auto" w:fill="auto"/>
            <w:vAlign w:val="bottom"/>
            <w:hideMark/>
          </w:tcPr>
          <w:p w14:paraId="4D731FDF" w14:textId="77777777" w:rsidR="00B40DAA" w:rsidRPr="00327DAE" w:rsidRDefault="00B40DAA" w:rsidP="0025317F">
            <w:pPr>
              <w:spacing w:after="120"/>
              <w:jc w:val="right"/>
              <w:rPr>
                <w:color w:val="000000"/>
                <w:sz w:val="24"/>
                <w:szCs w:val="24"/>
              </w:rPr>
            </w:pPr>
            <w:r w:rsidRPr="00327DAE">
              <w:rPr>
                <w:color w:val="000000"/>
                <w:sz w:val="24"/>
                <w:szCs w:val="24"/>
              </w:rPr>
              <w:t>169</w:t>
            </w:r>
          </w:p>
        </w:tc>
        <w:tc>
          <w:tcPr>
            <w:tcW w:w="1381" w:type="dxa"/>
            <w:shd w:val="clear" w:color="auto" w:fill="auto"/>
            <w:vAlign w:val="bottom"/>
            <w:hideMark/>
          </w:tcPr>
          <w:p w14:paraId="549A9C4E" w14:textId="77777777" w:rsidR="00B40DAA" w:rsidRPr="00327DAE" w:rsidRDefault="00B40DAA" w:rsidP="0025317F">
            <w:pPr>
              <w:spacing w:after="120"/>
              <w:jc w:val="right"/>
              <w:rPr>
                <w:color w:val="000000"/>
                <w:sz w:val="24"/>
                <w:szCs w:val="24"/>
              </w:rPr>
            </w:pPr>
            <w:r w:rsidRPr="00327DAE">
              <w:rPr>
                <w:color w:val="000000"/>
                <w:sz w:val="24"/>
                <w:szCs w:val="24"/>
              </w:rPr>
              <w:t>211</w:t>
            </w:r>
          </w:p>
        </w:tc>
      </w:tr>
      <w:tr w:rsidR="00B40DAA" w:rsidRPr="00327DAE" w14:paraId="21B53356" w14:textId="77777777" w:rsidTr="00B40DAA">
        <w:trPr>
          <w:trHeight w:val="300"/>
        </w:trPr>
        <w:tc>
          <w:tcPr>
            <w:tcW w:w="960" w:type="dxa"/>
            <w:shd w:val="clear" w:color="auto" w:fill="auto"/>
            <w:noWrap/>
            <w:vAlign w:val="bottom"/>
            <w:hideMark/>
          </w:tcPr>
          <w:p w14:paraId="10321531" w14:textId="77777777" w:rsidR="00B40DAA" w:rsidRPr="00327DAE" w:rsidRDefault="00B40DAA" w:rsidP="0025317F">
            <w:pPr>
              <w:spacing w:after="120"/>
              <w:jc w:val="right"/>
              <w:rPr>
                <w:color w:val="000000"/>
                <w:sz w:val="24"/>
                <w:szCs w:val="24"/>
              </w:rPr>
            </w:pPr>
            <w:r w:rsidRPr="00327DAE">
              <w:rPr>
                <w:color w:val="000000"/>
                <w:sz w:val="24"/>
                <w:szCs w:val="24"/>
              </w:rPr>
              <w:t>2013</w:t>
            </w:r>
          </w:p>
        </w:tc>
        <w:tc>
          <w:tcPr>
            <w:tcW w:w="1303" w:type="dxa"/>
            <w:shd w:val="clear" w:color="auto" w:fill="auto"/>
            <w:vAlign w:val="bottom"/>
            <w:hideMark/>
          </w:tcPr>
          <w:p w14:paraId="6C63BA36" w14:textId="77777777" w:rsidR="00B40DAA" w:rsidRPr="00327DAE" w:rsidRDefault="00B40DAA" w:rsidP="0025317F">
            <w:pPr>
              <w:spacing w:after="120"/>
              <w:jc w:val="right"/>
              <w:rPr>
                <w:color w:val="000000"/>
                <w:sz w:val="24"/>
                <w:szCs w:val="24"/>
              </w:rPr>
            </w:pPr>
            <w:r w:rsidRPr="00327DAE">
              <w:rPr>
                <w:color w:val="000000"/>
                <w:sz w:val="24"/>
                <w:szCs w:val="24"/>
              </w:rPr>
              <w:t>104</w:t>
            </w:r>
          </w:p>
        </w:tc>
        <w:tc>
          <w:tcPr>
            <w:tcW w:w="993" w:type="dxa"/>
            <w:shd w:val="clear" w:color="auto" w:fill="auto"/>
            <w:vAlign w:val="bottom"/>
            <w:hideMark/>
          </w:tcPr>
          <w:p w14:paraId="48EB9969" w14:textId="77777777" w:rsidR="00B40DAA" w:rsidRPr="00327DAE" w:rsidRDefault="00B40DAA" w:rsidP="0025317F">
            <w:pPr>
              <w:spacing w:after="120"/>
              <w:jc w:val="right"/>
              <w:rPr>
                <w:color w:val="000000"/>
                <w:sz w:val="24"/>
                <w:szCs w:val="24"/>
              </w:rPr>
            </w:pPr>
            <w:r w:rsidRPr="00327DAE">
              <w:rPr>
                <w:color w:val="000000"/>
                <w:sz w:val="24"/>
                <w:szCs w:val="24"/>
              </w:rPr>
              <w:t>195</w:t>
            </w:r>
          </w:p>
        </w:tc>
        <w:tc>
          <w:tcPr>
            <w:tcW w:w="1842" w:type="dxa"/>
            <w:shd w:val="clear" w:color="auto" w:fill="auto"/>
            <w:vAlign w:val="bottom"/>
            <w:hideMark/>
          </w:tcPr>
          <w:p w14:paraId="11692B49" w14:textId="77777777" w:rsidR="00B40DAA" w:rsidRPr="00327DAE" w:rsidRDefault="00B40DAA" w:rsidP="0025317F">
            <w:pPr>
              <w:spacing w:after="120"/>
              <w:jc w:val="right"/>
              <w:rPr>
                <w:color w:val="000000"/>
                <w:sz w:val="24"/>
                <w:szCs w:val="24"/>
              </w:rPr>
            </w:pPr>
            <w:r w:rsidRPr="00327DAE">
              <w:rPr>
                <w:color w:val="000000"/>
                <w:sz w:val="24"/>
                <w:szCs w:val="24"/>
              </w:rPr>
              <w:t>1413</w:t>
            </w:r>
          </w:p>
        </w:tc>
        <w:tc>
          <w:tcPr>
            <w:tcW w:w="1701" w:type="dxa"/>
            <w:shd w:val="clear" w:color="auto" w:fill="auto"/>
            <w:vAlign w:val="bottom"/>
            <w:hideMark/>
          </w:tcPr>
          <w:p w14:paraId="0AAE56B4" w14:textId="77777777" w:rsidR="00B40DAA" w:rsidRPr="00327DAE" w:rsidRDefault="00B40DAA" w:rsidP="0025317F">
            <w:pPr>
              <w:spacing w:after="120"/>
              <w:jc w:val="right"/>
              <w:rPr>
                <w:color w:val="000000"/>
                <w:sz w:val="24"/>
                <w:szCs w:val="24"/>
              </w:rPr>
            </w:pPr>
            <w:r w:rsidRPr="00327DAE">
              <w:rPr>
                <w:color w:val="000000"/>
                <w:sz w:val="24"/>
                <w:szCs w:val="24"/>
              </w:rPr>
              <w:t>327</w:t>
            </w:r>
          </w:p>
        </w:tc>
        <w:tc>
          <w:tcPr>
            <w:tcW w:w="1381" w:type="dxa"/>
            <w:shd w:val="clear" w:color="auto" w:fill="auto"/>
            <w:vAlign w:val="bottom"/>
            <w:hideMark/>
          </w:tcPr>
          <w:p w14:paraId="5D41004B" w14:textId="77777777" w:rsidR="00B40DAA" w:rsidRPr="00327DAE" w:rsidRDefault="00B40DAA" w:rsidP="0025317F">
            <w:pPr>
              <w:spacing w:after="120"/>
              <w:jc w:val="right"/>
              <w:rPr>
                <w:color w:val="000000"/>
                <w:sz w:val="24"/>
                <w:szCs w:val="24"/>
              </w:rPr>
            </w:pPr>
            <w:r w:rsidRPr="00327DAE">
              <w:rPr>
                <w:color w:val="000000"/>
                <w:sz w:val="24"/>
                <w:szCs w:val="24"/>
              </w:rPr>
              <w:t>159</w:t>
            </w:r>
          </w:p>
        </w:tc>
      </w:tr>
      <w:tr w:rsidR="00B40DAA" w:rsidRPr="00327DAE" w14:paraId="08EE9D6F" w14:textId="77777777" w:rsidTr="00B40DAA">
        <w:trPr>
          <w:trHeight w:val="300"/>
        </w:trPr>
        <w:tc>
          <w:tcPr>
            <w:tcW w:w="960" w:type="dxa"/>
            <w:shd w:val="clear" w:color="auto" w:fill="auto"/>
            <w:noWrap/>
            <w:vAlign w:val="bottom"/>
            <w:hideMark/>
          </w:tcPr>
          <w:p w14:paraId="3F7F27E9" w14:textId="77777777" w:rsidR="00B40DAA" w:rsidRPr="00327DAE" w:rsidRDefault="00B40DAA" w:rsidP="0025317F">
            <w:pPr>
              <w:spacing w:after="120"/>
              <w:jc w:val="right"/>
              <w:rPr>
                <w:color w:val="000000"/>
                <w:sz w:val="24"/>
                <w:szCs w:val="24"/>
              </w:rPr>
            </w:pPr>
            <w:r w:rsidRPr="00327DAE">
              <w:rPr>
                <w:color w:val="000000"/>
                <w:sz w:val="24"/>
                <w:szCs w:val="24"/>
              </w:rPr>
              <w:lastRenderedPageBreak/>
              <w:t>2014</w:t>
            </w:r>
          </w:p>
        </w:tc>
        <w:tc>
          <w:tcPr>
            <w:tcW w:w="1303" w:type="dxa"/>
            <w:shd w:val="clear" w:color="auto" w:fill="auto"/>
            <w:vAlign w:val="bottom"/>
            <w:hideMark/>
          </w:tcPr>
          <w:p w14:paraId="0C2ADBEE" w14:textId="77777777" w:rsidR="00B40DAA" w:rsidRPr="00327DAE" w:rsidRDefault="00B40DAA" w:rsidP="0025317F">
            <w:pPr>
              <w:spacing w:after="120"/>
              <w:jc w:val="right"/>
              <w:rPr>
                <w:color w:val="000000"/>
                <w:sz w:val="24"/>
                <w:szCs w:val="24"/>
              </w:rPr>
            </w:pPr>
            <w:r w:rsidRPr="00327DAE">
              <w:rPr>
                <w:color w:val="000000"/>
                <w:sz w:val="24"/>
                <w:szCs w:val="24"/>
              </w:rPr>
              <w:t>66</w:t>
            </w:r>
          </w:p>
        </w:tc>
        <w:tc>
          <w:tcPr>
            <w:tcW w:w="993" w:type="dxa"/>
            <w:shd w:val="clear" w:color="auto" w:fill="auto"/>
            <w:vAlign w:val="bottom"/>
            <w:hideMark/>
          </w:tcPr>
          <w:p w14:paraId="6343FB79" w14:textId="77777777" w:rsidR="00B40DAA" w:rsidRPr="00327DAE" w:rsidRDefault="00B40DAA" w:rsidP="0025317F">
            <w:pPr>
              <w:spacing w:after="120"/>
              <w:jc w:val="right"/>
              <w:rPr>
                <w:color w:val="000000"/>
                <w:sz w:val="24"/>
                <w:szCs w:val="24"/>
              </w:rPr>
            </w:pPr>
            <w:r w:rsidRPr="00327DAE">
              <w:rPr>
                <w:color w:val="000000"/>
                <w:sz w:val="24"/>
                <w:szCs w:val="24"/>
              </w:rPr>
              <w:t>258</w:t>
            </w:r>
          </w:p>
        </w:tc>
        <w:tc>
          <w:tcPr>
            <w:tcW w:w="1842" w:type="dxa"/>
            <w:shd w:val="clear" w:color="auto" w:fill="auto"/>
            <w:vAlign w:val="bottom"/>
            <w:hideMark/>
          </w:tcPr>
          <w:p w14:paraId="42132BC5" w14:textId="77777777" w:rsidR="00B40DAA" w:rsidRPr="00327DAE" w:rsidRDefault="00B40DAA" w:rsidP="0025317F">
            <w:pPr>
              <w:spacing w:after="120"/>
              <w:jc w:val="right"/>
              <w:rPr>
                <w:color w:val="000000"/>
                <w:sz w:val="24"/>
                <w:szCs w:val="24"/>
              </w:rPr>
            </w:pPr>
            <w:r w:rsidRPr="00327DAE">
              <w:rPr>
                <w:color w:val="000000"/>
                <w:sz w:val="24"/>
                <w:szCs w:val="24"/>
              </w:rPr>
              <w:t>1334</w:t>
            </w:r>
          </w:p>
          <w:p w14:paraId="74830419" w14:textId="77777777" w:rsidR="00B40DAA" w:rsidRPr="00327DAE" w:rsidRDefault="00B40DAA" w:rsidP="0025317F">
            <w:pPr>
              <w:spacing w:after="120"/>
              <w:jc w:val="right"/>
              <w:rPr>
                <w:color w:val="000000"/>
                <w:sz w:val="24"/>
                <w:szCs w:val="24"/>
              </w:rPr>
            </w:pPr>
            <w:r w:rsidRPr="00327DAE">
              <w:rPr>
                <w:color w:val="000000"/>
                <w:sz w:val="24"/>
                <w:szCs w:val="24"/>
              </w:rPr>
              <w:t>(atlikums 2048)</w:t>
            </w:r>
          </w:p>
        </w:tc>
        <w:tc>
          <w:tcPr>
            <w:tcW w:w="1701" w:type="dxa"/>
            <w:shd w:val="clear" w:color="auto" w:fill="auto"/>
            <w:vAlign w:val="bottom"/>
            <w:hideMark/>
          </w:tcPr>
          <w:p w14:paraId="6141239F" w14:textId="77777777" w:rsidR="00B40DAA" w:rsidRPr="00327DAE" w:rsidRDefault="00B40DAA" w:rsidP="0025317F">
            <w:pPr>
              <w:spacing w:after="120"/>
              <w:jc w:val="right"/>
              <w:rPr>
                <w:color w:val="000000"/>
                <w:sz w:val="24"/>
                <w:szCs w:val="24"/>
              </w:rPr>
            </w:pPr>
            <w:r w:rsidRPr="00327DAE">
              <w:rPr>
                <w:color w:val="000000"/>
                <w:sz w:val="24"/>
                <w:szCs w:val="24"/>
              </w:rPr>
              <w:t xml:space="preserve">720 </w:t>
            </w:r>
          </w:p>
          <w:p w14:paraId="1B00845F" w14:textId="77777777" w:rsidR="00B40DAA" w:rsidRPr="00327DAE" w:rsidRDefault="00B40DAA" w:rsidP="0025317F">
            <w:pPr>
              <w:spacing w:after="120"/>
              <w:jc w:val="right"/>
              <w:rPr>
                <w:color w:val="000000"/>
                <w:sz w:val="24"/>
                <w:szCs w:val="24"/>
              </w:rPr>
            </w:pPr>
            <w:r w:rsidRPr="00327DAE">
              <w:rPr>
                <w:color w:val="000000"/>
                <w:sz w:val="24"/>
                <w:szCs w:val="24"/>
              </w:rPr>
              <w:t>(atlikums 4686)</w:t>
            </w:r>
          </w:p>
        </w:tc>
        <w:tc>
          <w:tcPr>
            <w:tcW w:w="1381" w:type="dxa"/>
            <w:shd w:val="clear" w:color="auto" w:fill="auto"/>
            <w:vAlign w:val="bottom"/>
            <w:hideMark/>
          </w:tcPr>
          <w:p w14:paraId="7DE302C8" w14:textId="77777777" w:rsidR="00B40DAA" w:rsidRPr="00327DAE" w:rsidRDefault="00B40DAA" w:rsidP="0025317F">
            <w:pPr>
              <w:spacing w:after="120"/>
              <w:jc w:val="right"/>
              <w:rPr>
                <w:color w:val="000000"/>
                <w:sz w:val="24"/>
                <w:szCs w:val="24"/>
              </w:rPr>
            </w:pPr>
            <w:r w:rsidRPr="00327DAE">
              <w:rPr>
                <w:color w:val="000000"/>
                <w:sz w:val="24"/>
                <w:szCs w:val="24"/>
              </w:rPr>
              <w:t>179</w:t>
            </w:r>
          </w:p>
        </w:tc>
      </w:tr>
      <w:tr w:rsidR="00B40DAA" w:rsidRPr="00327DAE" w14:paraId="64D80153" w14:textId="77777777" w:rsidTr="00B40DAA">
        <w:trPr>
          <w:trHeight w:val="300"/>
        </w:trPr>
        <w:tc>
          <w:tcPr>
            <w:tcW w:w="960" w:type="dxa"/>
            <w:shd w:val="clear" w:color="auto" w:fill="auto"/>
            <w:noWrap/>
            <w:vAlign w:val="bottom"/>
            <w:hideMark/>
          </w:tcPr>
          <w:p w14:paraId="451A58A8" w14:textId="77777777" w:rsidR="00B40DAA" w:rsidRPr="00327DAE" w:rsidRDefault="00B40DAA" w:rsidP="0025317F">
            <w:pPr>
              <w:spacing w:after="120"/>
              <w:rPr>
                <w:color w:val="000000"/>
                <w:sz w:val="24"/>
                <w:szCs w:val="24"/>
              </w:rPr>
            </w:pPr>
            <w:r w:rsidRPr="00327DAE">
              <w:rPr>
                <w:color w:val="000000"/>
                <w:sz w:val="24"/>
                <w:szCs w:val="24"/>
              </w:rPr>
              <w:t>kopā</w:t>
            </w:r>
          </w:p>
        </w:tc>
        <w:tc>
          <w:tcPr>
            <w:tcW w:w="1303" w:type="dxa"/>
            <w:shd w:val="clear" w:color="auto" w:fill="auto"/>
            <w:noWrap/>
            <w:vAlign w:val="bottom"/>
            <w:hideMark/>
          </w:tcPr>
          <w:p w14:paraId="1EC7FAC0" w14:textId="77777777" w:rsidR="00B40DAA" w:rsidRPr="00327DAE" w:rsidRDefault="00B40DAA" w:rsidP="0025317F">
            <w:pPr>
              <w:spacing w:after="120"/>
              <w:jc w:val="right"/>
              <w:rPr>
                <w:color w:val="000000"/>
                <w:sz w:val="24"/>
                <w:szCs w:val="24"/>
              </w:rPr>
            </w:pPr>
            <w:r w:rsidRPr="00327DAE">
              <w:rPr>
                <w:color w:val="000000"/>
                <w:sz w:val="24"/>
                <w:szCs w:val="24"/>
              </w:rPr>
              <w:t>3637</w:t>
            </w:r>
          </w:p>
        </w:tc>
        <w:tc>
          <w:tcPr>
            <w:tcW w:w="993" w:type="dxa"/>
            <w:shd w:val="clear" w:color="auto" w:fill="auto"/>
            <w:noWrap/>
            <w:vAlign w:val="bottom"/>
            <w:hideMark/>
          </w:tcPr>
          <w:p w14:paraId="78EB69CB" w14:textId="77777777" w:rsidR="00B40DAA" w:rsidRPr="00327DAE" w:rsidRDefault="00B40DAA" w:rsidP="0025317F">
            <w:pPr>
              <w:spacing w:after="120"/>
              <w:jc w:val="right"/>
              <w:rPr>
                <w:color w:val="000000"/>
                <w:sz w:val="24"/>
                <w:szCs w:val="24"/>
              </w:rPr>
            </w:pPr>
            <w:r w:rsidRPr="00327DAE">
              <w:rPr>
                <w:color w:val="000000"/>
                <w:sz w:val="24"/>
                <w:szCs w:val="24"/>
              </w:rPr>
              <w:t>944</w:t>
            </w:r>
          </w:p>
        </w:tc>
        <w:tc>
          <w:tcPr>
            <w:tcW w:w="1842" w:type="dxa"/>
            <w:shd w:val="clear" w:color="auto" w:fill="auto"/>
            <w:vAlign w:val="bottom"/>
            <w:hideMark/>
          </w:tcPr>
          <w:p w14:paraId="7A468CF9" w14:textId="77777777" w:rsidR="00B40DAA" w:rsidRPr="00327DAE" w:rsidRDefault="00B40DAA" w:rsidP="0025317F">
            <w:pPr>
              <w:spacing w:after="120"/>
              <w:jc w:val="right"/>
              <w:rPr>
                <w:color w:val="000000"/>
                <w:sz w:val="24"/>
                <w:szCs w:val="24"/>
              </w:rPr>
            </w:pPr>
            <w:r w:rsidRPr="00327DAE">
              <w:rPr>
                <w:color w:val="000000"/>
                <w:sz w:val="24"/>
                <w:szCs w:val="24"/>
              </w:rPr>
              <w:t>8883</w:t>
            </w:r>
          </w:p>
        </w:tc>
        <w:tc>
          <w:tcPr>
            <w:tcW w:w="1701" w:type="dxa"/>
            <w:shd w:val="clear" w:color="auto" w:fill="auto"/>
            <w:vAlign w:val="bottom"/>
            <w:hideMark/>
          </w:tcPr>
          <w:p w14:paraId="7F9B32F3" w14:textId="77777777" w:rsidR="00B40DAA" w:rsidRPr="00327DAE" w:rsidRDefault="00B40DAA" w:rsidP="0025317F">
            <w:pPr>
              <w:spacing w:after="120"/>
              <w:jc w:val="right"/>
              <w:rPr>
                <w:color w:val="000000"/>
                <w:sz w:val="24"/>
                <w:szCs w:val="24"/>
              </w:rPr>
            </w:pPr>
            <w:r w:rsidRPr="00327DAE">
              <w:rPr>
                <w:color w:val="000000"/>
                <w:sz w:val="24"/>
                <w:szCs w:val="24"/>
              </w:rPr>
              <w:t>1509</w:t>
            </w:r>
          </w:p>
        </w:tc>
        <w:tc>
          <w:tcPr>
            <w:tcW w:w="1381" w:type="dxa"/>
            <w:shd w:val="clear" w:color="auto" w:fill="auto"/>
            <w:noWrap/>
            <w:vAlign w:val="bottom"/>
            <w:hideMark/>
          </w:tcPr>
          <w:p w14:paraId="7FFE9646" w14:textId="77777777" w:rsidR="00B40DAA" w:rsidRPr="00327DAE" w:rsidRDefault="00B40DAA" w:rsidP="0025317F">
            <w:pPr>
              <w:spacing w:after="120"/>
              <w:jc w:val="right"/>
              <w:rPr>
                <w:color w:val="000000"/>
                <w:sz w:val="24"/>
                <w:szCs w:val="24"/>
              </w:rPr>
            </w:pPr>
            <w:r w:rsidRPr="00327DAE">
              <w:rPr>
                <w:color w:val="000000"/>
                <w:sz w:val="24"/>
                <w:szCs w:val="24"/>
              </w:rPr>
              <w:t>1065</w:t>
            </w:r>
          </w:p>
        </w:tc>
      </w:tr>
    </w:tbl>
    <w:p w14:paraId="4DB7BDC5" w14:textId="77777777" w:rsidR="00B40DAA" w:rsidRPr="00327DAE" w:rsidRDefault="00B40DAA" w:rsidP="0025317F">
      <w:pPr>
        <w:spacing w:after="120"/>
        <w:rPr>
          <w:sz w:val="24"/>
          <w:szCs w:val="24"/>
        </w:rPr>
      </w:pPr>
    </w:p>
    <w:p w14:paraId="1CF808A2" w14:textId="25B484D2" w:rsidR="00B40DAA" w:rsidRPr="00327DAE" w:rsidRDefault="00B40DAA" w:rsidP="0025317F">
      <w:pPr>
        <w:pStyle w:val="Heading4"/>
        <w:rPr>
          <w:rFonts w:cs="Times New Roman"/>
          <w:szCs w:val="24"/>
        </w:rPr>
      </w:pPr>
      <w:bookmarkStart w:id="62" w:name="_Toc522527534"/>
      <w:r w:rsidRPr="00327DAE">
        <w:rPr>
          <w:rFonts w:cs="Times New Roman"/>
          <w:szCs w:val="24"/>
        </w:rPr>
        <w:t xml:space="preserve">Spriedumu skaits </w:t>
      </w:r>
      <w:r w:rsidR="002763E6" w:rsidRPr="00327DAE">
        <w:rPr>
          <w:rFonts w:cs="Times New Roman"/>
          <w:szCs w:val="24"/>
        </w:rPr>
        <w:t>pēc procesa veida</w:t>
      </w:r>
      <w:bookmarkEnd w:id="62"/>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721"/>
        <w:gridCol w:w="1984"/>
        <w:gridCol w:w="2552"/>
      </w:tblGrid>
      <w:tr w:rsidR="00B40DAA" w:rsidRPr="00327DAE" w14:paraId="4D0AE601" w14:textId="77777777" w:rsidTr="00B40DAA">
        <w:trPr>
          <w:trHeight w:val="833"/>
        </w:trPr>
        <w:tc>
          <w:tcPr>
            <w:tcW w:w="960" w:type="dxa"/>
            <w:shd w:val="clear" w:color="auto" w:fill="auto"/>
            <w:vAlign w:val="bottom"/>
            <w:hideMark/>
          </w:tcPr>
          <w:p w14:paraId="726FEF10" w14:textId="77777777" w:rsidR="00B40DAA" w:rsidRPr="00327DAE" w:rsidRDefault="00B40DAA" w:rsidP="0025317F">
            <w:pPr>
              <w:spacing w:after="120"/>
              <w:rPr>
                <w:sz w:val="24"/>
                <w:szCs w:val="24"/>
              </w:rPr>
            </w:pPr>
          </w:p>
        </w:tc>
        <w:tc>
          <w:tcPr>
            <w:tcW w:w="2721" w:type="dxa"/>
            <w:shd w:val="clear" w:color="auto" w:fill="auto"/>
            <w:vAlign w:val="bottom"/>
            <w:hideMark/>
          </w:tcPr>
          <w:p w14:paraId="4B332C34" w14:textId="77777777" w:rsidR="00B40DAA" w:rsidRPr="00327DAE" w:rsidRDefault="00B40DAA" w:rsidP="0025317F">
            <w:pPr>
              <w:spacing w:after="120"/>
              <w:rPr>
                <w:color w:val="000000"/>
                <w:sz w:val="24"/>
                <w:szCs w:val="24"/>
              </w:rPr>
            </w:pPr>
            <w:r w:rsidRPr="00327DAE">
              <w:rPr>
                <w:color w:val="000000"/>
                <w:sz w:val="24"/>
                <w:szCs w:val="24"/>
              </w:rPr>
              <w:t>uzņēmumu (juridisku personu) maksātnespēju</w:t>
            </w:r>
          </w:p>
        </w:tc>
        <w:tc>
          <w:tcPr>
            <w:tcW w:w="1984" w:type="dxa"/>
            <w:shd w:val="clear" w:color="auto" w:fill="auto"/>
            <w:vAlign w:val="bottom"/>
            <w:hideMark/>
          </w:tcPr>
          <w:p w14:paraId="0533963E" w14:textId="77777777" w:rsidR="00B40DAA" w:rsidRPr="00327DAE" w:rsidRDefault="00B40DAA" w:rsidP="0025317F">
            <w:pPr>
              <w:spacing w:after="120"/>
              <w:rPr>
                <w:color w:val="000000"/>
                <w:sz w:val="24"/>
                <w:szCs w:val="24"/>
              </w:rPr>
            </w:pPr>
            <w:r w:rsidRPr="00327DAE">
              <w:rPr>
                <w:sz w:val="24"/>
                <w:szCs w:val="24"/>
              </w:rPr>
              <w:t>tiesiskās aizsardzības procesa īstenošanu</w:t>
            </w:r>
          </w:p>
        </w:tc>
        <w:tc>
          <w:tcPr>
            <w:tcW w:w="2552" w:type="dxa"/>
            <w:shd w:val="clear" w:color="auto" w:fill="auto"/>
            <w:vAlign w:val="bottom"/>
            <w:hideMark/>
          </w:tcPr>
          <w:p w14:paraId="271789B7" w14:textId="77777777" w:rsidR="00B40DAA" w:rsidRPr="00327DAE" w:rsidRDefault="00B40DAA" w:rsidP="0025317F">
            <w:pPr>
              <w:spacing w:after="120"/>
              <w:rPr>
                <w:color w:val="000000"/>
                <w:sz w:val="24"/>
                <w:szCs w:val="24"/>
              </w:rPr>
            </w:pPr>
            <w:r w:rsidRPr="00327DAE">
              <w:rPr>
                <w:sz w:val="24"/>
                <w:szCs w:val="24"/>
              </w:rPr>
              <w:t>fiziskās personas atzīšanu par maksātnespējīgu</w:t>
            </w:r>
          </w:p>
        </w:tc>
      </w:tr>
      <w:tr w:rsidR="00B40DAA" w:rsidRPr="00327DAE" w14:paraId="79B39783" w14:textId="77777777" w:rsidTr="00B40DAA">
        <w:trPr>
          <w:trHeight w:val="300"/>
        </w:trPr>
        <w:tc>
          <w:tcPr>
            <w:tcW w:w="960" w:type="dxa"/>
            <w:shd w:val="clear" w:color="auto" w:fill="auto"/>
            <w:noWrap/>
            <w:vAlign w:val="bottom"/>
            <w:hideMark/>
          </w:tcPr>
          <w:p w14:paraId="36269ADE" w14:textId="77777777" w:rsidR="00B40DAA" w:rsidRPr="00327DAE" w:rsidRDefault="00B40DAA" w:rsidP="0025317F">
            <w:pPr>
              <w:spacing w:after="120"/>
              <w:jc w:val="right"/>
              <w:rPr>
                <w:color w:val="000000"/>
                <w:sz w:val="24"/>
                <w:szCs w:val="24"/>
              </w:rPr>
            </w:pPr>
            <w:r w:rsidRPr="00327DAE">
              <w:rPr>
                <w:color w:val="000000"/>
                <w:sz w:val="24"/>
                <w:szCs w:val="24"/>
              </w:rPr>
              <w:t>2007</w:t>
            </w:r>
          </w:p>
        </w:tc>
        <w:tc>
          <w:tcPr>
            <w:tcW w:w="2721" w:type="dxa"/>
            <w:shd w:val="clear" w:color="auto" w:fill="auto"/>
            <w:vAlign w:val="bottom"/>
            <w:hideMark/>
          </w:tcPr>
          <w:p w14:paraId="020FFCB6" w14:textId="77777777" w:rsidR="00B40DAA" w:rsidRPr="00327DAE" w:rsidRDefault="00B40DAA" w:rsidP="0025317F">
            <w:pPr>
              <w:spacing w:after="120"/>
              <w:jc w:val="right"/>
              <w:rPr>
                <w:color w:val="000000"/>
                <w:sz w:val="24"/>
                <w:szCs w:val="24"/>
              </w:rPr>
            </w:pPr>
            <w:r w:rsidRPr="00327DAE">
              <w:rPr>
                <w:color w:val="000000"/>
                <w:sz w:val="24"/>
                <w:szCs w:val="24"/>
              </w:rPr>
              <w:t>1314</w:t>
            </w:r>
          </w:p>
        </w:tc>
        <w:tc>
          <w:tcPr>
            <w:tcW w:w="1984" w:type="dxa"/>
            <w:shd w:val="clear" w:color="auto" w:fill="auto"/>
            <w:vAlign w:val="bottom"/>
            <w:hideMark/>
          </w:tcPr>
          <w:p w14:paraId="3A5E7F3A" w14:textId="77777777" w:rsidR="00B40DAA" w:rsidRPr="00327DAE" w:rsidRDefault="00B40DAA" w:rsidP="0025317F">
            <w:pPr>
              <w:spacing w:after="120"/>
              <w:jc w:val="right"/>
              <w:rPr>
                <w:color w:val="000000"/>
                <w:sz w:val="24"/>
                <w:szCs w:val="24"/>
              </w:rPr>
            </w:pPr>
            <w:r w:rsidRPr="00327DAE">
              <w:rPr>
                <w:color w:val="000000"/>
                <w:sz w:val="24"/>
                <w:szCs w:val="24"/>
              </w:rPr>
              <w:t>0</w:t>
            </w:r>
          </w:p>
        </w:tc>
        <w:tc>
          <w:tcPr>
            <w:tcW w:w="2552" w:type="dxa"/>
            <w:shd w:val="clear" w:color="auto" w:fill="auto"/>
            <w:vAlign w:val="bottom"/>
            <w:hideMark/>
          </w:tcPr>
          <w:p w14:paraId="564394E2" w14:textId="77777777" w:rsidR="00B40DAA" w:rsidRPr="00327DAE" w:rsidRDefault="00B40DAA" w:rsidP="0025317F">
            <w:pPr>
              <w:spacing w:after="120"/>
              <w:jc w:val="right"/>
              <w:rPr>
                <w:color w:val="000000"/>
                <w:sz w:val="24"/>
                <w:szCs w:val="24"/>
              </w:rPr>
            </w:pPr>
            <w:r w:rsidRPr="00327DAE">
              <w:rPr>
                <w:color w:val="000000"/>
                <w:sz w:val="24"/>
                <w:szCs w:val="24"/>
              </w:rPr>
              <w:t>0</w:t>
            </w:r>
          </w:p>
        </w:tc>
      </w:tr>
      <w:tr w:rsidR="00B40DAA" w:rsidRPr="00327DAE" w14:paraId="4E37E6FC" w14:textId="77777777" w:rsidTr="00B40DAA">
        <w:trPr>
          <w:trHeight w:val="300"/>
        </w:trPr>
        <w:tc>
          <w:tcPr>
            <w:tcW w:w="960" w:type="dxa"/>
            <w:shd w:val="clear" w:color="auto" w:fill="auto"/>
            <w:noWrap/>
            <w:vAlign w:val="bottom"/>
            <w:hideMark/>
          </w:tcPr>
          <w:p w14:paraId="79C86EA1" w14:textId="77777777" w:rsidR="00B40DAA" w:rsidRPr="00327DAE" w:rsidRDefault="00B40DAA" w:rsidP="0025317F">
            <w:pPr>
              <w:spacing w:after="120"/>
              <w:jc w:val="right"/>
              <w:rPr>
                <w:color w:val="000000"/>
                <w:sz w:val="24"/>
                <w:szCs w:val="24"/>
              </w:rPr>
            </w:pPr>
            <w:r w:rsidRPr="00327DAE">
              <w:rPr>
                <w:color w:val="000000"/>
                <w:sz w:val="24"/>
                <w:szCs w:val="24"/>
              </w:rPr>
              <w:t>2008</w:t>
            </w:r>
          </w:p>
        </w:tc>
        <w:tc>
          <w:tcPr>
            <w:tcW w:w="2721" w:type="dxa"/>
            <w:shd w:val="clear" w:color="auto" w:fill="auto"/>
            <w:vAlign w:val="bottom"/>
            <w:hideMark/>
          </w:tcPr>
          <w:p w14:paraId="19490203" w14:textId="77777777" w:rsidR="00B40DAA" w:rsidRPr="00327DAE" w:rsidRDefault="00B40DAA" w:rsidP="0025317F">
            <w:pPr>
              <w:spacing w:after="120"/>
              <w:jc w:val="right"/>
              <w:rPr>
                <w:color w:val="000000"/>
                <w:sz w:val="24"/>
                <w:szCs w:val="24"/>
              </w:rPr>
            </w:pPr>
            <w:r w:rsidRPr="00327DAE">
              <w:rPr>
                <w:color w:val="000000"/>
                <w:sz w:val="24"/>
                <w:szCs w:val="24"/>
              </w:rPr>
              <w:t>1444</w:t>
            </w:r>
          </w:p>
        </w:tc>
        <w:tc>
          <w:tcPr>
            <w:tcW w:w="1984" w:type="dxa"/>
            <w:shd w:val="clear" w:color="auto" w:fill="auto"/>
            <w:vAlign w:val="bottom"/>
            <w:hideMark/>
          </w:tcPr>
          <w:p w14:paraId="20DEF9BE" w14:textId="77777777" w:rsidR="00B40DAA" w:rsidRPr="00327DAE" w:rsidRDefault="00B40DAA" w:rsidP="0025317F">
            <w:pPr>
              <w:spacing w:after="120"/>
              <w:jc w:val="right"/>
              <w:rPr>
                <w:color w:val="000000"/>
                <w:sz w:val="24"/>
                <w:szCs w:val="24"/>
              </w:rPr>
            </w:pPr>
            <w:r w:rsidRPr="00327DAE">
              <w:rPr>
                <w:color w:val="000000"/>
                <w:sz w:val="24"/>
                <w:szCs w:val="24"/>
              </w:rPr>
              <w:t>4</w:t>
            </w:r>
          </w:p>
        </w:tc>
        <w:tc>
          <w:tcPr>
            <w:tcW w:w="2552" w:type="dxa"/>
            <w:shd w:val="clear" w:color="auto" w:fill="auto"/>
            <w:vAlign w:val="bottom"/>
            <w:hideMark/>
          </w:tcPr>
          <w:p w14:paraId="251FC0E5" w14:textId="77777777" w:rsidR="00B40DAA" w:rsidRPr="00327DAE" w:rsidRDefault="00B40DAA" w:rsidP="0025317F">
            <w:pPr>
              <w:spacing w:after="120"/>
              <w:jc w:val="right"/>
              <w:rPr>
                <w:color w:val="000000"/>
                <w:sz w:val="24"/>
                <w:szCs w:val="24"/>
              </w:rPr>
            </w:pPr>
            <w:r w:rsidRPr="00327DAE">
              <w:rPr>
                <w:color w:val="000000"/>
                <w:sz w:val="24"/>
                <w:szCs w:val="24"/>
              </w:rPr>
              <w:t>6</w:t>
            </w:r>
          </w:p>
        </w:tc>
      </w:tr>
      <w:tr w:rsidR="00B40DAA" w:rsidRPr="00327DAE" w14:paraId="59984E89" w14:textId="77777777" w:rsidTr="00B40DAA">
        <w:trPr>
          <w:trHeight w:val="300"/>
        </w:trPr>
        <w:tc>
          <w:tcPr>
            <w:tcW w:w="960" w:type="dxa"/>
            <w:shd w:val="clear" w:color="auto" w:fill="auto"/>
            <w:noWrap/>
            <w:vAlign w:val="bottom"/>
            <w:hideMark/>
          </w:tcPr>
          <w:p w14:paraId="51A52A90" w14:textId="77777777" w:rsidR="00B40DAA" w:rsidRPr="00327DAE" w:rsidRDefault="00B40DAA" w:rsidP="0025317F">
            <w:pPr>
              <w:spacing w:after="120"/>
              <w:jc w:val="right"/>
              <w:rPr>
                <w:color w:val="000000"/>
                <w:sz w:val="24"/>
                <w:szCs w:val="24"/>
              </w:rPr>
            </w:pPr>
            <w:r w:rsidRPr="00327DAE">
              <w:rPr>
                <w:color w:val="000000"/>
                <w:sz w:val="24"/>
                <w:szCs w:val="24"/>
              </w:rPr>
              <w:t>2009</w:t>
            </w:r>
          </w:p>
        </w:tc>
        <w:tc>
          <w:tcPr>
            <w:tcW w:w="2721" w:type="dxa"/>
            <w:shd w:val="clear" w:color="auto" w:fill="auto"/>
            <w:vAlign w:val="bottom"/>
            <w:hideMark/>
          </w:tcPr>
          <w:p w14:paraId="485EA80F" w14:textId="77777777" w:rsidR="00B40DAA" w:rsidRPr="00327DAE" w:rsidRDefault="00B40DAA" w:rsidP="0025317F">
            <w:pPr>
              <w:spacing w:after="120"/>
              <w:jc w:val="right"/>
              <w:rPr>
                <w:color w:val="000000"/>
                <w:sz w:val="24"/>
                <w:szCs w:val="24"/>
              </w:rPr>
            </w:pPr>
            <w:r w:rsidRPr="00327DAE">
              <w:rPr>
                <w:color w:val="000000"/>
                <w:sz w:val="24"/>
                <w:szCs w:val="24"/>
              </w:rPr>
              <w:t>2149</w:t>
            </w:r>
          </w:p>
        </w:tc>
        <w:tc>
          <w:tcPr>
            <w:tcW w:w="1984" w:type="dxa"/>
            <w:shd w:val="clear" w:color="auto" w:fill="auto"/>
            <w:vAlign w:val="bottom"/>
            <w:hideMark/>
          </w:tcPr>
          <w:p w14:paraId="726227CE" w14:textId="77777777" w:rsidR="00B40DAA" w:rsidRPr="00327DAE" w:rsidRDefault="00B40DAA" w:rsidP="0025317F">
            <w:pPr>
              <w:spacing w:after="120"/>
              <w:jc w:val="right"/>
              <w:rPr>
                <w:color w:val="000000"/>
                <w:sz w:val="24"/>
                <w:szCs w:val="24"/>
              </w:rPr>
            </w:pPr>
            <w:r w:rsidRPr="00327DAE">
              <w:rPr>
                <w:color w:val="000000"/>
                <w:sz w:val="24"/>
                <w:szCs w:val="24"/>
              </w:rPr>
              <w:t>20</w:t>
            </w:r>
          </w:p>
        </w:tc>
        <w:tc>
          <w:tcPr>
            <w:tcW w:w="2552" w:type="dxa"/>
            <w:shd w:val="clear" w:color="auto" w:fill="auto"/>
            <w:vAlign w:val="bottom"/>
            <w:hideMark/>
          </w:tcPr>
          <w:p w14:paraId="3A9DFA4E" w14:textId="77777777" w:rsidR="00B40DAA" w:rsidRPr="00327DAE" w:rsidRDefault="00B40DAA" w:rsidP="0025317F">
            <w:pPr>
              <w:spacing w:after="120"/>
              <w:jc w:val="right"/>
              <w:rPr>
                <w:color w:val="000000"/>
                <w:sz w:val="24"/>
                <w:szCs w:val="24"/>
              </w:rPr>
            </w:pPr>
            <w:r w:rsidRPr="00327DAE">
              <w:rPr>
                <w:color w:val="000000"/>
                <w:sz w:val="24"/>
                <w:szCs w:val="24"/>
              </w:rPr>
              <w:t>53</w:t>
            </w:r>
          </w:p>
        </w:tc>
      </w:tr>
      <w:tr w:rsidR="00B40DAA" w:rsidRPr="00327DAE" w14:paraId="4E02856F" w14:textId="77777777" w:rsidTr="00B40DAA">
        <w:trPr>
          <w:trHeight w:val="300"/>
        </w:trPr>
        <w:tc>
          <w:tcPr>
            <w:tcW w:w="960" w:type="dxa"/>
            <w:shd w:val="clear" w:color="auto" w:fill="auto"/>
            <w:noWrap/>
            <w:vAlign w:val="bottom"/>
            <w:hideMark/>
          </w:tcPr>
          <w:p w14:paraId="4309D38F" w14:textId="77777777" w:rsidR="00B40DAA" w:rsidRPr="00327DAE" w:rsidRDefault="00B40DAA" w:rsidP="0025317F">
            <w:pPr>
              <w:spacing w:after="120"/>
              <w:jc w:val="right"/>
              <w:rPr>
                <w:color w:val="000000"/>
                <w:sz w:val="24"/>
                <w:szCs w:val="24"/>
              </w:rPr>
            </w:pPr>
            <w:r w:rsidRPr="00327DAE">
              <w:rPr>
                <w:color w:val="000000"/>
                <w:sz w:val="24"/>
                <w:szCs w:val="24"/>
              </w:rPr>
              <w:t>2010</w:t>
            </w:r>
          </w:p>
        </w:tc>
        <w:tc>
          <w:tcPr>
            <w:tcW w:w="2721" w:type="dxa"/>
            <w:shd w:val="clear" w:color="auto" w:fill="auto"/>
            <w:vAlign w:val="bottom"/>
            <w:hideMark/>
          </w:tcPr>
          <w:p w14:paraId="6B05DD1A" w14:textId="77777777" w:rsidR="00B40DAA" w:rsidRPr="00327DAE" w:rsidRDefault="00B40DAA" w:rsidP="0025317F">
            <w:pPr>
              <w:spacing w:after="120"/>
              <w:jc w:val="right"/>
              <w:rPr>
                <w:color w:val="000000"/>
                <w:sz w:val="24"/>
                <w:szCs w:val="24"/>
              </w:rPr>
            </w:pPr>
            <w:r w:rsidRPr="00327DAE">
              <w:rPr>
                <w:color w:val="000000"/>
                <w:sz w:val="24"/>
                <w:szCs w:val="24"/>
              </w:rPr>
              <w:t>2565</w:t>
            </w:r>
          </w:p>
        </w:tc>
        <w:tc>
          <w:tcPr>
            <w:tcW w:w="1984" w:type="dxa"/>
            <w:shd w:val="clear" w:color="auto" w:fill="auto"/>
            <w:vAlign w:val="bottom"/>
            <w:hideMark/>
          </w:tcPr>
          <w:p w14:paraId="5B002B93" w14:textId="77777777" w:rsidR="00B40DAA" w:rsidRPr="00327DAE" w:rsidRDefault="00B40DAA" w:rsidP="0025317F">
            <w:pPr>
              <w:spacing w:after="120"/>
              <w:jc w:val="right"/>
              <w:rPr>
                <w:color w:val="000000"/>
                <w:sz w:val="24"/>
                <w:szCs w:val="24"/>
              </w:rPr>
            </w:pPr>
            <w:r w:rsidRPr="00327DAE">
              <w:rPr>
                <w:color w:val="000000"/>
                <w:sz w:val="24"/>
                <w:szCs w:val="24"/>
              </w:rPr>
              <w:t>31</w:t>
            </w:r>
          </w:p>
        </w:tc>
        <w:tc>
          <w:tcPr>
            <w:tcW w:w="2552" w:type="dxa"/>
            <w:shd w:val="clear" w:color="auto" w:fill="auto"/>
            <w:vAlign w:val="bottom"/>
            <w:hideMark/>
          </w:tcPr>
          <w:p w14:paraId="30948D6E" w14:textId="77777777" w:rsidR="00B40DAA" w:rsidRPr="00327DAE" w:rsidRDefault="00B40DAA" w:rsidP="0025317F">
            <w:pPr>
              <w:spacing w:after="120"/>
              <w:jc w:val="right"/>
              <w:rPr>
                <w:color w:val="000000"/>
                <w:sz w:val="24"/>
                <w:szCs w:val="24"/>
              </w:rPr>
            </w:pPr>
            <w:r w:rsidRPr="00327DAE">
              <w:rPr>
                <w:color w:val="000000"/>
                <w:sz w:val="24"/>
                <w:szCs w:val="24"/>
              </w:rPr>
              <w:t>198</w:t>
            </w:r>
          </w:p>
        </w:tc>
      </w:tr>
      <w:tr w:rsidR="00B40DAA" w:rsidRPr="00327DAE" w14:paraId="3900097C" w14:textId="77777777" w:rsidTr="00B40DAA">
        <w:trPr>
          <w:trHeight w:val="300"/>
        </w:trPr>
        <w:tc>
          <w:tcPr>
            <w:tcW w:w="960" w:type="dxa"/>
            <w:shd w:val="clear" w:color="auto" w:fill="auto"/>
            <w:noWrap/>
            <w:vAlign w:val="bottom"/>
            <w:hideMark/>
          </w:tcPr>
          <w:p w14:paraId="51C5D04F" w14:textId="77777777" w:rsidR="00B40DAA" w:rsidRPr="00327DAE" w:rsidRDefault="00B40DAA" w:rsidP="0025317F">
            <w:pPr>
              <w:spacing w:after="120"/>
              <w:jc w:val="right"/>
              <w:rPr>
                <w:color w:val="000000"/>
                <w:sz w:val="24"/>
                <w:szCs w:val="24"/>
              </w:rPr>
            </w:pPr>
            <w:r w:rsidRPr="00327DAE">
              <w:rPr>
                <w:color w:val="000000"/>
                <w:sz w:val="24"/>
                <w:szCs w:val="24"/>
              </w:rPr>
              <w:t>2011</w:t>
            </w:r>
          </w:p>
        </w:tc>
        <w:tc>
          <w:tcPr>
            <w:tcW w:w="2721" w:type="dxa"/>
            <w:shd w:val="clear" w:color="auto" w:fill="auto"/>
            <w:vAlign w:val="bottom"/>
            <w:hideMark/>
          </w:tcPr>
          <w:p w14:paraId="2CD55080" w14:textId="77777777" w:rsidR="00B40DAA" w:rsidRPr="00327DAE" w:rsidRDefault="00B40DAA" w:rsidP="0025317F">
            <w:pPr>
              <w:spacing w:after="120"/>
              <w:jc w:val="right"/>
              <w:rPr>
                <w:color w:val="000000"/>
                <w:sz w:val="24"/>
                <w:szCs w:val="24"/>
              </w:rPr>
            </w:pPr>
            <w:r w:rsidRPr="00327DAE">
              <w:rPr>
                <w:color w:val="000000"/>
                <w:sz w:val="24"/>
                <w:szCs w:val="24"/>
              </w:rPr>
              <w:t>879</w:t>
            </w:r>
          </w:p>
        </w:tc>
        <w:tc>
          <w:tcPr>
            <w:tcW w:w="1984" w:type="dxa"/>
            <w:shd w:val="clear" w:color="auto" w:fill="auto"/>
            <w:vAlign w:val="bottom"/>
            <w:hideMark/>
          </w:tcPr>
          <w:p w14:paraId="0E7E0443" w14:textId="77777777" w:rsidR="00B40DAA" w:rsidRPr="00327DAE" w:rsidRDefault="00B40DAA" w:rsidP="0025317F">
            <w:pPr>
              <w:spacing w:after="120"/>
              <w:jc w:val="right"/>
              <w:rPr>
                <w:color w:val="000000"/>
                <w:sz w:val="24"/>
                <w:szCs w:val="24"/>
              </w:rPr>
            </w:pPr>
            <w:r w:rsidRPr="00327DAE">
              <w:rPr>
                <w:color w:val="000000"/>
                <w:sz w:val="24"/>
                <w:szCs w:val="24"/>
              </w:rPr>
              <w:t>19</w:t>
            </w:r>
          </w:p>
        </w:tc>
        <w:tc>
          <w:tcPr>
            <w:tcW w:w="2552" w:type="dxa"/>
            <w:shd w:val="clear" w:color="auto" w:fill="auto"/>
            <w:vAlign w:val="bottom"/>
            <w:hideMark/>
          </w:tcPr>
          <w:p w14:paraId="137635F1" w14:textId="77777777" w:rsidR="00B40DAA" w:rsidRPr="00327DAE" w:rsidRDefault="00B40DAA" w:rsidP="0025317F">
            <w:pPr>
              <w:spacing w:after="120"/>
              <w:jc w:val="right"/>
              <w:rPr>
                <w:color w:val="000000"/>
                <w:sz w:val="24"/>
                <w:szCs w:val="24"/>
              </w:rPr>
            </w:pPr>
            <w:r w:rsidRPr="00327DAE">
              <w:rPr>
                <w:color w:val="000000"/>
                <w:sz w:val="24"/>
                <w:szCs w:val="24"/>
              </w:rPr>
              <w:t>843</w:t>
            </w:r>
          </w:p>
        </w:tc>
      </w:tr>
      <w:tr w:rsidR="00B40DAA" w:rsidRPr="00327DAE" w14:paraId="79E1FE26" w14:textId="77777777" w:rsidTr="00B40DAA">
        <w:trPr>
          <w:trHeight w:val="300"/>
        </w:trPr>
        <w:tc>
          <w:tcPr>
            <w:tcW w:w="960" w:type="dxa"/>
            <w:shd w:val="clear" w:color="auto" w:fill="auto"/>
            <w:noWrap/>
            <w:vAlign w:val="bottom"/>
            <w:hideMark/>
          </w:tcPr>
          <w:p w14:paraId="5178B6F5" w14:textId="77777777" w:rsidR="00B40DAA" w:rsidRPr="00327DAE" w:rsidRDefault="00B40DAA" w:rsidP="0025317F">
            <w:pPr>
              <w:spacing w:after="120"/>
              <w:jc w:val="right"/>
              <w:rPr>
                <w:color w:val="000000"/>
                <w:sz w:val="24"/>
                <w:szCs w:val="24"/>
              </w:rPr>
            </w:pPr>
            <w:r w:rsidRPr="00327DAE">
              <w:rPr>
                <w:color w:val="000000"/>
                <w:sz w:val="24"/>
                <w:szCs w:val="24"/>
              </w:rPr>
              <w:t>2012</w:t>
            </w:r>
          </w:p>
        </w:tc>
        <w:tc>
          <w:tcPr>
            <w:tcW w:w="2721" w:type="dxa"/>
            <w:shd w:val="clear" w:color="auto" w:fill="auto"/>
            <w:vAlign w:val="bottom"/>
            <w:hideMark/>
          </w:tcPr>
          <w:p w14:paraId="1F0FB7D6" w14:textId="77777777" w:rsidR="00B40DAA" w:rsidRPr="00327DAE" w:rsidRDefault="00B40DAA" w:rsidP="0025317F">
            <w:pPr>
              <w:spacing w:after="120"/>
              <w:jc w:val="right"/>
              <w:rPr>
                <w:color w:val="000000"/>
                <w:sz w:val="24"/>
                <w:szCs w:val="24"/>
              </w:rPr>
            </w:pPr>
            <w:r w:rsidRPr="00327DAE">
              <w:rPr>
                <w:color w:val="000000"/>
                <w:sz w:val="24"/>
                <w:szCs w:val="24"/>
              </w:rPr>
              <w:t>881</w:t>
            </w:r>
          </w:p>
        </w:tc>
        <w:tc>
          <w:tcPr>
            <w:tcW w:w="1984" w:type="dxa"/>
            <w:shd w:val="clear" w:color="auto" w:fill="auto"/>
            <w:vAlign w:val="bottom"/>
            <w:hideMark/>
          </w:tcPr>
          <w:p w14:paraId="390C569F" w14:textId="77777777" w:rsidR="00B40DAA" w:rsidRPr="00327DAE" w:rsidRDefault="00B40DAA" w:rsidP="0025317F">
            <w:pPr>
              <w:spacing w:after="120"/>
              <w:jc w:val="right"/>
              <w:rPr>
                <w:color w:val="000000"/>
                <w:sz w:val="24"/>
                <w:szCs w:val="24"/>
              </w:rPr>
            </w:pPr>
            <w:r w:rsidRPr="00327DAE">
              <w:rPr>
                <w:color w:val="000000"/>
                <w:sz w:val="24"/>
                <w:szCs w:val="24"/>
              </w:rPr>
              <w:t>48</w:t>
            </w:r>
          </w:p>
        </w:tc>
        <w:tc>
          <w:tcPr>
            <w:tcW w:w="2552" w:type="dxa"/>
            <w:shd w:val="clear" w:color="auto" w:fill="auto"/>
            <w:vAlign w:val="bottom"/>
            <w:hideMark/>
          </w:tcPr>
          <w:p w14:paraId="2963EF59" w14:textId="77777777" w:rsidR="00B40DAA" w:rsidRPr="00327DAE" w:rsidRDefault="00B40DAA" w:rsidP="0025317F">
            <w:pPr>
              <w:spacing w:after="120"/>
              <w:jc w:val="right"/>
              <w:rPr>
                <w:color w:val="000000"/>
                <w:sz w:val="24"/>
                <w:szCs w:val="24"/>
              </w:rPr>
            </w:pPr>
            <w:r w:rsidRPr="00327DAE">
              <w:rPr>
                <w:color w:val="000000"/>
                <w:sz w:val="24"/>
                <w:szCs w:val="24"/>
              </w:rPr>
              <w:t>1374</w:t>
            </w:r>
          </w:p>
        </w:tc>
      </w:tr>
      <w:tr w:rsidR="00B40DAA" w:rsidRPr="00327DAE" w14:paraId="00A46C1B" w14:textId="77777777" w:rsidTr="00B40DAA">
        <w:trPr>
          <w:trHeight w:val="300"/>
        </w:trPr>
        <w:tc>
          <w:tcPr>
            <w:tcW w:w="960" w:type="dxa"/>
            <w:shd w:val="clear" w:color="auto" w:fill="auto"/>
            <w:noWrap/>
            <w:vAlign w:val="bottom"/>
            <w:hideMark/>
          </w:tcPr>
          <w:p w14:paraId="6DDFE952" w14:textId="77777777" w:rsidR="00B40DAA" w:rsidRPr="00327DAE" w:rsidRDefault="00B40DAA" w:rsidP="0025317F">
            <w:pPr>
              <w:spacing w:after="120"/>
              <w:jc w:val="right"/>
              <w:rPr>
                <w:color w:val="000000"/>
                <w:sz w:val="24"/>
                <w:szCs w:val="24"/>
              </w:rPr>
            </w:pPr>
            <w:r w:rsidRPr="00327DAE">
              <w:rPr>
                <w:color w:val="000000"/>
                <w:sz w:val="24"/>
                <w:szCs w:val="24"/>
              </w:rPr>
              <w:t>2013</w:t>
            </w:r>
          </w:p>
        </w:tc>
        <w:tc>
          <w:tcPr>
            <w:tcW w:w="2721" w:type="dxa"/>
            <w:shd w:val="clear" w:color="auto" w:fill="auto"/>
            <w:vAlign w:val="bottom"/>
            <w:hideMark/>
          </w:tcPr>
          <w:p w14:paraId="4206CFD2" w14:textId="77777777" w:rsidR="00B40DAA" w:rsidRPr="00327DAE" w:rsidRDefault="00B40DAA" w:rsidP="0025317F">
            <w:pPr>
              <w:spacing w:after="120"/>
              <w:jc w:val="right"/>
              <w:rPr>
                <w:color w:val="000000"/>
                <w:sz w:val="24"/>
                <w:szCs w:val="24"/>
              </w:rPr>
            </w:pPr>
            <w:r w:rsidRPr="00327DAE">
              <w:rPr>
                <w:color w:val="000000"/>
                <w:sz w:val="24"/>
                <w:szCs w:val="24"/>
              </w:rPr>
              <w:t>816</w:t>
            </w:r>
          </w:p>
        </w:tc>
        <w:tc>
          <w:tcPr>
            <w:tcW w:w="1984" w:type="dxa"/>
            <w:shd w:val="clear" w:color="auto" w:fill="auto"/>
            <w:vAlign w:val="bottom"/>
            <w:hideMark/>
          </w:tcPr>
          <w:p w14:paraId="1A5F8DD3" w14:textId="77777777" w:rsidR="00B40DAA" w:rsidRPr="00327DAE" w:rsidRDefault="00B40DAA" w:rsidP="0025317F">
            <w:pPr>
              <w:spacing w:after="120"/>
              <w:jc w:val="right"/>
              <w:rPr>
                <w:color w:val="000000"/>
                <w:sz w:val="24"/>
                <w:szCs w:val="24"/>
              </w:rPr>
            </w:pPr>
            <w:r w:rsidRPr="00327DAE">
              <w:rPr>
                <w:color w:val="000000"/>
                <w:sz w:val="24"/>
                <w:szCs w:val="24"/>
              </w:rPr>
              <w:t>56</w:t>
            </w:r>
          </w:p>
        </w:tc>
        <w:tc>
          <w:tcPr>
            <w:tcW w:w="2552" w:type="dxa"/>
            <w:shd w:val="clear" w:color="auto" w:fill="auto"/>
            <w:vAlign w:val="bottom"/>
            <w:hideMark/>
          </w:tcPr>
          <w:p w14:paraId="5ED085A8" w14:textId="77777777" w:rsidR="00B40DAA" w:rsidRPr="00327DAE" w:rsidRDefault="00B40DAA" w:rsidP="0025317F">
            <w:pPr>
              <w:spacing w:after="120"/>
              <w:jc w:val="right"/>
              <w:rPr>
                <w:color w:val="000000"/>
                <w:sz w:val="24"/>
                <w:szCs w:val="24"/>
              </w:rPr>
            </w:pPr>
            <w:r w:rsidRPr="00327DAE">
              <w:rPr>
                <w:color w:val="000000"/>
                <w:sz w:val="24"/>
                <w:szCs w:val="24"/>
              </w:rPr>
              <w:t>1573</w:t>
            </w:r>
          </w:p>
        </w:tc>
      </w:tr>
      <w:tr w:rsidR="00B40DAA" w:rsidRPr="00327DAE" w14:paraId="428AEC77" w14:textId="77777777" w:rsidTr="00B40DAA">
        <w:trPr>
          <w:trHeight w:val="300"/>
        </w:trPr>
        <w:tc>
          <w:tcPr>
            <w:tcW w:w="960" w:type="dxa"/>
            <w:shd w:val="clear" w:color="auto" w:fill="auto"/>
            <w:noWrap/>
            <w:vAlign w:val="bottom"/>
            <w:hideMark/>
          </w:tcPr>
          <w:p w14:paraId="3ED3F4C4" w14:textId="77777777" w:rsidR="00B40DAA" w:rsidRPr="00327DAE" w:rsidRDefault="00B40DAA" w:rsidP="0025317F">
            <w:pPr>
              <w:spacing w:after="120"/>
              <w:jc w:val="right"/>
              <w:rPr>
                <w:color w:val="000000"/>
                <w:sz w:val="24"/>
                <w:szCs w:val="24"/>
              </w:rPr>
            </w:pPr>
            <w:r w:rsidRPr="00327DAE">
              <w:rPr>
                <w:color w:val="000000"/>
                <w:sz w:val="24"/>
                <w:szCs w:val="24"/>
              </w:rPr>
              <w:t>2014</w:t>
            </w:r>
          </w:p>
        </w:tc>
        <w:tc>
          <w:tcPr>
            <w:tcW w:w="2721" w:type="dxa"/>
            <w:shd w:val="clear" w:color="auto" w:fill="auto"/>
            <w:vAlign w:val="bottom"/>
            <w:hideMark/>
          </w:tcPr>
          <w:p w14:paraId="6461DC71" w14:textId="77777777" w:rsidR="00B40DAA" w:rsidRPr="00327DAE" w:rsidRDefault="00B40DAA" w:rsidP="0025317F">
            <w:pPr>
              <w:spacing w:after="120"/>
              <w:jc w:val="right"/>
              <w:rPr>
                <w:color w:val="000000"/>
                <w:sz w:val="24"/>
                <w:szCs w:val="24"/>
              </w:rPr>
            </w:pPr>
            <w:r w:rsidRPr="00327DAE">
              <w:rPr>
                <w:color w:val="000000"/>
                <w:sz w:val="24"/>
                <w:szCs w:val="24"/>
              </w:rPr>
              <w:t>953</w:t>
            </w:r>
          </w:p>
        </w:tc>
        <w:tc>
          <w:tcPr>
            <w:tcW w:w="1984" w:type="dxa"/>
            <w:shd w:val="clear" w:color="auto" w:fill="auto"/>
            <w:vAlign w:val="bottom"/>
            <w:hideMark/>
          </w:tcPr>
          <w:p w14:paraId="1952CD2B" w14:textId="77777777" w:rsidR="00B40DAA" w:rsidRPr="00327DAE" w:rsidRDefault="00B40DAA" w:rsidP="0025317F">
            <w:pPr>
              <w:spacing w:after="120"/>
              <w:jc w:val="right"/>
              <w:rPr>
                <w:color w:val="000000"/>
                <w:sz w:val="24"/>
                <w:szCs w:val="24"/>
              </w:rPr>
            </w:pPr>
            <w:r w:rsidRPr="00327DAE">
              <w:rPr>
                <w:color w:val="000000"/>
                <w:sz w:val="24"/>
                <w:szCs w:val="24"/>
              </w:rPr>
              <w:t>72</w:t>
            </w:r>
          </w:p>
        </w:tc>
        <w:tc>
          <w:tcPr>
            <w:tcW w:w="2552" w:type="dxa"/>
            <w:shd w:val="clear" w:color="auto" w:fill="auto"/>
            <w:vAlign w:val="bottom"/>
            <w:hideMark/>
          </w:tcPr>
          <w:p w14:paraId="1895B69A" w14:textId="77777777" w:rsidR="00B40DAA" w:rsidRPr="00327DAE" w:rsidRDefault="00B40DAA" w:rsidP="0025317F">
            <w:pPr>
              <w:spacing w:after="120"/>
              <w:jc w:val="right"/>
              <w:rPr>
                <w:color w:val="000000"/>
                <w:sz w:val="24"/>
                <w:szCs w:val="24"/>
              </w:rPr>
            </w:pPr>
            <w:r w:rsidRPr="00327DAE">
              <w:rPr>
                <w:color w:val="000000"/>
                <w:sz w:val="24"/>
                <w:szCs w:val="24"/>
              </w:rPr>
              <w:t>1289</w:t>
            </w:r>
          </w:p>
        </w:tc>
      </w:tr>
      <w:tr w:rsidR="00B40DAA" w:rsidRPr="00327DAE" w14:paraId="69623B31" w14:textId="77777777" w:rsidTr="00B40DAA">
        <w:trPr>
          <w:trHeight w:val="300"/>
        </w:trPr>
        <w:tc>
          <w:tcPr>
            <w:tcW w:w="960" w:type="dxa"/>
            <w:shd w:val="clear" w:color="auto" w:fill="auto"/>
            <w:noWrap/>
            <w:vAlign w:val="bottom"/>
            <w:hideMark/>
          </w:tcPr>
          <w:p w14:paraId="669E65BF" w14:textId="77777777" w:rsidR="00B40DAA" w:rsidRPr="00327DAE" w:rsidRDefault="00B40DAA" w:rsidP="0025317F">
            <w:pPr>
              <w:spacing w:after="120"/>
              <w:rPr>
                <w:color w:val="000000"/>
                <w:sz w:val="24"/>
                <w:szCs w:val="24"/>
              </w:rPr>
            </w:pPr>
            <w:r w:rsidRPr="00327DAE">
              <w:rPr>
                <w:color w:val="000000"/>
                <w:sz w:val="24"/>
                <w:szCs w:val="24"/>
              </w:rPr>
              <w:t>kopā</w:t>
            </w:r>
          </w:p>
        </w:tc>
        <w:tc>
          <w:tcPr>
            <w:tcW w:w="2721" w:type="dxa"/>
            <w:shd w:val="clear" w:color="auto" w:fill="auto"/>
            <w:noWrap/>
            <w:vAlign w:val="bottom"/>
            <w:hideMark/>
          </w:tcPr>
          <w:p w14:paraId="65B24C64" w14:textId="77777777" w:rsidR="00B40DAA" w:rsidRPr="00327DAE" w:rsidRDefault="00B40DAA" w:rsidP="0025317F">
            <w:pPr>
              <w:spacing w:after="120"/>
              <w:jc w:val="right"/>
              <w:rPr>
                <w:color w:val="000000"/>
                <w:sz w:val="24"/>
                <w:szCs w:val="24"/>
              </w:rPr>
            </w:pPr>
            <w:r w:rsidRPr="00327DAE">
              <w:rPr>
                <w:color w:val="000000"/>
                <w:sz w:val="24"/>
                <w:szCs w:val="24"/>
              </w:rPr>
              <w:t>11001</w:t>
            </w:r>
          </w:p>
        </w:tc>
        <w:tc>
          <w:tcPr>
            <w:tcW w:w="1984" w:type="dxa"/>
            <w:shd w:val="clear" w:color="auto" w:fill="auto"/>
            <w:noWrap/>
            <w:vAlign w:val="bottom"/>
            <w:hideMark/>
          </w:tcPr>
          <w:p w14:paraId="042989C6" w14:textId="77777777" w:rsidR="00B40DAA" w:rsidRPr="00327DAE" w:rsidRDefault="00B40DAA" w:rsidP="0025317F">
            <w:pPr>
              <w:spacing w:after="120"/>
              <w:jc w:val="right"/>
              <w:rPr>
                <w:color w:val="000000"/>
                <w:sz w:val="24"/>
                <w:szCs w:val="24"/>
              </w:rPr>
            </w:pPr>
            <w:r w:rsidRPr="00327DAE">
              <w:rPr>
                <w:color w:val="000000"/>
                <w:sz w:val="24"/>
                <w:szCs w:val="24"/>
              </w:rPr>
              <w:t>250</w:t>
            </w:r>
          </w:p>
        </w:tc>
        <w:tc>
          <w:tcPr>
            <w:tcW w:w="2552" w:type="dxa"/>
            <w:shd w:val="clear" w:color="auto" w:fill="auto"/>
            <w:vAlign w:val="bottom"/>
            <w:hideMark/>
          </w:tcPr>
          <w:p w14:paraId="4897248E" w14:textId="77777777" w:rsidR="00B40DAA" w:rsidRPr="00327DAE" w:rsidRDefault="00B40DAA" w:rsidP="0025317F">
            <w:pPr>
              <w:spacing w:after="120"/>
              <w:jc w:val="right"/>
              <w:rPr>
                <w:color w:val="000000"/>
                <w:sz w:val="24"/>
                <w:szCs w:val="24"/>
              </w:rPr>
            </w:pPr>
            <w:r w:rsidRPr="00327DAE">
              <w:rPr>
                <w:color w:val="000000"/>
                <w:sz w:val="24"/>
                <w:szCs w:val="24"/>
              </w:rPr>
              <w:t>5336</w:t>
            </w:r>
          </w:p>
        </w:tc>
      </w:tr>
    </w:tbl>
    <w:p w14:paraId="4AE9C694" w14:textId="77777777" w:rsidR="004546C7" w:rsidRPr="00327DAE" w:rsidRDefault="004546C7" w:rsidP="0025317F">
      <w:pPr>
        <w:spacing w:after="120"/>
        <w:rPr>
          <w:sz w:val="24"/>
          <w:szCs w:val="24"/>
        </w:rPr>
      </w:pPr>
    </w:p>
    <w:p w14:paraId="41A08E7E" w14:textId="77777777" w:rsidR="00B40DAA" w:rsidRPr="00327DAE" w:rsidRDefault="00B40DAA" w:rsidP="0025317F">
      <w:pPr>
        <w:pStyle w:val="Heading3"/>
      </w:pPr>
      <w:bookmarkStart w:id="63" w:name="_Toc522527535"/>
      <w:bookmarkStart w:id="64" w:name="_Toc511034487"/>
      <w:r w:rsidRPr="00327DAE">
        <w:t>Lietu izskatīšana Augstākajā tiesā</w:t>
      </w:r>
      <w:bookmarkEnd w:id="63"/>
      <w:r w:rsidRPr="00327DAE">
        <w:t xml:space="preserve"> </w:t>
      </w:r>
    </w:p>
    <w:p w14:paraId="47874ED7" w14:textId="13B3C787" w:rsidR="00B40DAA" w:rsidRPr="00327DAE" w:rsidRDefault="00B40DAA" w:rsidP="0025317F">
      <w:pPr>
        <w:spacing w:after="120"/>
        <w:ind w:firstLine="720"/>
        <w:rPr>
          <w:sz w:val="24"/>
          <w:szCs w:val="24"/>
        </w:rPr>
      </w:pPr>
      <w:r w:rsidRPr="00327DAE">
        <w:rPr>
          <w:sz w:val="24"/>
          <w:szCs w:val="24"/>
        </w:rPr>
        <w:t>Laika posmā no 2008.</w:t>
      </w:r>
      <w:r w:rsidR="006A0BBA">
        <w:rPr>
          <w:sz w:val="24"/>
          <w:szCs w:val="24"/>
        </w:rPr>
        <w:t> </w:t>
      </w:r>
      <w:r w:rsidRPr="00327DAE">
        <w:rPr>
          <w:sz w:val="24"/>
          <w:szCs w:val="24"/>
        </w:rPr>
        <w:t>gada 1.</w:t>
      </w:r>
      <w:r w:rsidR="006A0BBA">
        <w:rPr>
          <w:sz w:val="24"/>
          <w:szCs w:val="24"/>
        </w:rPr>
        <w:t> </w:t>
      </w:r>
      <w:r w:rsidRPr="00327DAE">
        <w:rPr>
          <w:sz w:val="24"/>
          <w:szCs w:val="24"/>
        </w:rPr>
        <w:t>janvāra līdz 2014.</w:t>
      </w:r>
      <w:r w:rsidR="006A0BBA">
        <w:rPr>
          <w:sz w:val="24"/>
          <w:szCs w:val="24"/>
        </w:rPr>
        <w:t> </w:t>
      </w:r>
      <w:r w:rsidRPr="00327DAE">
        <w:rPr>
          <w:sz w:val="24"/>
          <w:szCs w:val="24"/>
        </w:rPr>
        <w:t>gada 31.</w:t>
      </w:r>
      <w:r w:rsidR="006A0BBA">
        <w:rPr>
          <w:sz w:val="24"/>
          <w:szCs w:val="24"/>
        </w:rPr>
        <w:t> </w:t>
      </w:r>
      <w:r w:rsidRPr="00327DAE">
        <w:rPr>
          <w:sz w:val="24"/>
          <w:szCs w:val="24"/>
        </w:rPr>
        <w:t>decembrim Augstākā</w:t>
      </w:r>
      <w:r w:rsidR="006A0BBA">
        <w:rPr>
          <w:sz w:val="24"/>
          <w:szCs w:val="24"/>
        </w:rPr>
        <w:t>s</w:t>
      </w:r>
      <w:r w:rsidRPr="00327DAE">
        <w:rPr>
          <w:sz w:val="24"/>
          <w:szCs w:val="24"/>
        </w:rPr>
        <w:t xml:space="preserve"> tiesas Civillietu departaments, izskatot lietas</w:t>
      </w:r>
      <w:r w:rsidR="002150CE">
        <w:rPr>
          <w:sz w:val="24"/>
          <w:szCs w:val="24"/>
        </w:rPr>
        <w:t>,</w:t>
      </w:r>
      <w:r w:rsidRPr="00327DAE">
        <w:rPr>
          <w:sz w:val="24"/>
          <w:szCs w:val="24"/>
        </w:rPr>
        <w:t xml:space="preserve"> pamatojoties uz saņemtiem protestiem, atcēlis 118 pirmās instances tiesas tiesnešu nolēmumus, kas saistāmi ar maksātnespējas jautājumu izlemšanu tiesās.</w:t>
      </w:r>
    </w:p>
    <w:p w14:paraId="2CE86A7E" w14:textId="77777777" w:rsidR="00B40DAA" w:rsidRPr="00327DAE" w:rsidRDefault="00B40DAA" w:rsidP="0025317F">
      <w:pPr>
        <w:spacing w:after="120"/>
        <w:rPr>
          <w:sz w:val="24"/>
          <w:szCs w:val="24"/>
        </w:rPr>
      </w:pPr>
    </w:p>
    <w:p w14:paraId="6B4A3C30" w14:textId="77777777" w:rsidR="00B40DAA" w:rsidRPr="00327DAE" w:rsidRDefault="00B40DAA" w:rsidP="0025317F">
      <w:pPr>
        <w:pStyle w:val="Heading4"/>
        <w:rPr>
          <w:rFonts w:cs="Times New Roman"/>
          <w:szCs w:val="24"/>
        </w:rPr>
      </w:pPr>
      <w:bookmarkStart w:id="65" w:name="_Toc522527536"/>
      <w:r w:rsidRPr="00327DAE">
        <w:rPr>
          <w:rFonts w:cs="Times New Roman"/>
          <w:szCs w:val="24"/>
        </w:rPr>
        <w:t>SPC apmierināto protestu skaits 2008-2014</w:t>
      </w:r>
      <w:bookmarkEnd w:id="64"/>
      <w:bookmarkEnd w:id="65"/>
    </w:p>
    <w:tbl>
      <w:tblPr>
        <w:tblStyle w:val="TableGrid"/>
        <w:tblW w:w="0" w:type="auto"/>
        <w:tblLook w:val="04A0" w:firstRow="1" w:lastRow="0" w:firstColumn="1" w:lastColumn="0" w:noHBand="0" w:noVBand="1"/>
      </w:tblPr>
      <w:tblGrid>
        <w:gridCol w:w="4148"/>
        <w:gridCol w:w="4148"/>
      </w:tblGrid>
      <w:tr w:rsidR="00B40DAA" w:rsidRPr="00327DAE" w14:paraId="548303AF" w14:textId="77777777" w:rsidTr="00B40DAA">
        <w:tc>
          <w:tcPr>
            <w:tcW w:w="4148" w:type="dxa"/>
          </w:tcPr>
          <w:p w14:paraId="19F3E42B" w14:textId="77777777" w:rsidR="00B40DAA" w:rsidRPr="00327DAE" w:rsidRDefault="00B40DAA" w:rsidP="0025317F">
            <w:pPr>
              <w:spacing w:after="120"/>
              <w:rPr>
                <w:sz w:val="24"/>
                <w:szCs w:val="24"/>
              </w:rPr>
            </w:pPr>
            <w:r w:rsidRPr="00327DAE">
              <w:rPr>
                <w:sz w:val="24"/>
                <w:szCs w:val="24"/>
              </w:rPr>
              <w:t>Gads</w:t>
            </w:r>
          </w:p>
        </w:tc>
        <w:tc>
          <w:tcPr>
            <w:tcW w:w="4148" w:type="dxa"/>
          </w:tcPr>
          <w:p w14:paraId="3C84FA4C" w14:textId="77777777" w:rsidR="00B40DAA" w:rsidRPr="00327DAE" w:rsidRDefault="00B40DAA" w:rsidP="0025317F">
            <w:pPr>
              <w:spacing w:after="120"/>
              <w:rPr>
                <w:sz w:val="24"/>
                <w:szCs w:val="24"/>
              </w:rPr>
            </w:pPr>
            <w:r w:rsidRPr="00327DAE">
              <w:rPr>
                <w:sz w:val="24"/>
                <w:szCs w:val="24"/>
              </w:rPr>
              <w:t>Apmierināto protestu skaits maksātnespējas lietās</w:t>
            </w:r>
          </w:p>
        </w:tc>
      </w:tr>
      <w:tr w:rsidR="00B40DAA" w:rsidRPr="00327DAE" w14:paraId="7ACA3102" w14:textId="77777777" w:rsidTr="00B40DAA">
        <w:tc>
          <w:tcPr>
            <w:tcW w:w="4148" w:type="dxa"/>
          </w:tcPr>
          <w:p w14:paraId="413134C1" w14:textId="77777777" w:rsidR="00B40DAA" w:rsidRPr="00327DAE" w:rsidRDefault="00B40DAA" w:rsidP="0025317F">
            <w:pPr>
              <w:spacing w:after="120"/>
              <w:rPr>
                <w:sz w:val="24"/>
                <w:szCs w:val="24"/>
              </w:rPr>
            </w:pPr>
            <w:r w:rsidRPr="00327DAE">
              <w:rPr>
                <w:sz w:val="24"/>
                <w:szCs w:val="24"/>
              </w:rPr>
              <w:t>2008</w:t>
            </w:r>
          </w:p>
        </w:tc>
        <w:tc>
          <w:tcPr>
            <w:tcW w:w="4148" w:type="dxa"/>
          </w:tcPr>
          <w:p w14:paraId="17C1A456" w14:textId="77777777" w:rsidR="00B40DAA" w:rsidRPr="00327DAE" w:rsidRDefault="00B40DAA" w:rsidP="0025317F">
            <w:pPr>
              <w:spacing w:after="120"/>
              <w:rPr>
                <w:sz w:val="24"/>
                <w:szCs w:val="24"/>
              </w:rPr>
            </w:pPr>
            <w:r w:rsidRPr="00327DAE">
              <w:rPr>
                <w:sz w:val="24"/>
                <w:szCs w:val="24"/>
              </w:rPr>
              <w:t>5</w:t>
            </w:r>
          </w:p>
        </w:tc>
      </w:tr>
      <w:tr w:rsidR="00B40DAA" w:rsidRPr="00327DAE" w14:paraId="1837E1F8" w14:textId="77777777" w:rsidTr="00B40DAA">
        <w:tc>
          <w:tcPr>
            <w:tcW w:w="4148" w:type="dxa"/>
          </w:tcPr>
          <w:p w14:paraId="39C71BA7" w14:textId="77777777" w:rsidR="00B40DAA" w:rsidRPr="00327DAE" w:rsidRDefault="00B40DAA" w:rsidP="0025317F">
            <w:pPr>
              <w:spacing w:after="120"/>
              <w:rPr>
                <w:sz w:val="24"/>
                <w:szCs w:val="24"/>
              </w:rPr>
            </w:pPr>
            <w:r w:rsidRPr="00327DAE">
              <w:rPr>
                <w:sz w:val="24"/>
                <w:szCs w:val="24"/>
              </w:rPr>
              <w:t>2009</w:t>
            </w:r>
          </w:p>
        </w:tc>
        <w:tc>
          <w:tcPr>
            <w:tcW w:w="4148" w:type="dxa"/>
          </w:tcPr>
          <w:p w14:paraId="267CAE4F" w14:textId="77777777" w:rsidR="00B40DAA" w:rsidRPr="00327DAE" w:rsidRDefault="00B40DAA" w:rsidP="0025317F">
            <w:pPr>
              <w:spacing w:after="120"/>
              <w:rPr>
                <w:sz w:val="24"/>
                <w:szCs w:val="24"/>
              </w:rPr>
            </w:pPr>
            <w:r w:rsidRPr="00327DAE">
              <w:rPr>
                <w:sz w:val="24"/>
                <w:szCs w:val="24"/>
              </w:rPr>
              <w:t>11</w:t>
            </w:r>
          </w:p>
        </w:tc>
      </w:tr>
      <w:tr w:rsidR="00B40DAA" w:rsidRPr="00327DAE" w14:paraId="2DEF6FEE" w14:textId="77777777" w:rsidTr="00B40DAA">
        <w:tc>
          <w:tcPr>
            <w:tcW w:w="4148" w:type="dxa"/>
          </w:tcPr>
          <w:p w14:paraId="32E4B5B2" w14:textId="77777777" w:rsidR="00B40DAA" w:rsidRPr="00327DAE" w:rsidRDefault="00B40DAA" w:rsidP="0025317F">
            <w:pPr>
              <w:spacing w:after="120"/>
              <w:rPr>
                <w:sz w:val="24"/>
                <w:szCs w:val="24"/>
              </w:rPr>
            </w:pPr>
            <w:r w:rsidRPr="00327DAE">
              <w:rPr>
                <w:sz w:val="24"/>
                <w:szCs w:val="24"/>
              </w:rPr>
              <w:t>2010</w:t>
            </w:r>
          </w:p>
        </w:tc>
        <w:tc>
          <w:tcPr>
            <w:tcW w:w="4148" w:type="dxa"/>
          </w:tcPr>
          <w:p w14:paraId="0B1B35E6" w14:textId="77777777" w:rsidR="00B40DAA" w:rsidRPr="00327DAE" w:rsidRDefault="00B40DAA" w:rsidP="0025317F">
            <w:pPr>
              <w:spacing w:after="120"/>
              <w:rPr>
                <w:sz w:val="24"/>
                <w:szCs w:val="24"/>
              </w:rPr>
            </w:pPr>
            <w:r w:rsidRPr="00327DAE">
              <w:rPr>
                <w:sz w:val="24"/>
                <w:szCs w:val="24"/>
              </w:rPr>
              <w:t>37</w:t>
            </w:r>
          </w:p>
        </w:tc>
      </w:tr>
      <w:tr w:rsidR="00B40DAA" w:rsidRPr="00327DAE" w14:paraId="5E58E24C" w14:textId="77777777" w:rsidTr="00B40DAA">
        <w:tc>
          <w:tcPr>
            <w:tcW w:w="4148" w:type="dxa"/>
          </w:tcPr>
          <w:p w14:paraId="55A5B9DA" w14:textId="77777777" w:rsidR="00B40DAA" w:rsidRPr="00327DAE" w:rsidRDefault="00B40DAA" w:rsidP="0025317F">
            <w:pPr>
              <w:spacing w:after="120"/>
              <w:rPr>
                <w:sz w:val="24"/>
                <w:szCs w:val="24"/>
              </w:rPr>
            </w:pPr>
            <w:r w:rsidRPr="00327DAE">
              <w:rPr>
                <w:sz w:val="24"/>
                <w:szCs w:val="24"/>
              </w:rPr>
              <w:t>2011</w:t>
            </w:r>
          </w:p>
        </w:tc>
        <w:tc>
          <w:tcPr>
            <w:tcW w:w="4148" w:type="dxa"/>
          </w:tcPr>
          <w:p w14:paraId="51D7C978" w14:textId="77777777" w:rsidR="00B40DAA" w:rsidRPr="00327DAE" w:rsidRDefault="00B40DAA" w:rsidP="0025317F">
            <w:pPr>
              <w:spacing w:after="120"/>
              <w:rPr>
                <w:sz w:val="24"/>
                <w:szCs w:val="24"/>
              </w:rPr>
            </w:pPr>
            <w:r w:rsidRPr="00327DAE">
              <w:rPr>
                <w:sz w:val="24"/>
                <w:szCs w:val="24"/>
              </w:rPr>
              <w:t>21</w:t>
            </w:r>
          </w:p>
        </w:tc>
      </w:tr>
      <w:tr w:rsidR="00B40DAA" w:rsidRPr="00327DAE" w14:paraId="305A1D0F" w14:textId="77777777" w:rsidTr="00B40DAA">
        <w:tc>
          <w:tcPr>
            <w:tcW w:w="4148" w:type="dxa"/>
          </w:tcPr>
          <w:p w14:paraId="12EE786B" w14:textId="77777777" w:rsidR="00B40DAA" w:rsidRPr="00327DAE" w:rsidRDefault="00B40DAA" w:rsidP="0025317F">
            <w:pPr>
              <w:spacing w:after="120"/>
              <w:rPr>
                <w:sz w:val="24"/>
                <w:szCs w:val="24"/>
              </w:rPr>
            </w:pPr>
            <w:r w:rsidRPr="00327DAE">
              <w:rPr>
                <w:sz w:val="24"/>
                <w:szCs w:val="24"/>
              </w:rPr>
              <w:t>2012</w:t>
            </w:r>
          </w:p>
        </w:tc>
        <w:tc>
          <w:tcPr>
            <w:tcW w:w="4148" w:type="dxa"/>
          </w:tcPr>
          <w:p w14:paraId="618E6F8B" w14:textId="77777777" w:rsidR="00B40DAA" w:rsidRPr="00327DAE" w:rsidRDefault="00B40DAA" w:rsidP="0025317F">
            <w:pPr>
              <w:spacing w:after="120"/>
              <w:rPr>
                <w:sz w:val="24"/>
                <w:szCs w:val="24"/>
              </w:rPr>
            </w:pPr>
            <w:r w:rsidRPr="00327DAE">
              <w:rPr>
                <w:sz w:val="24"/>
                <w:szCs w:val="24"/>
              </w:rPr>
              <w:t>15</w:t>
            </w:r>
          </w:p>
        </w:tc>
      </w:tr>
      <w:tr w:rsidR="00B40DAA" w:rsidRPr="00327DAE" w14:paraId="7F285D4D" w14:textId="77777777" w:rsidTr="00B40DAA">
        <w:tc>
          <w:tcPr>
            <w:tcW w:w="4148" w:type="dxa"/>
          </w:tcPr>
          <w:p w14:paraId="0C19A211" w14:textId="77777777" w:rsidR="00B40DAA" w:rsidRPr="00327DAE" w:rsidRDefault="00B40DAA" w:rsidP="0025317F">
            <w:pPr>
              <w:spacing w:after="120"/>
              <w:rPr>
                <w:sz w:val="24"/>
                <w:szCs w:val="24"/>
              </w:rPr>
            </w:pPr>
            <w:r w:rsidRPr="00327DAE">
              <w:rPr>
                <w:sz w:val="24"/>
                <w:szCs w:val="24"/>
              </w:rPr>
              <w:t>2013</w:t>
            </w:r>
          </w:p>
        </w:tc>
        <w:tc>
          <w:tcPr>
            <w:tcW w:w="4148" w:type="dxa"/>
          </w:tcPr>
          <w:p w14:paraId="4E6B22F1" w14:textId="77777777" w:rsidR="00B40DAA" w:rsidRPr="00327DAE" w:rsidRDefault="00B40DAA" w:rsidP="0025317F">
            <w:pPr>
              <w:spacing w:after="120"/>
              <w:rPr>
                <w:sz w:val="24"/>
                <w:szCs w:val="24"/>
              </w:rPr>
            </w:pPr>
            <w:r w:rsidRPr="00327DAE">
              <w:rPr>
                <w:sz w:val="24"/>
                <w:szCs w:val="24"/>
              </w:rPr>
              <w:t>16</w:t>
            </w:r>
          </w:p>
        </w:tc>
      </w:tr>
      <w:tr w:rsidR="00B40DAA" w:rsidRPr="00327DAE" w14:paraId="2361A2AA" w14:textId="77777777" w:rsidTr="00B40DAA">
        <w:tc>
          <w:tcPr>
            <w:tcW w:w="4148" w:type="dxa"/>
          </w:tcPr>
          <w:p w14:paraId="4A904670" w14:textId="77777777" w:rsidR="00B40DAA" w:rsidRPr="00327DAE" w:rsidRDefault="00B40DAA" w:rsidP="0025317F">
            <w:pPr>
              <w:spacing w:after="120"/>
              <w:rPr>
                <w:sz w:val="24"/>
                <w:szCs w:val="24"/>
              </w:rPr>
            </w:pPr>
            <w:r w:rsidRPr="00327DAE">
              <w:rPr>
                <w:sz w:val="24"/>
                <w:szCs w:val="24"/>
              </w:rPr>
              <w:t>2014</w:t>
            </w:r>
          </w:p>
        </w:tc>
        <w:tc>
          <w:tcPr>
            <w:tcW w:w="4148" w:type="dxa"/>
          </w:tcPr>
          <w:p w14:paraId="6E278F3F" w14:textId="77777777" w:rsidR="00B40DAA" w:rsidRPr="00327DAE" w:rsidRDefault="00B40DAA" w:rsidP="0025317F">
            <w:pPr>
              <w:spacing w:after="120"/>
              <w:rPr>
                <w:sz w:val="24"/>
                <w:szCs w:val="24"/>
              </w:rPr>
            </w:pPr>
            <w:r w:rsidRPr="00327DAE">
              <w:rPr>
                <w:sz w:val="24"/>
                <w:szCs w:val="24"/>
              </w:rPr>
              <w:t>13</w:t>
            </w:r>
          </w:p>
        </w:tc>
      </w:tr>
    </w:tbl>
    <w:p w14:paraId="73AA2AE6" w14:textId="77777777" w:rsidR="00B40DAA" w:rsidRPr="00327DAE" w:rsidRDefault="00B40DAA" w:rsidP="0025317F">
      <w:pPr>
        <w:spacing w:after="120"/>
        <w:rPr>
          <w:sz w:val="24"/>
          <w:szCs w:val="24"/>
        </w:rPr>
      </w:pPr>
    </w:p>
    <w:p w14:paraId="623C9CE8" w14:textId="77777777" w:rsidR="00B40DAA" w:rsidRPr="00327DAE" w:rsidRDefault="00B40DAA" w:rsidP="0025317F">
      <w:pPr>
        <w:spacing w:after="120"/>
        <w:rPr>
          <w:sz w:val="24"/>
          <w:szCs w:val="24"/>
        </w:rPr>
      </w:pPr>
      <w:r w:rsidRPr="00327DAE">
        <w:rPr>
          <w:sz w:val="24"/>
          <w:szCs w:val="24"/>
        </w:rPr>
        <w:lastRenderedPageBreak/>
        <w:t>Nolēmumu sadalījums: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16"/>
        <w:gridCol w:w="993"/>
        <w:gridCol w:w="1597"/>
        <w:gridCol w:w="1633"/>
        <w:gridCol w:w="1560"/>
      </w:tblGrid>
      <w:tr w:rsidR="00B40DAA" w:rsidRPr="00327DAE" w14:paraId="2CD4B93C" w14:textId="77777777" w:rsidTr="00B40DAA">
        <w:trPr>
          <w:trHeight w:val="833"/>
        </w:trPr>
        <w:tc>
          <w:tcPr>
            <w:tcW w:w="960" w:type="dxa"/>
            <w:shd w:val="clear" w:color="auto" w:fill="auto"/>
            <w:vAlign w:val="bottom"/>
            <w:hideMark/>
          </w:tcPr>
          <w:p w14:paraId="4A5C6B17" w14:textId="77777777" w:rsidR="00B40DAA" w:rsidRPr="00327DAE" w:rsidRDefault="00B40DAA" w:rsidP="0025317F">
            <w:pPr>
              <w:spacing w:after="120"/>
              <w:rPr>
                <w:sz w:val="24"/>
                <w:szCs w:val="24"/>
              </w:rPr>
            </w:pPr>
          </w:p>
        </w:tc>
        <w:tc>
          <w:tcPr>
            <w:tcW w:w="1444" w:type="dxa"/>
            <w:shd w:val="clear" w:color="auto" w:fill="auto"/>
            <w:vAlign w:val="bottom"/>
            <w:hideMark/>
          </w:tcPr>
          <w:p w14:paraId="56852007" w14:textId="4F1E63AA" w:rsidR="00B40DAA" w:rsidRPr="00327DAE" w:rsidRDefault="00B40DAA" w:rsidP="0025317F">
            <w:pPr>
              <w:spacing w:after="120"/>
              <w:rPr>
                <w:color w:val="000000"/>
                <w:sz w:val="24"/>
                <w:szCs w:val="24"/>
              </w:rPr>
            </w:pPr>
            <w:r w:rsidRPr="00327DAE">
              <w:rPr>
                <w:color w:val="000000"/>
                <w:sz w:val="24"/>
                <w:szCs w:val="24"/>
              </w:rPr>
              <w:t>Uzņēmumu (juridisku personu) maksātnespēj</w:t>
            </w:r>
            <w:r w:rsidR="006A0BBA">
              <w:rPr>
                <w:color w:val="000000"/>
                <w:sz w:val="24"/>
                <w:szCs w:val="24"/>
              </w:rPr>
              <w:t>a</w:t>
            </w:r>
          </w:p>
        </w:tc>
        <w:tc>
          <w:tcPr>
            <w:tcW w:w="993" w:type="dxa"/>
            <w:shd w:val="clear" w:color="auto" w:fill="auto"/>
            <w:vAlign w:val="bottom"/>
            <w:hideMark/>
          </w:tcPr>
          <w:p w14:paraId="4C2AA21B" w14:textId="77777777" w:rsidR="00B40DAA" w:rsidRPr="00327DAE" w:rsidRDefault="00B40DAA" w:rsidP="0025317F">
            <w:pPr>
              <w:spacing w:after="120"/>
              <w:rPr>
                <w:color w:val="000000"/>
                <w:sz w:val="24"/>
                <w:szCs w:val="24"/>
              </w:rPr>
            </w:pPr>
            <w:r w:rsidRPr="00327DAE">
              <w:rPr>
                <w:color w:val="000000"/>
                <w:sz w:val="24"/>
                <w:szCs w:val="24"/>
              </w:rPr>
              <w:t>TAP</w:t>
            </w:r>
          </w:p>
        </w:tc>
        <w:tc>
          <w:tcPr>
            <w:tcW w:w="1765" w:type="dxa"/>
            <w:shd w:val="clear" w:color="auto" w:fill="auto"/>
            <w:vAlign w:val="bottom"/>
            <w:hideMark/>
          </w:tcPr>
          <w:p w14:paraId="1A99BF6D" w14:textId="77777777" w:rsidR="00B40DAA" w:rsidRPr="00327DAE" w:rsidRDefault="00B40DAA" w:rsidP="0025317F">
            <w:pPr>
              <w:spacing w:after="120"/>
              <w:rPr>
                <w:color w:val="000000"/>
                <w:sz w:val="24"/>
                <w:szCs w:val="24"/>
              </w:rPr>
            </w:pPr>
            <w:r w:rsidRPr="00327DAE">
              <w:rPr>
                <w:color w:val="000000"/>
                <w:sz w:val="24"/>
                <w:szCs w:val="24"/>
              </w:rPr>
              <w:t>TAP ĀTAP procesā</w:t>
            </w:r>
          </w:p>
        </w:tc>
        <w:tc>
          <w:tcPr>
            <w:tcW w:w="1637" w:type="dxa"/>
            <w:shd w:val="clear" w:color="auto" w:fill="auto"/>
            <w:vAlign w:val="bottom"/>
            <w:hideMark/>
          </w:tcPr>
          <w:p w14:paraId="1751755E" w14:textId="5BE23DB5" w:rsidR="00B40DAA" w:rsidRPr="00327DAE" w:rsidRDefault="006A0BBA" w:rsidP="0025317F">
            <w:pPr>
              <w:spacing w:after="120"/>
              <w:rPr>
                <w:color w:val="000000"/>
                <w:sz w:val="24"/>
                <w:szCs w:val="24"/>
              </w:rPr>
            </w:pPr>
            <w:r>
              <w:rPr>
                <w:color w:val="000000"/>
                <w:sz w:val="24"/>
                <w:szCs w:val="24"/>
              </w:rPr>
              <w:t>F</w:t>
            </w:r>
            <w:r w:rsidR="00B40DAA" w:rsidRPr="00327DAE">
              <w:rPr>
                <w:color w:val="000000"/>
                <w:sz w:val="24"/>
                <w:szCs w:val="24"/>
              </w:rPr>
              <w:t xml:space="preserve">izisku personu </w:t>
            </w:r>
            <w:r w:rsidR="00B40DAA" w:rsidRPr="00327DAE">
              <w:rPr>
                <w:sz w:val="24"/>
                <w:szCs w:val="24"/>
              </w:rPr>
              <w:t>maksātnespēja</w:t>
            </w:r>
          </w:p>
        </w:tc>
        <w:tc>
          <w:tcPr>
            <w:tcW w:w="1560" w:type="dxa"/>
            <w:shd w:val="clear" w:color="auto" w:fill="auto"/>
            <w:vAlign w:val="bottom"/>
            <w:hideMark/>
          </w:tcPr>
          <w:p w14:paraId="2B10568A" w14:textId="11663780" w:rsidR="00B40DAA" w:rsidRPr="00327DAE" w:rsidRDefault="006A0BBA" w:rsidP="0025317F">
            <w:pPr>
              <w:spacing w:after="120"/>
              <w:rPr>
                <w:color w:val="000000"/>
                <w:sz w:val="24"/>
                <w:szCs w:val="24"/>
              </w:rPr>
            </w:pPr>
            <w:r>
              <w:rPr>
                <w:color w:val="000000"/>
                <w:sz w:val="24"/>
                <w:szCs w:val="24"/>
              </w:rPr>
              <w:t>C</w:t>
            </w:r>
            <w:r w:rsidR="00B40DAA" w:rsidRPr="00327DAE">
              <w:rPr>
                <w:color w:val="000000"/>
                <w:sz w:val="24"/>
                <w:szCs w:val="24"/>
              </w:rPr>
              <w:t>iti</w:t>
            </w:r>
          </w:p>
        </w:tc>
      </w:tr>
      <w:tr w:rsidR="00B40DAA" w:rsidRPr="00327DAE" w14:paraId="3F80AB7B" w14:textId="77777777" w:rsidTr="00B40DAA">
        <w:trPr>
          <w:trHeight w:val="300"/>
        </w:trPr>
        <w:tc>
          <w:tcPr>
            <w:tcW w:w="960" w:type="dxa"/>
            <w:shd w:val="clear" w:color="auto" w:fill="auto"/>
            <w:noWrap/>
            <w:vAlign w:val="bottom"/>
            <w:hideMark/>
          </w:tcPr>
          <w:p w14:paraId="77D3091C" w14:textId="77777777" w:rsidR="00B40DAA" w:rsidRPr="00327DAE" w:rsidRDefault="00B40DAA" w:rsidP="0025317F">
            <w:pPr>
              <w:spacing w:after="120"/>
              <w:rPr>
                <w:color w:val="000000"/>
                <w:sz w:val="24"/>
                <w:szCs w:val="24"/>
              </w:rPr>
            </w:pPr>
            <w:r w:rsidRPr="00327DAE">
              <w:rPr>
                <w:color w:val="000000"/>
                <w:sz w:val="24"/>
                <w:szCs w:val="24"/>
              </w:rPr>
              <w:t>kopā</w:t>
            </w:r>
          </w:p>
        </w:tc>
        <w:tc>
          <w:tcPr>
            <w:tcW w:w="1444" w:type="dxa"/>
            <w:shd w:val="clear" w:color="auto" w:fill="auto"/>
            <w:noWrap/>
            <w:vAlign w:val="bottom"/>
            <w:hideMark/>
          </w:tcPr>
          <w:p w14:paraId="761180F6" w14:textId="77777777" w:rsidR="00B40DAA" w:rsidRPr="00327DAE" w:rsidRDefault="00B40DAA" w:rsidP="0025317F">
            <w:pPr>
              <w:spacing w:after="120"/>
              <w:jc w:val="right"/>
              <w:rPr>
                <w:color w:val="000000"/>
                <w:sz w:val="24"/>
                <w:szCs w:val="24"/>
              </w:rPr>
            </w:pPr>
            <w:r w:rsidRPr="00327DAE">
              <w:rPr>
                <w:color w:val="000000"/>
                <w:sz w:val="24"/>
                <w:szCs w:val="24"/>
              </w:rPr>
              <w:t>47</w:t>
            </w:r>
          </w:p>
        </w:tc>
        <w:tc>
          <w:tcPr>
            <w:tcW w:w="993" w:type="dxa"/>
            <w:shd w:val="clear" w:color="auto" w:fill="auto"/>
            <w:noWrap/>
            <w:vAlign w:val="bottom"/>
            <w:hideMark/>
          </w:tcPr>
          <w:p w14:paraId="188D5F12" w14:textId="77777777" w:rsidR="00B40DAA" w:rsidRPr="00327DAE" w:rsidRDefault="00B40DAA" w:rsidP="0025317F">
            <w:pPr>
              <w:spacing w:after="120"/>
              <w:jc w:val="right"/>
              <w:rPr>
                <w:color w:val="000000"/>
                <w:sz w:val="24"/>
                <w:szCs w:val="24"/>
              </w:rPr>
            </w:pPr>
            <w:r w:rsidRPr="00327DAE">
              <w:rPr>
                <w:color w:val="000000"/>
                <w:sz w:val="24"/>
                <w:szCs w:val="24"/>
              </w:rPr>
              <w:t>9</w:t>
            </w:r>
          </w:p>
        </w:tc>
        <w:tc>
          <w:tcPr>
            <w:tcW w:w="1765" w:type="dxa"/>
            <w:shd w:val="clear" w:color="auto" w:fill="auto"/>
            <w:vAlign w:val="bottom"/>
            <w:hideMark/>
          </w:tcPr>
          <w:p w14:paraId="0284F934" w14:textId="77777777" w:rsidR="00B40DAA" w:rsidRPr="00327DAE" w:rsidRDefault="00B40DAA" w:rsidP="0025317F">
            <w:pPr>
              <w:spacing w:after="120"/>
              <w:jc w:val="right"/>
              <w:rPr>
                <w:color w:val="000000"/>
                <w:sz w:val="24"/>
                <w:szCs w:val="24"/>
              </w:rPr>
            </w:pPr>
            <w:r w:rsidRPr="00327DAE">
              <w:rPr>
                <w:color w:val="000000"/>
                <w:sz w:val="24"/>
                <w:szCs w:val="24"/>
              </w:rPr>
              <w:t>18</w:t>
            </w:r>
          </w:p>
        </w:tc>
        <w:tc>
          <w:tcPr>
            <w:tcW w:w="1637" w:type="dxa"/>
            <w:shd w:val="clear" w:color="auto" w:fill="auto"/>
            <w:vAlign w:val="bottom"/>
            <w:hideMark/>
          </w:tcPr>
          <w:p w14:paraId="4258F431" w14:textId="77777777" w:rsidR="00B40DAA" w:rsidRPr="00327DAE" w:rsidRDefault="00B40DAA" w:rsidP="0025317F">
            <w:pPr>
              <w:spacing w:after="120"/>
              <w:jc w:val="right"/>
              <w:rPr>
                <w:color w:val="000000"/>
                <w:sz w:val="24"/>
                <w:szCs w:val="24"/>
              </w:rPr>
            </w:pPr>
            <w:r w:rsidRPr="00327DAE">
              <w:rPr>
                <w:color w:val="000000"/>
                <w:sz w:val="24"/>
                <w:szCs w:val="24"/>
              </w:rPr>
              <w:t>37</w:t>
            </w:r>
          </w:p>
        </w:tc>
        <w:tc>
          <w:tcPr>
            <w:tcW w:w="1560" w:type="dxa"/>
            <w:shd w:val="clear" w:color="auto" w:fill="auto"/>
            <w:noWrap/>
            <w:vAlign w:val="bottom"/>
            <w:hideMark/>
          </w:tcPr>
          <w:p w14:paraId="699CCD66" w14:textId="77777777" w:rsidR="00B40DAA" w:rsidRPr="00327DAE" w:rsidRDefault="00B40DAA" w:rsidP="0025317F">
            <w:pPr>
              <w:spacing w:after="120"/>
              <w:jc w:val="right"/>
              <w:rPr>
                <w:color w:val="000000"/>
                <w:sz w:val="24"/>
                <w:szCs w:val="24"/>
              </w:rPr>
            </w:pPr>
            <w:r w:rsidRPr="00327DAE">
              <w:rPr>
                <w:color w:val="000000"/>
                <w:sz w:val="24"/>
                <w:szCs w:val="24"/>
              </w:rPr>
              <w:t>7</w:t>
            </w:r>
          </w:p>
        </w:tc>
      </w:tr>
    </w:tbl>
    <w:p w14:paraId="463F56F7" w14:textId="77777777" w:rsidR="00B40DAA" w:rsidRPr="00327DAE" w:rsidRDefault="00B40DAA" w:rsidP="0025317F">
      <w:pPr>
        <w:spacing w:after="120"/>
        <w:rPr>
          <w:sz w:val="24"/>
          <w:szCs w:val="24"/>
        </w:rPr>
      </w:pPr>
    </w:p>
    <w:p w14:paraId="06F80DF0" w14:textId="196BEED0" w:rsidR="00B40DAA" w:rsidRPr="00327DAE" w:rsidRDefault="00B40DAA" w:rsidP="0025317F">
      <w:pPr>
        <w:pStyle w:val="Heading4"/>
        <w:rPr>
          <w:rFonts w:eastAsia="Times New Roman" w:cs="Times New Roman"/>
          <w:szCs w:val="24"/>
        </w:rPr>
      </w:pPr>
      <w:bookmarkStart w:id="66" w:name="_Toc511034488"/>
      <w:bookmarkStart w:id="67" w:name="_Toc522527537"/>
      <w:r w:rsidRPr="00327DAE">
        <w:rPr>
          <w:rFonts w:eastAsia="Times New Roman" w:cs="Times New Roman"/>
          <w:szCs w:val="24"/>
        </w:rPr>
        <w:t>SPC lietās Judikatūras nolēmumu arhīvā pievienoti</w:t>
      </w:r>
      <w:bookmarkEnd w:id="66"/>
      <w:bookmarkEnd w:id="67"/>
      <w:r w:rsidRPr="00327DAE">
        <w:rPr>
          <w:rFonts w:eastAsia="Times New Roman" w:cs="Times New Roman"/>
          <w:szCs w:val="24"/>
        </w:rPr>
        <w:t xml:space="preserve"> </w:t>
      </w:r>
    </w:p>
    <w:tbl>
      <w:tblPr>
        <w:tblStyle w:val="TableGrid"/>
        <w:tblW w:w="8359" w:type="dxa"/>
        <w:tblLook w:val="04A0" w:firstRow="1" w:lastRow="0" w:firstColumn="1" w:lastColumn="0" w:noHBand="0" w:noVBand="1"/>
      </w:tblPr>
      <w:tblGrid>
        <w:gridCol w:w="811"/>
        <w:gridCol w:w="1684"/>
        <w:gridCol w:w="1577"/>
        <w:gridCol w:w="1350"/>
        <w:gridCol w:w="1616"/>
        <w:gridCol w:w="1321"/>
      </w:tblGrid>
      <w:tr w:rsidR="00B40DAA" w:rsidRPr="00327DAE" w14:paraId="708253E5" w14:textId="77777777" w:rsidTr="00B40DAA">
        <w:tc>
          <w:tcPr>
            <w:tcW w:w="842" w:type="dxa"/>
          </w:tcPr>
          <w:p w14:paraId="753B593F" w14:textId="7AC7A2B7" w:rsidR="00B40DAA" w:rsidRPr="00327DAE" w:rsidRDefault="006A0BBA" w:rsidP="0025317F">
            <w:pPr>
              <w:spacing w:after="120"/>
              <w:rPr>
                <w:sz w:val="24"/>
                <w:szCs w:val="24"/>
              </w:rPr>
            </w:pPr>
            <w:r>
              <w:rPr>
                <w:sz w:val="24"/>
                <w:szCs w:val="24"/>
              </w:rPr>
              <w:t>G</w:t>
            </w:r>
            <w:r w:rsidR="00B40DAA" w:rsidRPr="00327DAE">
              <w:rPr>
                <w:sz w:val="24"/>
                <w:szCs w:val="24"/>
              </w:rPr>
              <w:t>ads</w:t>
            </w:r>
          </w:p>
        </w:tc>
        <w:tc>
          <w:tcPr>
            <w:tcW w:w="1705" w:type="dxa"/>
          </w:tcPr>
          <w:p w14:paraId="00DBB469" w14:textId="57BA531F" w:rsidR="00B40DAA" w:rsidRPr="00327DAE" w:rsidRDefault="00B40DAA" w:rsidP="0025317F">
            <w:pPr>
              <w:spacing w:after="120"/>
              <w:rPr>
                <w:sz w:val="24"/>
                <w:szCs w:val="24"/>
              </w:rPr>
            </w:pPr>
            <w:r w:rsidRPr="00327DAE">
              <w:rPr>
                <w:color w:val="000000"/>
                <w:sz w:val="24"/>
                <w:szCs w:val="24"/>
              </w:rPr>
              <w:t>Uzņēmumu (</w:t>
            </w:r>
            <w:proofErr w:type="spellStart"/>
            <w:r w:rsidRPr="00327DAE">
              <w:rPr>
                <w:color w:val="000000"/>
                <w:sz w:val="24"/>
                <w:szCs w:val="24"/>
              </w:rPr>
              <w:t>jur</w:t>
            </w:r>
            <w:proofErr w:type="spellEnd"/>
            <w:r w:rsidRPr="00327DAE">
              <w:rPr>
                <w:color w:val="000000"/>
                <w:sz w:val="24"/>
                <w:szCs w:val="24"/>
              </w:rPr>
              <w:t>. personu) maksātnespēj</w:t>
            </w:r>
            <w:r w:rsidR="006A0BBA">
              <w:rPr>
                <w:color w:val="000000"/>
                <w:sz w:val="24"/>
                <w:szCs w:val="24"/>
              </w:rPr>
              <w:t>a</w:t>
            </w:r>
          </w:p>
        </w:tc>
        <w:tc>
          <w:tcPr>
            <w:tcW w:w="1417" w:type="dxa"/>
          </w:tcPr>
          <w:p w14:paraId="07A4D0A0" w14:textId="77777777" w:rsidR="00B40DAA" w:rsidRPr="00327DAE" w:rsidRDefault="00B40DAA" w:rsidP="0025317F">
            <w:pPr>
              <w:spacing w:after="120"/>
              <w:rPr>
                <w:sz w:val="24"/>
                <w:szCs w:val="24"/>
              </w:rPr>
            </w:pPr>
            <w:r w:rsidRPr="00327DAE">
              <w:rPr>
                <w:sz w:val="24"/>
                <w:szCs w:val="24"/>
              </w:rPr>
              <w:t>TAP</w:t>
            </w:r>
          </w:p>
        </w:tc>
        <w:tc>
          <w:tcPr>
            <w:tcW w:w="1457" w:type="dxa"/>
          </w:tcPr>
          <w:p w14:paraId="58E4519B" w14:textId="77777777" w:rsidR="00B40DAA" w:rsidRPr="00327DAE" w:rsidRDefault="00B40DAA" w:rsidP="0025317F">
            <w:pPr>
              <w:spacing w:after="120"/>
              <w:rPr>
                <w:sz w:val="24"/>
                <w:szCs w:val="24"/>
              </w:rPr>
            </w:pPr>
            <w:r w:rsidRPr="00327DAE">
              <w:rPr>
                <w:sz w:val="24"/>
                <w:szCs w:val="24"/>
              </w:rPr>
              <w:t>TAP ĀTAP procesā</w:t>
            </w:r>
          </w:p>
        </w:tc>
        <w:tc>
          <w:tcPr>
            <w:tcW w:w="1520" w:type="dxa"/>
          </w:tcPr>
          <w:p w14:paraId="4A1B9797" w14:textId="77777777" w:rsidR="00B40DAA" w:rsidRPr="00327DAE" w:rsidRDefault="00B40DAA" w:rsidP="0025317F">
            <w:pPr>
              <w:spacing w:after="120"/>
              <w:rPr>
                <w:sz w:val="24"/>
                <w:szCs w:val="24"/>
              </w:rPr>
            </w:pPr>
            <w:r w:rsidRPr="00327DAE">
              <w:rPr>
                <w:sz w:val="24"/>
                <w:szCs w:val="24"/>
              </w:rPr>
              <w:t>Fizisku personu maksātnespēja</w:t>
            </w:r>
          </w:p>
        </w:tc>
        <w:tc>
          <w:tcPr>
            <w:tcW w:w="1418" w:type="dxa"/>
          </w:tcPr>
          <w:p w14:paraId="1F9349C8" w14:textId="2213A3DB" w:rsidR="00B40DAA" w:rsidRPr="00327DAE" w:rsidRDefault="006A0BBA" w:rsidP="0025317F">
            <w:pPr>
              <w:spacing w:after="120"/>
              <w:rPr>
                <w:sz w:val="24"/>
                <w:szCs w:val="24"/>
              </w:rPr>
            </w:pPr>
            <w:r>
              <w:rPr>
                <w:sz w:val="24"/>
                <w:szCs w:val="24"/>
              </w:rPr>
              <w:t>C</w:t>
            </w:r>
            <w:r w:rsidR="00B40DAA" w:rsidRPr="00327DAE">
              <w:rPr>
                <w:sz w:val="24"/>
                <w:szCs w:val="24"/>
              </w:rPr>
              <w:t>iti</w:t>
            </w:r>
          </w:p>
        </w:tc>
      </w:tr>
      <w:tr w:rsidR="00B40DAA" w:rsidRPr="00327DAE" w14:paraId="689645BB" w14:textId="77777777" w:rsidTr="00B40DAA">
        <w:tc>
          <w:tcPr>
            <w:tcW w:w="842" w:type="dxa"/>
          </w:tcPr>
          <w:p w14:paraId="52D97B04" w14:textId="77777777" w:rsidR="00B40DAA" w:rsidRPr="00327DAE" w:rsidRDefault="00B40DAA" w:rsidP="0025317F">
            <w:pPr>
              <w:spacing w:after="120"/>
              <w:rPr>
                <w:sz w:val="24"/>
                <w:szCs w:val="24"/>
              </w:rPr>
            </w:pPr>
            <w:r w:rsidRPr="00327DAE">
              <w:rPr>
                <w:sz w:val="24"/>
                <w:szCs w:val="24"/>
              </w:rPr>
              <w:t>2008</w:t>
            </w:r>
          </w:p>
        </w:tc>
        <w:tc>
          <w:tcPr>
            <w:tcW w:w="1705" w:type="dxa"/>
          </w:tcPr>
          <w:p w14:paraId="7C5127FC" w14:textId="77777777" w:rsidR="00B40DAA" w:rsidRPr="00327DAE" w:rsidRDefault="00B40DAA" w:rsidP="0025317F">
            <w:pPr>
              <w:spacing w:after="120"/>
              <w:rPr>
                <w:sz w:val="24"/>
                <w:szCs w:val="24"/>
              </w:rPr>
            </w:pPr>
          </w:p>
        </w:tc>
        <w:tc>
          <w:tcPr>
            <w:tcW w:w="1417" w:type="dxa"/>
          </w:tcPr>
          <w:p w14:paraId="5077DF17" w14:textId="77777777" w:rsidR="00B40DAA" w:rsidRPr="00327DAE" w:rsidRDefault="00B40DAA" w:rsidP="0025317F">
            <w:pPr>
              <w:spacing w:after="120"/>
              <w:rPr>
                <w:sz w:val="24"/>
                <w:szCs w:val="24"/>
              </w:rPr>
            </w:pPr>
          </w:p>
        </w:tc>
        <w:tc>
          <w:tcPr>
            <w:tcW w:w="1457" w:type="dxa"/>
          </w:tcPr>
          <w:p w14:paraId="21B6489A" w14:textId="77777777" w:rsidR="00B40DAA" w:rsidRPr="00327DAE" w:rsidRDefault="00B40DAA" w:rsidP="0025317F">
            <w:pPr>
              <w:spacing w:after="120"/>
              <w:rPr>
                <w:sz w:val="24"/>
                <w:szCs w:val="24"/>
              </w:rPr>
            </w:pPr>
          </w:p>
        </w:tc>
        <w:tc>
          <w:tcPr>
            <w:tcW w:w="1520" w:type="dxa"/>
          </w:tcPr>
          <w:p w14:paraId="690C0E37" w14:textId="77777777" w:rsidR="00B40DAA" w:rsidRPr="00327DAE" w:rsidRDefault="00B40DAA" w:rsidP="0025317F">
            <w:pPr>
              <w:spacing w:after="120"/>
              <w:rPr>
                <w:sz w:val="24"/>
                <w:szCs w:val="24"/>
              </w:rPr>
            </w:pPr>
          </w:p>
        </w:tc>
        <w:tc>
          <w:tcPr>
            <w:tcW w:w="1418" w:type="dxa"/>
          </w:tcPr>
          <w:p w14:paraId="0E8A3EC2" w14:textId="77777777" w:rsidR="00B40DAA" w:rsidRPr="00327DAE" w:rsidRDefault="00B40DAA" w:rsidP="0025317F">
            <w:pPr>
              <w:spacing w:after="120"/>
              <w:rPr>
                <w:sz w:val="24"/>
                <w:szCs w:val="24"/>
              </w:rPr>
            </w:pPr>
          </w:p>
        </w:tc>
      </w:tr>
      <w:tr w:rsidR="00B40DAA" w:rsidRPr="00327DAE" w14:paraId="079FA3CF" w14:textId="77777777" w:rsidTr="00B40DAA">
        <w:tc>
          <w:tcPr>
            <w:tcW w:w="842" w:type="dxa"/>
          </w:tcPr>
          <w:p w14:paraId="67FE0C0B" w14:textId="77777777" w:rsidR="00B40DAA" w:rsidRPr="00327DAE" w:rsidRDefault="00B40DAA" w:rsidP="0025317F">
            <w:pPr>
              <w:spacing w:after="120"/>
              <w:rPr>
                <w:sz w:val="24"/>
                <w:szCs w:val="24"/>
              </w:rPr>
            </w:pPr>
            <w:r w:rsidRPr="00327DAE">
              <w:rPr>
                <w:sz w:val="24"/>
                <w:szCs w:val="24"/>
              </w:rPr>
              <w:t>2009</w:t>
            </w:r>
          </w:p>
        </w:tc>
        <w:tc>
          <w:tcPr>
            <w:tcW w:w="1705" w:type="dxa"/>
          </w:tcPr>
          <w:p w14:paraId="1820FE88" w14:textId="77777777" w:rsidR="00B40DAA" w:rsidRPr="00327DAE" w:rsidRDefault="00B40DAA" w:rsidP="0025317F">
            <w:pPr>
              <w:spacing w:after="120"/>
              <w:rPr>
                <w:sz w:val="24"/>
                <w:szCs w:val="24"/>
              </w:rPr>
            </w:pPr>
          </w:p>
        </w:tc>
        <w:tc>
          <w:tcPr>
            <w:tcW w:w="1417" w:type="dxa"/>
          </w:tcPr>
          <w:p w14:paraId="44D15689" w14:textId="77777777" w:rsidR="00B40DAA" w:rsidRPr="00327DAE" w:rsidRDefault="00B40DAA" w:rsidP="0025317F">
            <w:pPr>
              <w:spacing w:after="120"/>
              <w:rPr>
                <w:sz w:val="24"/>
                <w:szCs w:val="24"/>
              </w:rPr>
            </w:pPr>
          </w:p>
        </w:tc>
        <w:tc>
          <w:tcPr>
            <w:tcW w:w="1457" w:type="dxa"/>
          </w:tcPr>
          <w:p w14:paraId="2DF1A947" w14:textId="77777777" w:rsidR="00B40DAA" w:rsidRPr="00327DAE" w:rsidRDefault="00B40DAA" w:rsidP="0025317F">
            <w:pPr>
              <w:spacing w:after="120"/>
              <w:rPr>
                <w:sz w:val="24"/>
                <w:szCs w:val="24"/>
              </w:rPr>
            </w:pPr>
          </w:p>
        </w:tc>
        <w:tc>
          <w:tcPr>
            <w:tcW w:w="1520" w:type="dxa"/>
          </w:tcPr>
          <w:p w14:paraId="2AF7C4AA" w14:textId="77777777" w:rsidR="00B40DAA" w:rsidRPr="00327DAE" w:rsidRDefault="00B40DAA" w:rsidP="0025317F">
            <w:pPr>
              <w:spacing w:after="120"/>
              <w:rPr>
                <w:sz w:val="24"/>
                <w:szCs w:val="24"/>
              </w:rPr>
            </w:pPr>
          </w:p>
        </w:tc>
        <w:tc>
          <w:tcPr>
            <w:tcW w:w="1418" w:type="dxa"/>
          </w:tcPr>
          <w:p w14:paraId="7E406640" w14:textId="77777777" w:rsidR="00B40DAA" w:rsidRPr="00327DAE" w:rsidRDefault="00B40DAA" w:rsidP="0025317F">
            <w:pPr>
              <w:spacing w:after="120"/>
              <w:rPr>
                <w:sz w:val="24"/>
                <w:szCs w:val="24"/>
              </w:rPr>
            </w:pPr>
          </w:p>
        </w:tc>
      </w:tr>
      <w:tr w:rsidR="00B40DAA" w:rsidRPr="00327DAE" w14:paraId="171FBFF9" w14:textId="77777777" w:rsidTr="00B40DAA">
        <w:tc>
          <w:tcPr>
            <w:tcW w:w="842" w:type="dxa"/>
          </w:tcPr>
          <w:p w14:paraId="125BE7BC" w14:textId="77777777" w:rsidR="00B40DAA" w:rsidRPr="00327DAE" w:rsidRDefault="00B40DAA" w:rsidP="0025317F">
            <w:pPr>
              <w:spacing w:after="120"/>
              <w:rPr>
                <w:sz w:val="24"/>
                <w:szCs w:val="24"/>
              </w:rPr>
            </w:pPr>
            <w:r w:rsidRPr="00327DAE">
              <w:rPr>
                <w:sz w:val="24"/>
                <w:szCs w:val="24"/>
              </w:rPr>
              <w:t>2010</w:t>
            </w:r>
          </w:p>
        </w:tc>
        <w:tc>
          <w:tcPr>
            <w:tcW w:w="1705" w:type="dxa"/>
          </w:tcPr>
          <w:p w14:paraId="6AD5DF3A" w14:textId="77777777" w:rsidR="00B40DAA" w:rsidRPr="00327DAE" w:rsidRDefault="00B40DAA" w:rsidP="0025317F">
            <w:pPr>
              <w:spacing w:after="120"/>
              <w:rPr>
                <w:sz w:val="24"/>
                <w:szCs w:val="24"/>
              </w:rPr>
            </w:pPr>
            <w:r w:rsidRPr="00327DAE">
              <w:rPr>
                <w:sz w:val="24"/>
                <w:szCs w:val="24"/>
              </w:rPr>
              <w:t>SPC-109/2010</w:t>
            </w:r>
          </w:p>
        </w:tc>
        <w:tc>
          <w:tcPr>
            <w:tcW w:w="1417" w:type="dxa"/>
          </w:tcPr>
          <w:p w14:paraId="29E19C4C" w14:textId="77777777" w:rsidR="00B40DAA" w:rsidRPr="00327DAE" w:rsidRDefault="00B40DAA" w:rsidP="0025317F">
            <w:pPr>
              <w:spacing w:after="120"/>
              <w:rPr>
                <w:sz w:val="24"/>
                <w:szCs w:val="24"/>
              </w:rPr>
            </w:pPr>
          </w:p>
        </w:tc>
        <w:tc>
          <w:tcPr>
            <w:tcW w:w="1457" w:type="dxa"/>
          </w:tcPr>
          <w:p w14:paraId="4F35DC8F" w14:textId="77777777" w:rsidR="00B40DAA" w:rsidRPr="00327DAE" w:rsidRDefault="00B40DAA" w:rsidP="0025317F">
            <w:pPr>
              <w:spacing w:after="120"/>
              <w:rPr>
                <w:sz w:val="24"/>
                <w:szCs w:val="24"/>
              </w:rPr>
            </w:pPr>
          </w:p>
        </w:tc>
        <w:tc>
          <w:tcPr>
            <w:tcW w:w="1520" w:type="dxa"/>
          </w:tcPr>
          <w:p w14:paraId="605B48B1" w14:textId="77777777" w:rsidR="00B40DAA" w:rsidRPr="00327DAE" w:rsidRDefault="00B40DAA" w:rsidP="0025317F">
            <w:pPr>
              <w:spacing w:after="120"/>
              <w:rPr>
                <w:sz w:val="24"/>
                <w:szCs w:val="24"/>
              </w:rPr>
            </w:pPr>
            <w:r w:rsidRPr="00327DAE">
              <w:rPr>
                <w:sz w:val="24"/>
                <w:szCs w:val="24"/>
              </w:rPr>
              <w:t>SPC-192/2010</w:t>
            </w:r>
          </w:p>
        </w:tc>
        <w:tc>
          <w:tcPr>
            <w:tcW w:w="1418" w:type="dxa"/>
          </w:tcPr>
          <w:p w14:paraId="290099F9" w14:textId="77777777" w:rsidR="00B40DAA" w:rsidRPr="00327DAE" w:rsidRDefault="00B40DAA" w:rsidP="0025317F">
            <w:pPr>
              <w:spacing w:after="120"/>
              <w:rPr>
                <w:sz w:val="24"/>
                <w:szCs w:val="24"/>
              </w:rPr>
            </w:pPr>
            <w:r w:rsidRPr="00327DAE">
              <w:rPr>
                <w:sz w:val="24"/>
                <w:szCs w:val="24"/>
              </w:rPr>
              <w:t>SPC-43/2010</w:t>
            </w:r>
          </w:p>
        </w:tc>
      </w:tr>
      <w:tr w:rsidR="00B40DAA" w:rsidRPr="00327DAE" w14:paraId="0120671A" w14:textId="77777777" w:rsidTr="00B40DAA">
        <w:tc>
          <w:tcPr>
            <w:tcW w:w="842" w:type="dxa"/>
          </w:tcPr>
          <w:p w14:paraId="3814771E" w14:textId="77777777" w:rsidR="00B40DAA" w:rsidRPr="00327DAE" w:rsidRDefault="00B40DAA" w:rsidP="0025317F">
            <w:pPr>
              <w:spacing w:after="120"/>
              <w:rPr>
                <w:sz w:val="24"/>
                <w:szCs w:val="24"/>
              </w:rPr>
            </w:pPr>
            <w:r w:rsidRPr="00327DAE">
              <w:rPr>
                <w:sz w:val="24"/>
                <w:szCs w:val="24"/>
              </w:rPr>
              <w:t>2011</w:t>
            </w:r>
          </w:p>
        </w:tc>
        <w:tc>
          <w:tcPr>
            <w:tcW w:w="1705" w:type="dxa"/>
          </w:tcPr>
          <w:p w14:paraId="042A9491" w14:textId="77777777" w:rsidR="00B40DAA" w:rsidRPr="00327DAE" w:rsidRDefault="00B40DAA" w:rsidP="0025317F">
            <w:pPr>
              <w:spacing w:after="120"/>
              <w:rPr>
                <w:sz w:val="24"/>
                <w:szCs w:val="24"/>
              </w:rPr>
            </w:pPr>
          </w:p>
        </w:tc>
        <w:tc>
          <w:tcPr>
            <w:tcW w:w="1417" w:type="dxa"/>
          </w:tcPr>
          <w:p w14:paraId="709229E8" w14:textId="77777777" w:rsidR="00B40DAA" w:rsidRPr="00327DAE" w:rsidRDefault="00B40DAA" w:rsidP="0025317F">
            <w:pPr>
              <w:spacing w:after="120"/>
              <w:rPr>
                <w:sz w:val="24"/>
                <w:szCs w:val="24"/>
              </w:rPr>
            </w:pPr>
          </w:p>
        </w:tc>
        <w:tc>
          <w:tcPr>
            <w:tcW w:w="1457" w:type="dxa"/>
          </w:tcPr>
          <w:p w14:paraId="325EA211" w14:textId="77777777" w:rsidR="00B40DAA" w:rsidRPr="00327DAE" w:rsidRDefault="00B40DAA" w:rsidP="0025317F">
            <w:pPr>
              <w:spacing w:after="120"/>
              <w:rPr>
                <w:sz w:val="24"/>
                <w:szCs w:val="24"/>
              </w:rPr>
            </w:pPr>
          </w:p>
        </w:tc>
        <w:tc>
          <w:tcPr>
            <w:tcW w:w="1520" w:type="dxa"/>
          </w:tcPr>
          <w:p w14:paraId="737C3885" w14:textId="77777777" w:rsidR="00B40DAA" w:rsidRPr="00327DAE" w:rsidRDefault="00B40DAA" w:rsidP="0025317F">
            <w:pPr>
              <w:spacing w:after="120"/>
              <w:rPr>
                <w:sz w:val="24"/>
                <w:szCs w:val="24"/>
              </w:rPr>
            </w:pPr>
          </w:p>
        </w:tc>
        <w:tc>
          <w:tcPr>
            <w:tcW w:w="1418" w:type="dxa"/>
          </w:tcPr>
          <w:p w14:paraId="7F91380E" w14:textId="77777777" w:rsidR="00B40DAA" w:rsidRPr="00327DAE" w:rsidRDefault="00B40DAA" w:rsidP="0025317F">
            <w:pPr>
              <w:spacing w:after="120"/>
              <w:rPr>
                <w:sz w:val="24"/>
                <w:szCs w:val="24"/>
              </w:rPr>
            </w:pPr>
          </w:p>
        </w:tc>
      </w:tr>
      <w:tr w:rsidR="00B40DAA" w:rsidRPr="00327DAE" w14:paraId="0470E8A0" w14:textId="77777777" w:rsidTr="00B40DAA">
        <w:tc>
          <w:tcPr>
            <w:tcW w:w="842" w:type="dxa"/>
          </w:tcPr>
          <w:p w14:paraId="53200738" w14:textId="77777777" w:rsidR="00B40DAA" w:rsidRPr="00327DAE" w:rsidRDefault="00B40DAA" w:rsidP="0025317F">
            <w:pPr>
              <w:spacing w:after="120"/>
              <w:rPr>
                <w:sz w:val="24"/>
                <w:szCs w:val="24"/>
              </w:rPr>
            </w:pPr>
            <w:r w:rsidRPr="00327DAE">
              <w:rPr>
                <w:sz w:val="24"/>
                <w:szCs w:val="24"/>
              </w:rPr>
              <w:t>2012</w:t>
            </w:r>
          </w:p>
        </w:tc>
        <w:tc>
          <w:tcPr>
            <w:tcW w:w="1705" w:type="dxa"/>
          </w:tcPr>
          <w:p w14:paraId="0EC1C0B8" w14:textId="77777777" w:rsidR="00B40DAA" w:rsidRPr="00327DAE" w:rsidRDefault="00B40DAA" w:rsidP="0025317F">
            <w:pPr>
              <w:spacing w:after="120"/>
              <w:rPr>
                <w:sz w:val="24"/>
                <w:szCs w:val="24"/>
              </w:rPr>
            </w:pPr>
            <w:r w:rsidRPr="00327DAE">
              <w:rPr>
                <w:sz w:val="24"/>
                <w:szCs w:val="24"/>
              </w:rPr>
              <w:t>SPC-1/2012; SPC-26/2012; SPC-52/2012; SPC-53/2012</w:t>
            </w:r>
          </w:p>
        </w:tc>
        <w:tc>
          <w:tcPr>
            <w:tcW w:w="1417" w:type="dxa"/>
          </w:tcPr>
          <w:p w14:paraId="3A0B1BD3" w14:textId="77777777" w:rsidR="00B40DAA" w:rsidRPr="00327DAE" w:rsidRDefault="00B40DAA" w:rsidP="0025317F">
            <w:pPr>
              <w:spacing w:after="120"/>
              <w:rPr>
                <w:sz w:val="24"/>
                <w:szCs w:val="24"/>
              </w:rPr>
            </w:pPr>
          </w:p>
        </w:tc>
        <w:tc>
          <w:tcPr>
            <w:tcW w:w="1457" w:type="dxa"/>
          </w:tcPr>
          <w:p w14:paraId="57374458" w14:textId="77777777" w:rsidR="00B40DAA" w:rsidRPr="00327DAE" w:rsidRDefault="00B40DAA" w:rsidP="0025317F">
            <w:pPr>
              <w:spacing w:after="120"/>
              <w:rPr>
                <w:sz w:val="24"/>
                <w:szCs w:val="24"/>
              </w:rPr>
            </w:pPr>
          </w:p>
        </w:tc>
        <w:tc>
          <w:tcPr>
            <w:tcW w:w="1520" w:type="dxa"/>
          </w:tcPr>
          <w:p w14:paraId="7E45C3E0" w14:textId="77777777" w:rsidR="00B40DAA" w:rsidRPr="00327DAE" w:rsidRDefault="00B40DAA" w:rsidP="0025317F">
            <w:pPr>
              <w:spacing w:after="120"/>
              <w:rPr>
                <w:sz w:val="24"/>
                <w:szCs w:val="24"/>
              </w:rPr>
            </w:pPr>
            <w:r w:rsidRPr="00327DAE">
              <w:rPr>
                <w:sz w:val="24"/>
                <w:szCs w:val="24"/>
              </w:rPr>
              <w:t>SPC-15/2012</w:t>
            </w:r>
          </w:p>
        </w:tc>
        <w:tc>
          <w:tcPr>
            <w:tcW w:w="1418" w:type="dxa"/>
          </w:tcPr>
          <w:p w14:paraId="55785565" w14:textId="77777777" w:rsidR="00B40DAA" w:rsidRPr="00327DAE" w:rsidRDefault="00B40DAA" w:rsidP="0025317F">
            <w:pPr>
              <w:spacing w:after="120"/>
              <w:rPr>
                <w:sz w:val="24"/>
                <w:szCs w:val="24"/>
              </w:rPr>
            </w:pPr>
            <w:r w:rsidRPr="00327DAE">
              <w:rPr>
                <w:sz w:val="24"/>
                <w:szCs w:val="24"/>
              </w:rPr>
              <w:t>SPC-23/2012</w:t>
            </w:r>
          </w:p>
        </w:tc>
      </w:tr>
      <w:tr w:rsidR="00B40DAA" w:rsidRPr="00327DAE" w14:paraId="0340218E" w14:textId="77777777" w:rsidTr="00B40DAA">
        <w:tc>
          <w:tcPr>
            <w:tcW w:w="842" w:type="dxa"/>
          </w:tcPr>
          <w:p w14:paraId="7A98E8EF" w14:textId="77777777" w:rsidR="00B40DAA" w:rsidRPr="00327DAE" w:rsidRDefault="00B40DAA" w:rsidP="0025317F">
            <w:pPr>
              <w:spacing w:after="120"/>
              <w:rPr>
                <w:sz w:val="24"/>
                <w:szCs w:val="24"/>
              </w:rPr>
            </w:pPr>
            <w:r w:rsidRPr="00327DAE">
              <w:rPr>
                <w:sz w:val="24"/>
                <w:szCs w:val="24"/>
              </w:rPr>
              <w:t>2013</w:t>
            </w:r>
          </w:p>
        </w:tc>
        <w:tc>
          <w:tcPr>
            <w:tcW w:w="1705" w:type="dxa"/>
          </w:tcPr>
          <w:p w14:paraId="572D1C79" w14:textId="77777777" w:rsidR="00B40DAA" w:rsidRPr="00327DAE" w:rsidRDefault="00B40DAA" w:rsidP="0025317F">
            <w:pPr>
              <w:spacing w:after="120"/>
              <w:rPr>
                <w:sz w:val="24"/>
                <w:szCs w:val="24"/>
              </w:rPr>
            </w:pPr>
            <w:r w:rsidRPr="00327DAE">
              <w:rPr>
                <w:sz w:val="24"/>
                <w:szCs w:val="24"/>
              </w:rPr>
              <w:t xml:space="preserve">SPC-33/2013; </w:t>
            </w:r>
          </w:p>
        </w:tc>
        <w:tc>
          <w:tcPr>
            <w:tcW w:w="1417" w:type="dxa"/>
          </w:tcPr>
          <w:p w14:paraId="78AA2D56" w14:textId="77777777" w:rsidR="00B40DAA" w:rsidRPr="00327DAE" w:rsidRDefault="00B40DAA" w:rsidP="0025317F">
            <w:pPr>
              <w:spacing w:after="120"/>
              <w:rPr>
                <w:sz w:val="24"/>
                <w:szCs w:val="24"/>
              </w:rPr>
            </w:pPr>
            <w:r w:rsidRPr="00327DAE">
              <w:rPr>
                <w:sz w:val="24"/>
                <w:szCs w:val="24"/>
              </w:rPr>
              <w:t>SPC</w:t>
            </w:r>
            <w:r w:rsidRPr="00327DAE">
              <w:rPr>
                <w:sz w:val="24"/>
                <w:szCs w:val="24"/>
              </w:rPr>
              <w:noBreakHyphen/>
              <w:t>38/2013; SPC-48/2013</w:t>
            </w:r>
          </w:p>
        </w:tc>
        <w:tc>
          <w:tcPr>
            <w:tcW w:w="1457" w:type="dxa"/>
          </w:tcPr>
          <w:p w14:paraId="339A4536" w14:textId="77777777" w:rsidR="00B40DAA" w:rsidRPr="00327DAE" w:rsidRDefault="00B40DAA" w:rsidP="0025317F">
            <w:pPr>
              <w:spacing w:after="120"/>
              <w:rPr>
                <w:sz w:val="24"/>
                <w:szCs w:val="24"/>
              </w:rPr>
            </w:pPr>
          </w:p>
        </w:tc>
        <w:tc>
          <w:tcPr>
            <w:tcW w:w="1520" w:type="dxa"/>
          </w:tcPr>
          <w:p w14:paraId="405E03F5" w14:textId="77777777" w:rsidR="00B40DAA" w:rsidRPr="00327DAE" w:rsidRDefault="00B40DAA" w:rsidP="0025317F">
            <w:pPr>
              <w:spacing w:after="120"/>
              <w:rPr>
                <w:sz w:val="24"/>
                <w:szCs w:val="24"/>
              </w:rPr>
            </w:pPr>
            <w:r w:rsidRPr="00327DAE">
              <w:rPr>
                <w:sz w:val="24"/>
                <w:szCs w:val="24"/>
              </w:rPr>
              <w:t>SPC-42/2013</w:t>
            </w:r>
          </w:p>
        </w:tc>
        <w:tc>
          <w:tcPr>
            <w:tcW w:w="1418" w:type="dxa"/>
          </w:tcPr>
          <w:p w14:paraId="71CA9196" w14:textId="77777777" w:rsidR="00B40DAA" w:rsidRPr="00327DAE" w:rsidRDefault="00B40DAA" w:rsidP="0025317F">
            <w:pPr>
              <w:spacing w:after="120"/>
              <w:rPr>
                <w:sz w:val="24"/>
                <w:szCs w:val="24"/>
              </w:rPr>
            </w:pPr>
          </w:p>
        </w:tc>
      </w:tr>
      <w:tr w:rsidR="00B40DAA" w:rsidRPr="00327DAE" w14:paraId="16AE4983" w14:textId="77777777" w:rsidTr="00B40DAA">
        <w:tc>
          <w:tcPr>
            <w:tcW w:w="842" w:type="dxa"/>
          </w:tcPr>
          <w:p w14:paraId="4E53F404" w14:textId="77777777" w:rsidR="00B40DAA" w:rsidRPr="00327DAE" w:rsidRDefault="00B40DAA" w:rsidP="0025317F">
            <w:pPr>
              <w:spacing w:after="120"/>
              <w:rPr>
                <w:sz w:val="24"/>
                <w:szCs w:val="24"/>
              </w:rPr>
            </w:pPr>
            <w:r w:rsidRPr="00327DAE">
              <w:rPr>
                <w:sz w:val="24"/>
                <w:szCs w:val="24"/>
              </w:rPr>
              <w:t>2014</w:t>
            </w:r>
          </w:p>
        </w:tc>
        <w:tc>
          <w:tcPr>
            <w:tcW w:w="1705" w:type="dxa"/>
          </w:tcPr>
          <w:p w14:paraId="05C51679" w14:textId="77777777" w:rsidR="00B40DAA" w:rsidRPr="00327DAE" w:rsidRDefault="00B40DAA" w:rsidP="0025317F">
            <w:pPr>
              <w:spacing w:after="120"/>
              <w:rPr>
                <w:sz w:val="24"/>
                <w:szCs w:val="24"/>
              </w:rPr>
            </w:pPr>
            <w:r w:rsidRPr="00327DAE">
              <w:rPr>
                <w:sz w:val="24"/>
                <w:szCs w:val="24"/>
              </w:rPr>
              <w:t>SPC-30/2014</w:t>
            </w:r>
          </w:p>
        </w:tc>
        <w:tc>
          <w:tcPr>
            <w:tcW w:w="1417" w:type="dxa"/>
          </w:tcPr>
          <w:p w14:paraId="74FBE257" w14:textId="77777777" w:rsidR="00B40DAA" w:rsidRPr="00327DAE" w:rsidRDefault="00B40DAA" w:rsidP="0025317F">
            <w:pPr>
              <w:spacing w:after="120"/>
              <w:rPr>
                <w:sz w:val="24"/>
                <w:szCs w:val="24"/>
              </w:rPr>
            </w:pPr>
            <w:r w:rsidRPr="00327DAE">
              <w:rPr>
                <w:sz w:val="24"/>
                <w:szCs w:val="24"/>
              </w:rPr>
              <w:t>SPC-28/2014</w:t>
            </w:r>
          </w:p>
        </w:tc>
        <w:tc>
          <w:tcPr>
            <w:tcW w:w="1457" w:type="dxa"/>
          </w:tcPr>
          <w:p w14:paraId="7E272142" w14:textId="77777777" w:rsidR="00B40DAA" w:rsidRPr="00327DAE" w:rsidRDefault="00B40DAA" w:rsidP="0025317F">
            <w:pPr>
              <w:spacing w:after="120"/>
              <w:rPr>
                <w:sz w:val="24"/>
                <w:szCs w:val="24"/>
              </w:rPr>
            </w:pPr>
            <w:r w:rsidRPr="00327DAE">
              <w:rPr>
                <w:sz w:val="24"/>
                <w:szCs w:val="24"/>
              </w:rPr>
              <w:t>SPC-27/2014</w:t>
            </w:r>
          </w:p>
        </w:tc>
        <w:tc>
          <w:tcPr>
            <w:tcW w:w="1520" w:type="dxa"/>
          </w:tcPr>
          <w:p w14:paraId="3E33D258" w14:textId="77777777" w:rsidR="00B40DAA" w:rsidRPr="00327DAE" w:rsidRDefault="00B40DAA" w:rsidP="0025317F">
            <w:pPr>
              <w:spacing w:after="120"/>
              <w:rPr>
                <w:sz w:val="24"/>
                <w:szCs w:val="24"/>
              </w:rPr>
            </w:pPr>
            <w:r w:rsidRPr="00327DAE">
              <w:rPr>
                <w:sz w:val="24"/>
                <w:szCs w:val="24"/>
              </w:rPr>
              <w:t>SPC-19/2014</w:t>
            </w:r>
          </w:p>
        </w:tc>
        <w:tc>
          <w:tcPr>
            <w:tcW w:w="1418" w:type="dxa"/>
          </w:tcPr>
          <w:p w14:paraId="65194D10" w14:textId="77777777" w:rsidR="00B40DAA" w:rsidRPr="00327DAE" w:rsidRDefault="00B40DAA" w:rsidP="0025317F">
            <w:pPr>
              <w:spacing w:after="120"/>
              <w:rPr>
                <w:sz w:val="24"/>
                <w:szCs w:val="24"/>
              </w:rPr>
            </w:pPr>
          </w:p>
        </w:tc>
      </w:tr>
    </w:tbl>
    <w:p w14:paraId="00E0B4A5" w14:textId="77777777" w:rsidR="004546C7" w:rsidRDefault="004546C7" w:rsidP="0025317F">
      <w:pPr>
        <w:spacing w:after="120"/>
        <w:rPr>
          <w:sz w:val="24"/>
          <w:szCs w:val="24"/>
        </w:rPr>
      </w:pPr>
    </w:p>
    <w:p w14:paraId="0A77151B" w14:textId="77777777" w:rsidR="004F5934" w:rsidRDefault="004F5934" w:rsidP="0025317F">
      <w:pPr>
        <w:spacing w:after="120"/>
        <w:rPr>
          <w:sz w:val="24"/>
          <w:szCs w:val="24"/>
        </w:rPr>
      </w:pPr>
    </w:p>
    <w:p w14:paraId="60AAD233" w14:textId="77777777" w:rsidR="004F5934" w:rsidRDefault="004F5934" w:rsidP="0025317F">
      <w:pPr>
        <w:spacing w:after="120"/>
        <w:rPr>
          <w:sz w:val="24"/>
          <w:szCs w:val="24"/>
        </w:rPr>
      </w:pPr>
    </w:p>
    <w:p w14:paraId="10C81865" w14:textId="77777777" w:rsidR="004F5934" w:rsidRPr="00327DAE" w:rsidRDefault="004F5934" w:rsidP="0025317F">
      <w:pPr>
        <w:spacing w:after="120"/>
        <w:rPr>
          <w:sz w:val="24"/>
          <w:szCs w:val="24"/>
        </w:rPr>
        <w:sectPr w:rsidR="004F5934" w:rsidRPr="00327DAE" w:rsidSect="00102253">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pPr>
    </w:p>
    <w:p w14:paraId="05B86BDF" w14:textId="77777777" w:rsidR="004F5934" w:rsidRDefault="004F5934" w:rsidP="004F5934"/>
    <w:p w14:paraId="0F0F06EF" w14:textId="77777777" w:rsidR="004F5934" w:rsidRDefault="004F5934" w:rsidP="004F5934"/>
    <w:p w14:paraId="7FA5E953" w14:textId="13A65B5C" w:rsidR="004546C7" w:rsidRPr="00327DAE" w:rsidRDefault="004546C7" w:rsidP="0025317F">
      <w:pPr>
        <w:pStyle w:val="Heading3"/>
      </w:pPr>
      <w:bookmarkStart w:id="68" w:name="_Toc522527538"/>
      <w:r w:rsidRPr="00327DAE">
        <w:t xml:space="preserve">Statiska </w:t>
      </w:r>
      <w:r w:rsidR="0075210C">
        <w:t>par</w:t>
      </w:r>
      <w:r w:rsidRPr="00327DAE">
        <w:t xml:space="preserve"> tiesnešiem</w:t>
      </w:r>
      <w:bookmarkEnd w:id="68"/>
    </w:p>
    <w:p w14:paraId="44CE7200" w14:textId="77777777" w:rsidR="004546C7" w:rsidRPr="00327DAE" w:rsidRDefault="004546C7" w:rsidP="0025317F">
      <w:pPr>
        <w:spacing w:after="120"/>
        <w:rPr>
          <w:sz w:val="24"/>
          <w:szCs w:val="24"/>
        </w:rPr>
      </w:pPr>
    </w:p>
    <w:p w14:paraId="477ED503" w14:textId="6681C8FF" w:rsidR="004546C7" w:rsidRPr="00327DAE" w:rsidRDefault="004546C7" w:rsidP="0025317F">
      <w:pPr>
        <w:spacing w:after="120"/>
        <w:ind w:firstLine="720"/>
        <w:rPr>
          <w:sz w:val="24"/>
          <w:szCs w:val="24"/>
        </w:rPr>
      </w:pPr>
      <w:r w:rsidRPr="00327DAE">
        <w:rPr>
          <w:sz w:val="24"/>
          <w:szCs w:val="24"/>
        </w:rPr>
        <w:t>Tiesneša pabeigto lietu un pievienoto nolēmumu skaits, nolēmumu izskatīšanas rezultāti kasācijas instancē civillietās lietu paveidā NP (CPL 60.nodaļa)2008.</w:t>
      </w:r>
      <w:r w:rsidR="006A0BBA">
        <w:rPr>
          <w:sz w:val="24"/>
          <w:szCs w:val="24"/>
        </w:rPr>
        <w:t>–</w:t>
      </w:r>
      <w:r w:rsidRPr="00327DAE">
        <w:rPr>
          <w:sz w:val="24"/>
          <w:szCs w:val="24"/>
        </w:rPr>
        <w:t>2014.</w:t>
      </w:r>
      <w:r w:rsidR="006A0BBA">
        <w:rPr>
          <w:sz w:val="24"/>
          <w:szCs w:val="24"/>
        </w:rPr>
        <w:t> </w:t>
      </w:r>
      <w:r w:rsidRPr="00327DAE">
        <w:rPr>
          <w:sz w:val="24"/>
          <w:szCs w:val="24"/>
        </w:rPr>
        <w:t>gadā</w:t>
      </w:r>
      <w:r w:rsidRPr="004F5934">
        <w:rPr>
          <w:sz w:val="24"/>
          <w:szCs w:val="24"/>
          <w:vertAlign w:val="superscript"/>
        </w:rPr>
        <w:footnoteReference w:id="41"/>
      </w:r>
    </w:p>
    <w:p w14:paraId="77F0AD0A" w14:textId="77777777" w:rsidR="004546C7" w:rsidRPr="00327DAE" w:rsidRDefault="004546C7" w:rsidP="0025317F">
      <w:pPr>
        <w:spacing w:after="120"/>
        <w:ind w:firstLine="720"/>
        <w:rPr>
          <w:sz w:val="24"/>
          <w:szCs w:val="24"/>
        </w:rPr>
      </w:pPr>
    </w:p>
    <w:p w14:paraId="67BEC156" w14:textId="1388F8A8" w:rsidR="004546C7" w:rsidRPr="00327DAE" w:rsidRDefault="004546C7" w:rsidP="0025317F">
      <w:pPr>
        <w:spacing w:after="120"/>
        <w:ind w:firstLine="720"/>
        <w:rPr>
          <w:sz w:val="24"/>
          <w:szCs w:val="24"/>
        </w:rPr>
      </w:pPr>
      <w:r w:rsidRPr="00327DAE">
        <w:rPr>
          <w:sz w:val="24"/>
          <w:szCs w:val="24"/>
        </w:rPr>
        <w:t>Tiesnesis</w:t>
      </w:r>
      <w:r w:rsidR="00A77BA8">
        <w:rPr>
          <w:sz w:val="24"/>
          <w:szCs w:val="24"/>
        </w:rPr>
        <w:t xml:space="preserve"> R. </w:t>
      </w:r>
      <w:r w:rsidRPr="00327DAE">
        <w:rPr>
          <w:sz w:val="24"/>
          <w:szCs w:val="24"/>
        </w:rPr>
        <w:t xml:space="preserve">Buls </w:t>
      </w:r>
    </w:p>
    <w:tbl>
      <w:tblPr>
        <w:tblW w:w="15546" w:type="dxa"/>
        <w:tblInd w:w="-993" w:type="dxa"/>
        <w:tblLook w:val="04A0" w:firstRow="1" w:lastRow="0" w:firstColumn="1" w:lastColumn="0" w:noHBand="0" w:noVBand="1"/>
      </w:tblPr>
      <w:tblGrid>
        <w:gridCol w:w="960"/>
        <w:gridCol w:w="960"/>
        <w:gridCol w:w="960"/>
        <w:gridCol w:w="960"/>
        <w:gridCol w:w="960"/>
        <w:gridCol w:w="960"/>
        <w:gridCol w:w="960"/>
        <w:gridCol w:w="960"/>
        <w:gridCol w:w="960"/>
        <w:gridCol w:w="1140"/>
        <w:gridCol w:w="960"/>
        <w:gridCol w:w="963"/>
        <w:gridCol w:w="960"/>
        <w:gridCol w:w="963"/>
        <w:gridCol w:w="960"/>
        <w:gridCol w:w="960"/>
      </w:tblGrid>
      <w:tr w:rsidR="004546C7" w:rsidRPr="000A09B4" w14:paraId="7F569FA4" w14:textId="77777777" w:rsidTr="000A09B4">
        <w:trPr>
          <w:trHeight w:val="300"/>
        </w:trPr>
        <w:tc>
          <w:tcPr>
            <w:tcW w:w="960" w:type="dxa"/>
            <w:tcBorders>
              <w:top w:val="nil"/>
              <w:left w:val="nil"/>
              <w:bottom w:val="nil"/>
              <w:right w:val="nil"/>
            </w:tcBorders>
            <w:shd w:val="clear" w:color="auto" w:fill="auto"/>
            <w:noWrap/>
            <w:vAlign w:val="bottom"/>
            <w:hideMark/>
          </w:tcPr>
          <w:p w14:paraId="1C0BDF1B" w14:textId="77777777"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14:paraId="0E7AC0A4" w14:textId="77777777"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14:paraId="163CFF0A"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3D10E399"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4BF82A91"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0A85C92E"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4983AEA5"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5BCFCDFA"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4E1DC816" w14:textId="77777777" w:rsidR="004546C7" w:rsidRPr="000A09B4" w:rsidRDefault="004546C7" w:rsidP="0025317F">
            <w:pPr>
              <w:spacing w:after="120"/>
              <w:rPr>
                <w:sz w:val="16"/>
                <w:szCs w:val="16"/>
              </w:rPr>
            </w:pPr>
          </w:p>
        </w:tc>
        <w:tc>
          <w:tcPr>
            <w:tcW w:w="1140" w:type="dxa"/>
            <w:tcBorders>
              <w:top w:val="nil"/>
              <w:left w:val="nil"/>
              <w:bottom w:val="nil"/>
              <w:right w:val="nil"/>
            </w:tcBorders>
            <w:shd w:val="clear" w:color="auto" w:fill="auto"/>
            <w:noWrap/>
            <w:vAlign w:val="bottom"/>
            <w:hideMark/>
          </w:tcPr>
          <w:p w14:paraId="6791CCC8" w14:textId="77777777" w:rsidR="004546C7" w:rsidRPr="000A09B4" w:rsidRDefault="004546C7" w:rsidP="0025317F">
            <w:pPr>
              <w:spacing w:after="120"/>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69F7DC" w14:textId="77777777" w:rsidR="004546C7" w:rsidRPr="000A09B4" w:rsidRDefault="004546C7"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4546C7" w:rsidRPr="000A09B4" w14:paraId="0274DE58" w14:textId="77777777" w:rsidTr="000A09B4">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393745EC" w14:textId="77777777"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824594" w14:textId="77777777"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B4063F" w14:textId="77777777"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6083AB" w14:textId="77777777"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14:paraId="4AA7F65C" w14:textId="77777777"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A30CF4" w14:textId="77777777"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1234A4D7" w14:textId="77777777"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A4886D" w14:textId="77777777"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B12798B" w14:textId="77777777"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140" w:type="dxa"/>
            <w:tcBorders>
              <w:top w:val="single" w:sz="4" w:space="0" w:color="auto"/>
              <w:left w:val="nil"/>
              <w:bottom w:val="single" w:sz="4" w:space="0" w:color="auto"/>
              <w:right w:val="single" w:sz="8" w:space="0" w:color="auto"/>
            </w:tcBorders>
            <w:shd w:val="clear" w:color="auto" w:fill="auto"/>
            <w:vAlign w:val="center"/>
            <w:hideMark/>
          </w:tcPr>
          <w:p w14:paraId="7ECD88F5" w14:textId="77777777"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 (C3)</w:t>
            </w:r>
          </w:p>
        </w:tc>
        <w:tc>
          <w:tcPr>
            <w:tcW w:w="960" w:type="dxa"/>
            <w:tcBorders>
              <w:top w:val="nil"/>
              <w:left w:val="nil"/>
              <w:bottom w:val="nil"/>
              <w:right w:val="nil"/>
            </w:tcBorders>
            <w:shd w:val="clear" w:color="auto" w:fill="auto"/>
            <w:vAlign w:val="center"/>
            <w:hideMark/>
          </w:tcPr>
          <w:p w14:paraId="2E0C1970" w14:textId="77777777"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14:paraId="2138B009" w14:textId="77777777" w:rsidR="004546C7" w:rsidRPr="000A09B4" w:rsidRDefault="004546C7" w:rsidP="0025317F">
            <w:pPr>
              <w:spacing w:after="120"/>
              <w:rPr>
                <w:color w:val="000000"/>
                <w:sz w:val="16"/>
                <w:szCs w:val="16"/>
              </w:rPr>
            </w:pPr>
            <w:r w:rsidRPr="000A09B4">
              <w:rPr>
                <w:color w:val="000000"/>
                <w:sz w:val="16"/>
                <w:szCs w:val="16"/>
              </w:rPr>
              <w:t>Spriedums atcelts pilnīgi</w:t>
            </w:r>
            <w:proofErr w:type="gramStart"/>
            <w:r w:rsidRPr="000A09B4">
              <w:rPr>
                <w:color w:val="000000"/>
                <w:sz w:val="16"/>
                <w:szCs w:val="16"/>
              </w:rPr>
              <w:t xml:space="preserve"> un</w:t>
            </w:r>
            <w:proofErr w:type="gramEnd"/>
            <w:r w:rsidRPr="000A09B4">
              <w:rPr>
                <w:color w:val="000000"/>
                <w:sz w:val="16"/>
                <w:szCs w:val="16"/>
              </w:rPr>
              <w:t xml:space="preserve"> lieta nosūtīta jaunai izskatīšanai</w:t>
            </w:r>
          </w:p>
        </w:tc>
        <w:tc>
          <w:tcPr>
            <w:tcW w:w="960" w:type="dxa"/>
            <w:tcBorders>
              <w:top w:val="nil"/>
              <w:left w:val="nil"/>
              <w:bottom w:val="nil"/>
              <w:right w:val="single" w:sz="4" w:space="0" w:color="auto"/>
            </w:tcBorders>
            <w:shd w:val="clear" w:color="auto" w:fill="auto"/>
            <w:vAlign w:val="center"/>
            <w:hideMark/>
          </w:tcPr>
          <w:p w14:paraId="16C614A6" w14:textId="77777777"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14:paraId="4812F3CE" w14:textId="77777777" w:rsidR="004546C7" w:rsidRPr="000A09B4" w:rsidRDefault="004546C7" w:rsidP="0025317F">
            <w:pPr>
              <w:spacing w:after="120"/>
              <w:rPr>
                <w:color w:val="000000"/>
                <w:sz w:val="16"/>
                <w:szCs w:val="16"/>
              </w:rPr>
            </w:pPr>
            <w:r w:rsidRPr="000A09B4">
              <w:rPr>
                <w:color w:val="000000"/>
                <w:sz w:val="16"/>
                <w:szCs w:val="16"/>
              </w:rPr>
              <w:t>Lēmums atcelts pilnīgi</w:t>
            </w:r>
            <w:proofErr w:type="gramStart"/>
            <w:r w:rsidRPr="000A09B4">
              <w:rPr>
                <w:color w:val="000000"/>
                <w:sz w:val="16"/>
                <w:szCs w:val="16"/>
              </w:rPr>
              <w:t xml:space="preserve"> un</w:t>
            </w:r>
            <w:proofErr w:type="gramEnd"/>
            <w:r w:rsidRPr="000A09B4">
              <w:rPr>
                <w:color w:val="000000"/>
                <w:sz w:val="16"/>
                <w:szCs w:val="16"/>
              </w:rPr>
              <w:t xml:space="preserve">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14:paraId="1A1FF4F6" w14:textId="77777777"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14:paraId="57055403" w14:textId="77777777"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0A09B4" w14:paraId="52307631"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588294FB" w14:textId="77777777"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9A582D" w14:textId="77777777"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nil"/>
              <w:bottom w:val="single" w:sz="4" w:space="0" w:color="auto"/>
              <w:right w:val="single" w:sz="4" w:space="0" w:color="auto"/>
            </w:tcBorders>
            <w:shd w:val="clear" w:color="auto" w:fill="auto"/>
            <w:noWrap/>
            <w:vAlign w:val="bottom"/>
            <w:hideMark/>
          </w:tcPr>
          <w:p w14:paraId="50356B8C" w14:textId="77777777" w:rsidR="004546C7" w:rsidRPr="000A09B4" w:rsidRDefault="004546C7" w:rsidP="0025317F">
            <w:pPr>
              <w:spacing w:after="120"/>
              <w:jc w:val="right"/>
              <w:rPr>
                <w:color w:val="000000"/>
                <w:sz w:val="16"/>
                <w:szCs w:val="16"/>
              </w:rPr>
            </w:pPr>
            <w:r w:rsidRPr="000A09B4">
              <w:rPr>
                <w:color w:val="000000"/>
                <w:sz w:val="16"/>
                <w:szCs w:val="16"/>
              </w:rPr>
              <w:t>175</w:t>
            </w:r>
          </w:p>
        </w:tc>
        <w:tc>
          <w:tcPr>
            <w:tcW w:w="960" w:type="dxa"/>
            <w:tcBorders>
              <w:top w:val="nil"/>
              <w:left w:val="nil"/>
              <w:bottom w:val="single" w:sz="4" w:space="0" w:color="auto"/>
              <w:right w:val="single" w:sz="4" w:space="0" w:color="auto"/>
            </w:tcBorders>
            <w:shd w:val="clear" w:color="auto" w:fill="auto"/>
            <w:noWrap/>
            <w:vAlign w:val="bottom"/>
            <w:hideMark/>
          </w:tcPr>
          <w:p w14:paraId="2C6BB25A" w14:textId="77777777" w:rsidR="004546C7" w:rsidRPr="000A09B4" w:rsidRDefault="004546C7" w:rsidP="0025317F">
            <w:pPr>
              <w:spacing w:after="120"/>
              <w:jc w:val="right"/>
              <w:rPr>
                <w:color w:val="000000"/>
                <w:sz w:val="16"/>
                <w:szCs w:val="16"/>
              </w:rPr>
            </w:pPr>
            <w:r w:rsidRPr="000A09B4">
              <w:rPr>
                <w:color w:val="000000"/>
                <w:sz w:val="16"/>
                <w:szCs w:val="16"/>
              </w:rPr>
              <w:t>70</w:t>
            </w:r>
          </w:p>
        </w:tc>
        <w:tc>
          <w:tcPr>
            <w:tcW w:w="960" w:type="dxa"/>
            <w:tcBorders>
              <w:top w:val="nil"/>
              <w:left w:val="nil"/>
              <w:bottom w:val="single" w:sz="4" w:space="0" w:color="auto"/>
              <w:right w:val="nil"/>
            </w:tcBorders>
            <w:shd w:val="clear" w:color="auto" w:fill="auto"/>
            <w:noWrap/>
            <w:vAlign w:val="bottom"/>
            <w:hideMark/>
          </w:tcPr>
          <w:p w14:paraId="3AA5EE07" w14:textId="77777777" w:rsidR="004546C7" w:rsidRPr="000A09B4" w:rsidRDefault="004546C7" w:rsidP="0025317F">
            <w:pPr>
              <w:spacing w:after="120"/>
              <w:jc w:val="right"/>
              <w:rPr>
                <w:color w:val="000000"/>
                <w:sz w:val="16"/>
                <w:szCs w:val="16"/>
              </w:rPr>
            </w:pPr>
            <w:r w:rsidRPr="000A09B4">
              <w:rPr>
                <w:color w:val="000000"/>
                <w:sz w:val="16"/>
                <w:szCs w:val="16"/>
              </w:rPr>
              <w:t>371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AA95963" w14:textId="77777777" w:rsidR="004546C7" w:rsidRPr="000A09B4" w:rsidRDefault="004546C7" w:rsidP="0025317F">
            <w:pPr>
              <w:spacing w:after="120"/>
              <w:jc w:val="right"/>
              <w:rPr>
                <w:color w:val="000000"/>
                <w:sz w:val="16"/>
                <w:szCs w:val="16"/>
              </w:rPr>
            </w:pPr>
            <w:r w:rsidRPr="000A09B4">
              <w:rPr>
                <w:color w:val="000000"/>
                <w:sz w:val="16"/>
                <w:szCs w:val="16"/>
              </w:rPr>
              <w:t>81</w:t>
            </w:r>
          </w:p>
        </w:tc>
        <w:tc>
          <w:tcPr>
            <w:tcW w:w="960" w:type="dxa"/>
            <w:tcBorders>
              <w:top w:val="nil"/>
              <w:left w:val="nil"/>
              <w:bottom w:val="single" w:sz="4" w:space="0" w:color="auto"/>
              <w:right w:val="single" w:sz="8" w:space="0" w:color="auto"/>
            </w:tcBorders>
            <w:shd w:val="clear" w:color="auto" w:fill="auto"/>
            <w:noWrap/>
            <w:vAlign w:val="bottom"/>
            <w:hideMark/>
          </w:tcPr>
          <w:p w14:paraId="1DD6F273" w14:textId="77777777" w:rsidR="004546C7" w:rsidRPr="000A09B4" w:rsidRDefault="004546C7" w:rsidP="0025317F">
            <w:pPr>
              <w:spacing w:after="120"/>
              <w:jc w:val="right"/>
              <w:rPr>
                <w:color w:val="000000"/>
                <w:sz w:val="16"/>
                <w:szCs w:val="16"/>
              </w:rPr>
            </w:pPr>
            <w:r w:rsidRPr="000A09B4">
              <w:rPr>
                <w:color w:val="000000"/>
                <w:sz w:val="16"/>
                <w:szCs w:val="16"/>
              </w:rPr>
              <w:t>265</w:t>
            </w:r>
          </w:p>
        </w:tc>
        <w:tc>
          <w:tcPr>
            <w:tcW w:w="960" w:type="dxa"/>
            <w:tcBorders>
              <w:top w:val="nil"/>
              <w:left w:val="nil"/>
              <w:bottom w:val="single" w:sz="4" w:space="0" w:color="auto"/>
              <w:right w:val="single" w:sz="4" w:space="0" w:color="auto"/>
            </w:tcBorders>
            <w:shd w:val="clear" w:color="auto" w:fill="auto"/>
            <w:noWrap/>
            <w:vAlign w:val="bottom"/>
            <w:hideMark/>
          </w:tcPr>
          <w:p w14:paraId="5A1FE431" w14:textId="77777777" w:rsidR="004546C7" w:rsidRPr="000A09B4" w:rsidRDefault="004546C7" w:rsidP="0025317F">
            <w:pPr>
              <w:spacing w:after="120"/>
              <w:jc w:val="right"/>
              <w:rPr>
                <w:color w:val="000000"/>
                <w:sz w:val="16"/>
                <w:szCs w:val="16"/>
              </w:rPr>
            </w:pPr>
            <w:r w:rsidRPr="000A09B4">
              <w:rPr>
                <w:color w:val="000000"/>
                <w:sz w:val="16"/>
                <w:szCs w:val="16"/>
              </w:rPr>
              <w:t>1721</w:t>
            </w:r>
          </w:p>
        </w:tc>
        <w:tc>
          <w:tcPr>
            <w:tcW w:w="960" w:type="dxa"/>
            <w:tcBorders>
              <w:top w:val="nil"/>
              <w:left w:val="nil"/>
              <w:bottom w:val="single" w:sz="4" w:space="0" w:color="auto"/>
              <w:right w:val="nil"/>
            </w:tcBorders>
            <w:shd w:val="clear" w:color="auto" w:fill="auto"/>
            <w:noWrap/>
            <w:vAlign w:val="bottom"/>
            <w:hideMark/>
          </w:tcPr>
          <w:p w14:paraId="14821168" w14:textId="77777777" w:rsidR="004546C7" w:rsidRPr="000A09B4" w:rsidRDefault="004546C7" w:rsidP="0025317F">
            <w:pPr>
              <w:spacing w:after="120"/>
              <w:jc w:val="right"/>
              <w:rPr>
                <w:color w:val="000000"/>
                <w:sz w:val="16"/>
                <w:szCs w:val="16"/>
              </w:rPr>
            </w:pPr>
            <w:r w:rsidRPr="000A09B4">
              <w:rPr>
                <w:color w:val="000000"/>
                <w:sz w:val="16"/>
                <w:szCs w:val="16"/>
              </w:rPr>
              <w:t>1629</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5CE281F2" w14:textId="77777777"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9FFF7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D18A7A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E3FA99"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36118604"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594F176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A419CFD"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60CEEC05"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28331F4D" w14:textId="77777777"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449D38" w14:textId="77777777" w:rsidR="004546C7" w:rsidRPr="000A09B4" w:rsidRDefault="004546C7" w:rsidP="0025317F">
            <w:pPr>
              <w:spacing w:after="120"/>
              <w:jc w:val="right"/>
              <w:rPr>
                <w:color w:val="000000"/>
                <w:sz w:val="16"/>
                <w:szCs w:val="16"/>
              </w:rPr>
            </w:pPr>
            <w:r w:rsidRPr="000A09B4">
              <w:rPr>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F505BC9" w14:textId="77777777" w:rsidR="004546C7" w:rsidRPr="000A09B4" w:rsidRDefault="004546C7" w:rsidP="0025317F">
            <w:pPr>
              <w:spacing w:after="120"/>
              <w:jc w:val="right"/>
              <w:rPr>
                <w:color w:val="000000"/>
                <w:sz w:val="16"/>
                <w:szCs w:val="16"/>
              </w:rPr>
            </w:pPr>
            <w:r w:rsidRPr="000A09B4">
              <w:rPr>
                <w:color w:val="000000"/>
                <w:sz w:val="16"/>
                <w:szCs w:val="16"/>
              </w:rPr>
              <w:t>223</w:t>
            </w:r>
          </w:p>
        </w:tc>
        <w:tc>
          <w:tcPr>
            <w:tcW w:w="960" w:type="dxa"/>
            <w:tcBorders>
              <w:top w:val="nil"/>
              <w:left w:val="nil"/>
              <w:bottom w:val="single" w:sz="4" w:space="0" w:color="auto"/>
              <w:right w:val="single" w:sz="4" w:space="0" w:color="auto"/>
            </w:tcBorders>
            <w:shd w:val="clear" w:color="auto" w:fill="auto"/>
            <w:noWrap/>
            <w:vAlign w:val="bottom"/>
            <w:hideMark/>
          </w:tcPr>
          <w:p w14:paraId="48DE242E" w14:textId="77777777" w:rsidR="004546C7" w:rsidRPr="000A09B4" w:rsidRDefault="004546C7" w:rsidP="0025317F">
            <w:pPr>
              <w:spacing w:after="120"/>
              <w:jc w:val="right"/>
              <w:rPr>
                <w:color w:val="000000"/>
                <w:sz w:val="16"/>
                <w:szCs w:val="16"/>
              </w:rPr>
            </w:pPr>
            <w:r w:rsidRPr="000A09B4">
              <w:rPr>
                <w:color w:val="000000"/>
                <w:sz w:val="16"/>
                <w:szCs w:val="16"/>
              </w:rPr>
              <w:t>109</w:t>
            </w:r>
          </w:p>
        </w:tc>
        <w:tc>
          <w:tcPr>
            <w:tcW w:w="960" w:type="dxa"/>
            <w:tcBorders>
              <w:top w:val="nil"/>
              <w:left w:val="nil"/>
              <w:bottom w:val="single" w:sz="4" w:space="0" w:color="auto"/>
              <w:right w:val="nil"/>
            </w:tcBorders>
            <w:shd w:val="clear" w:color="auto" w:fill="auto"/>
            <w:noWrap/>
            <w:vAlign w:val="bottom"/>
            <w:hideMark/>
          </w:tcPr>
          <w:p w14:paraId="0D1EE3C9" w14:textId="77777777" w:rsidR="004546C7" w:rsidRPr="000A09B4" w:rsidRDefault="004546C7" w:rsidP="0025317F">
            <w:pPr>
              <w:spacing w:after="120"/>
              <w:jc w:val="right"/>
              <w:rPr>
                <w:color w:val="000000"/>
                <w:sz w:val="16"/>
                <w:szCs w:val="16"/>
              </w:rPr>
            </w:pPr>
            <w:r w:rsidRPr="000A09B4">
              <w:rPr>
                <w:color w:val="000000"/>
                <w:sz w:val="16"/>
                <w:szCs w:val="16"/>
              </w:rPr>
              <w:t>159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5155F26" w14:textId="77777777" w:rsidR="004546C7" w:rsidRPr="000A09B4" w:rsidRDefault="004546C7" w:rsidP="0025317F">
            <w:pPr>
              <w:spacing w:after="120"/>
              <w:jc w:val="right"/>
              <w:rPr>
                <w:color w:val="000000"/>
                <w:sz w:val="16"/>
                <w:szCs w:val="16"/>
              </w:rPr>
            </w:pPr>
            <w:r w:rsidRPr="000A09B4">
              <w:rPr>
                <w:color w:val="000000"/>
                <w:sz w:val="16"/>
                <w:szCs w:val="16"/>
              </w:rPr>
              <w:t>102</w:t>
            </w:r>
          </w:p>
        </w:tc>
        <w:tc>
          <w:tcPr>
            <w:tcW w:w="960" w:type="dxa"/>
            <w:tcBorders>
              <w:top w:val="nil"/>
              <w:left w:val="nil"/>
              <w:bottom w:val="single" w:sz="4" w:space="0" w:color="auto"/>
              <w:right w:val="single" w:sz="8" w:space="0" w:color="auto"/>
            </w:tcBorders>
            <w:shd w:val="clear" w:color="auto" w:fill="auto"/>
            <w:noWrap/>
            <w:vAlign w:val="bottom"/>
            <w:hideMark/>
          </w:tcPr>
          <w:p w14:paraId="4FF0196F" w14:textId="77777777" w:rsidR="004546C7" w:rsidRPr="000A09B4" w:rsidRDefault="004546C7" w:rsidP="0025317F">
            <w:pPr>
              <w:spacing w:after="120"/>
              <w:jc w:val="right"/>
              <w:rPr>
                <w:color w:val="000000"/>
                <w:sz w:val="16"/>
                <w:szCs w:val="16"/>
              </w:rPr>
            </w:pPr>
            <w:r w:rsidRPr="000A09B4">
              <w:rPr>
                <w:color w:val="000000"/>
                <w:sz w:val="16"/>
                <w:szCs w:val="16"/>
              </w:rPr>
              <w:t>349</w:t>
            </w:r>
          </w:p>
        </w:tc>
        <w:tc>
          <w:tcPr>
            <w:tcW w:w="960" w:type="dxa"/>
            <w:tcBorders>
              <w:top w:val="nil"/>
              <w:left w:val="nil"/>
              <w:bottom w:val="single" w:sz="4" w:space="0" w:color="auto"/>
              <w:right w:val="single" w:sz="4" w:space="0" w:color="auto"/>
            </w:tcBorders>
            <w:shd w:val="clear" w:color="auto" w:fill="auto"/>
            <w:noWrap/>
            <w:vAlign w:val="bottom"/>
            <w:hideMark/>
          </w:tcPr>
          <w:p w14:paraId="490C8F11" w14:textId="77777777" w:rsidR="004546C7" w:rsidRPr="000A09B4" w:rsidRDefault="004546C7" w:rsidP="0025317F">
            <w:pPr>
              <w:spacing w:after="120"/>
              <w:jc w:val="right"/>
              <w:rPr>
                <w:color w:val="000000"/>
                <w:sz w:val="16"/>
                <w:szCs w:val="16"/>
              </w:rPr>
            </w:pPr>
            <w:r w:rsidRPr="000A09B4">
              <w:rPr>
                <w:color w:val="000000"/>
                <w:sz w:val="16"/>
                <w:szCs w:val="16"/>
              </w:rPr>
              <w:t>1333</w:t>
            </w:r>
          </w:p>
        </w:tc>
        <w:tc>
          <w:tcPr>
            <w:tcW w:w="960" w:type="dxa"/>
            <w:tcBorders>
              <w:top w:val="nil"/>
              <w:left w:val="nil"/>
              <w:bottom w:val="single" w:sz="4" w:space="0" w:color="auto"/>
              <w:right w:val="nil"/>
            </w:tcBorders>
            <w:shd w:val="clear" w:color="auto" w:fill="auto"/>
            <w:noWrap/>
            <w:vAlign w:val="bottom"/>
            <w:hideMark/>
          </w:tcPr>
          <w:p w14:paraId="01D94D8E" w14:textId="77777777" w:rsidR="004546C7" w:rsidRPr="000A09B4" w:rsidRDefault="004546C7" w:rsidP="0025317F">
            <w:pPr>
              <w:spacing w:after="120"/>
              <w:jc w:val="right"/>
              <w:rPr>
                <w:color w:val="000000"/>
                <w:sz w:val="16"/>
                <w:szCs w:val="16"/>
              </w:rPr>
            </w:pPr>
            <w:r w:rsidRPr="000A09B4">
              <w:rPr>
                <w:color w:val="000000"/>
                <w:sz w:val="16"/>
                <w:szCs w:val="16"/>
              </w:rPr>
              <w:t>1173</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0880F3EA" w14:textId="77777777" w:rsidR="004546C7" w:rsidRPr="000A09B4" w:rsidRDefault="004546C7" w:rsidP="0025317F">
            <w:pPr>
              <w:spacing w:after="120"/>
              <w:jc w:val="right"/>
              <w:rPr>
                <w:color w:val="000000"/>
                <w:sz w:val="16"/>
                <w:szCs w:val="16"/>
              </w:rPr>
            </w:pPr>
            <w:r w:rsidRPr="000A09B4">
              <w:rPr>
                <w:color w:val="000000"/>
                <w:sz w:val="16"/>
                <w:szCs w:val="16"/>
              </w:rPr>
              <w:t>7</w:t>
            </w:r>
          </w:p>
        </w:tc>
        <w:tc>
          <w:tcPr>
            <w:tcW w:w="960" w:type="dxa"/>
            <w:tcBorders>
              <w:top w:val="nil"/>
              <w:left w:val="nil"/>
              <w:bottom w:val="single" w:sz="4" w:space="0" w:color="auto"/>
              <w:right w:val="single" w:sz="4" w:space="0" w:color="auto"/>
            </w:tcBorders>
            <w:shd w:val="clear" w:color="auto" w:fill="auto"/>
            <w:noWrap/>
            <w:vAlign w:val="bottom"/>
            <w:hideMark/>
          </w:tcPr>
          <w:p w14:paraId="561A1BBF"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2A740A6"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567FBCB"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21336C45" w14:textId="77777777" w:rsidR="004546C7" w:rsidRPr="000A09B4" w:rsidRDefault="004546C7" w:rsidP="0025317F">
            <w:pPr>
              <w:spacing w:after="120"/>
              <w:jc w:val="right"/>
              <w:rPr>
                <w:color w:val="000000"/>
                <w:sz w:val="16"/>
                <w:szCs w:val="16"/>
              </w:rPr>
            </w:pPr>
            <w:r w:rsidRPr="000A09B4">
              <w:rPr>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14:paraId="4CCD5E8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DAFEAC8"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5641C495"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7D417546" w14:textId="77777777"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33CE920" w14:textId="77777777" w:rsidR="004546C7" w:rsidRPr="000A09B4" w:rsidRDefault="004546C7" w:rsidP="0025317F">
            <w:pPr>
              <w:spacing w:after="120"/>
              <w:jc w:val="right"/>
              <w:rPr>
                <w:color w:val="000000"/>
                <w:sz w:val="16"/>
                <w:szCs w:val="16"/>
              </w:rPr>
            </w:pPr>
            <w:r w:rsidRPr="000A09B4">
              <w:rPr>
                <w:color w:val="000000"/>
                <w:sz w:val="16"/>
                <w:szCs w:val="16"/>
              </w:rPr>
              <w:t>37</w:t>
            </w:r>
          </w:p>
        </w:tc>
        <w:tc>
          <w:tcPr>
            <w:tcW w:w="960" w:type="dxa"/>
            <w:tcBorders>
              <w:top w:val="nil"/>
              <w:left w:val="nil"/>
              <w:bottom w:val="single" w:sz="4" w:space="0" w:color="auto"/>
              <w:right w:val="single" w:sz="4" w:space="0" w:color="auto"/>
            </w:tcBorders>
            <w:shd w:val="clear" w:color="auto" w:fill="auto"/>
            <w:noWrap/>
            <w:vAlign w:val="bottom"/>
            <w:hideMark/>
          </w:tcPr>
          <w:p w14:paraId="62C863A3" w14:textId="77777777" w:rsidR="004546C7" w:rsidRPr="000A09B4" w:rsidRDefault="004546C7" w:rsidP="0025317F">
            <w:pPr>
              <w:spacing w:after="120"/>
              <w:jc w:val="right"/>
              <w:rPr>
                <w:color w:val="000000"/>
                <w:sz w:val="16"/>
                <w:szCs w:val="16"/>
              </w:rPr>
            </w:pPr>
            <w:r w:rsidRPr="000A09B4">
              <w:rPr>
                <w:color w:val="000000"/>
                <w:sz w:val="16"/>
                <w:szCs w:val="16"/>
              </w:rPr>
              <w:t>266</w:t>
            </w:r>
          </w:p>
        </w:tc>
        <w:tc>
          <w:tcPr>
            <w:tcW w:w="960" w:type="dxa"/>
            <w:tcBorders>
              <w:top w:val="nil"/>
              <w:left w:val="nil"/>
              <w:bottom w:val="single" w:sz="4" w:space="0" w:color="auto"/>
              <w:right w:val="single" w:sz="4" w:space="0" w:color="auto"/>
            </w:tcBorders>
            <w:shd w:val="clear" w:color="auto" w:fill="auto"/>
            <w:noWrap/>
            <w:vAlign w:val="bottom"/>
            <w:hideMark/>
          </w:tcPr>
          <w:p w14:paraId="3CA35D73" w14:textId="77777777" w:rsidR="004546C7" w:rsidRPr="000A09B4" w:rsidRDefault="004546C7" w:rsidP="0025317F">
            <w:pPr>
              <w:spacing w:after="120"/>
              <w:jc w:val="right"/>
              <w:rPr>
                <w:color w:val="000000"/>
                <w:sz w:val="16"/>
                <w:szCs w:val="16"/>
              </w:rPr>
            </w:pPr>
            <w:r w:rsidRPr="000A09B4">
              <w:rPr>
                <w:color w:val="000000"/>
                <w:sz w:val="16"/>
                <w:szCs w:val="16"/>
              </w:rPr>
              <w:t>193</w:t>
            </w:r>
          </w:p>
        </w:tc>
        <w:tc>
          <w:tcPr>
            <w:tcW w:w="960" w:type="dxa"/>
            <w:tcBorders>
              <w:top w:val="nil"/>
              <w:left w:val="nil"/>
              <w:bottom w:val="single" w:sz="4" w:space="0" w:color="auto"/>
              <w:right w:val="nil"/>
            </w:tcBorders>
            <w:shd w:val="clear" w:color="auto" w:fill="auto"/>
            <w:noWrap/>
            <w:vAlign w:val="bottom"/>
            <w:hideMark/>
          </w:tcPr>
          <w:p w14:paraId="6244DA92" w14:textId="77777777" w:rsidR="004546C7" w:rsidRPr="000A09B4" w:rsidRDefault="004546C7" w:rsidP="0025317F">
            <w:pPr>
              <w:spacing w:after="120"/>
              <w:jc w:val="right"/>
              <w:rPr>
                <w:color w:val="000000"/>
                <w:sz w:val="16"/>
                <w:szCs w:val="16"/>
              </w:rPr>
            </w:pPr>
            <w:r w:rsidRPr="000A09B4">
              <w:rPr>
                <w:color w:val="000000"/>
                <w:sz w:val="16"/>
                <w:szCs w:val="16"/>
              </w:rPr>
              <w:t>158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681EC0F" w14:textId="77777777" w:rsidR="004546C7" w:rsidRPr="000A09B4" w:rsidRDefault="004546C7" w:rsidP="0025317F">
            <w:pPr>
              <w:spacing w:after="120"/>
              <w:jc w:val="right"/>
              <w:rPr>
                <w:color w:val="000000"/>
                <w:sz w:val="16"/>
                <w:szCs w:val="16"/>
              </w:rPr>
            </w:pPr>
            <w:r w:rsidRPr="000A09B4">
              <w:rPr>
                <w:color w:val="000000"/>
                <w:sz w:val="16"/>
                <w:szCs w:val="16"/>
              </w:rPr>
              <w:t>118</w:t>
            </w:r>
          </w:p>
        </w:tc>
        <w:tc>
          <w:tcPr>
            <w:tcW w:w="960" w:type="dxa"/>
            <w:tcBorders>
              <w:top w:val="nil"/>
              <w:left w:val="nil"/>
              <w:bottom w:val="single" w:sz="4" w:space="0" w:color="auto"/>
              <w:right w:val="single" w:sz="8" w:space="0" w:color="auto"/>
            </w:tcBorders>
            <w:shd w:val="clear" w:color="auto" w:fill="auto"/>
            <w:noWrap/>
            <w:vAlign w:val="bottom"/>
            <w:hideMark/>
          </w:tcPr>
          <w:p w14:paraId="4149A6D5" w14:textId="77777777" w:rsidR="004546C7" w:rsidRPr="000A09B4" w:rsidRDefault="004546C7" w:rsidP="0025317F">
            <w:pPr>
              <w:spacing w:after="120"/>
              <w:jc w:val="right"/>
              <w:rPr>
                <w:color w:val="000000"/>
                <w:sz w:val="16"/>
                <w:szCs w:val="16"/>
              </w:rPr>
            </w:pPr>
            <w:r w:rsidRPr="000A09B4">
              <w:rPr>
                <w:color w:val="000000"/>
                <w:sz w:val="16"/>
                <w:szCs w:val="16"/>
              </w:rPr>
              <w:t>421</w:t>
            </w:r>
          </w:p>
        </w:tc>
        <w:tc>
          <w:tcPr>
            <w:tcW w:w="960" w:type="dxa"/>
            <w:tcBorders>
              <w:top w:val="single" w:sz="4" w:space="0" w:color="auto"/>
              <w:left w:val="nil"/>
              <w:bottom w:val="single" w:sz="4" w:space="0" w:color="auto"/>
              <w:right w:val="nil"/>
            </w:tcBorders>
            <w:shd w:val="clear" w:color="auto" w:fill="auto"/>
            <w:noWrap/>
            <w:vAlign w:val="bottom"/>
            <w:hideMark/>
          </w:tcPr>
          <w:p w14:paraId="419219BD" w14:textId="77777777" w:rsidR="004546C7" w:rsidRPr="000A09B4" w:rsidRDefault="004546C7" w:rsidP="0025317F">
            <w:pPr>
              <w:spacing w:after="120"/>
              <w:jc w:val="right"/>
              <w:rPr>
                <w:color w:val="000000"/>
                <w:sz w:val="16"/>
                <w:szCs w:val="16"/>
              </w:rPr>
            </w:pPr>
            <w:r w:rsidRPr="000A09B4">
              <w:rPr>
                <w:color w:val="000000"/>
                <w:sz w:val="16"/>
                <w:szCs w:val="16"/>
              </w:rPr>
              <w:t>1718</w:t>
            </w:r>
          </w:p>
        </w:tc>
        <w:tc>
          <w:tcPr>
            <w:tcW w:w="960" w:type="dxa"/>
            <w:tcBorders>
              <w:top w:val="nil"/>
              <w:left w:val="single" w:sz="4" w:space="0" w:color="auto"/>
              <w:bottom w:val="single" w:sz="4" w:space="0" w:color="auto"/>
              <w:right w:val="nil"/>
            </w:tcBorders>
            <w:shd w:val="clear" w:color="auto" w:fill="auto"/>
            <w:noWrap/>
            <w:vAlign w:val="bottom"/>
            <w:hideMark/>
          </w:tcPr>
          <w:p w14:paraId="1CF231C4" w14:textId="77777777" w:rsidR="004546C7" w:rsidRPr="000A09B4" w:rsidRDefault="004546C7" w:rsidP="0025317F">
            <w:pPr>
              <w:spacing w:after="120"/>
              <w:jc w:val="right"/>
              <w:rPr>
                <w:color w:val="000000"/>
                <w:sz w:val="16"/>
                <w:szCs w:val="16"/>
              </w:rPr>
            </w:pPr>
            <w:r w:rsidRPr="000A09B4">
              <w:rPr>
                <w:color w:val="000000"/>
                <w:sz w:val="16"/>
                <w:szCs w:val="16"/>
              </w:rPr>
              <w:t>1536</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126BF855" w14:textId="77777777" w:rsidR="004546C7" w:rsidRPr="000A09B4" w:rsidRDefault="004546C7" w:rsidP="0025317F">
            <w:pPr>
              <w:spacing w:after="120"/>
              <w:jc w:val="right"/>
              <w:rPr>
                <w:color w:val="000000"/>
                <w:sz w:val="16"/>
                <w:szCs w:val="16"/>
              </w:rPr>
            </w:pPr>
            <w:r w:rsidRPr="000A09B4">
              <w:rPr>
                <w:color w:val="000000"/>
                <w:sz w:val="16"/>
                <w:szCs w:val="16"/>
              </w:rPr>
              <w:t>7</w:t>
            </w:r>
          </w:p>
        </w:tc>
        <w:tc>
          <w:tcPr>
            <w:tcW w:w="960" w:type="dxa"/>
            <w:tcBorders>
              <w:top w:val="nil"/>
              <w:left w:val="nil"/>
              <w:bottom w:val="single" w:sz="4" w:space="0" w:color="auto"/>
              <w:right w:val="single" w:sz="4" w:space="0" w:color="auto"/>
            </w:tcBorders>
            <w:shd w:val="clear" w:color="auto" w:fill="auto"/>
            <w:noWrap/>
            <w:vAlign w:val="bottom"/>
            <w:hideMark/>
          </w:tcPr>
          <w:p w14:paraId="53229D55"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71FAB884" w14:textId="77777777" w:rsidR="004546C7" w:rsidRPr="000A09B4" w:rsidRDefault="004546C7" w:rsidP="0025317F">
            <w:pPr>
              <w:spacing w:after="120"/>
              <w:jc w:val="right"/>
              <w:rPr>
                <w:color w:val="000000"/>
                <w:sz w:val="16"/>
                <w:szCs w:val="16"/>
              </w:rPr>
            </w:pPr>
            <w:r w:rsidRPr="000A09B4">
              <w:rPr>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14:paraId="3A859CB6"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2D9B63A" w14:textId="77777777"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6530AD2E"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17709CF3"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0C47BE89"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41F6BB6" w14:textId="77777777"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473E7F4" w14:textId="77777777" w:rsidR="004546C7" w:rsidRPr="000A09B4" w:rsidRDefault="004546C7" w:rsidP="0025317F">
            <w:pPr>
              <w:spacing w:after="120"/>
              <w:jc w:val="right"/>
              <w:rPr>
                <w:color w:val="000000"/>
                <w:sz w:val="16"/>
                <w:szCs w:val="16"/>
              </w:rPr>
            </w:pPr>
            <w:r w:rsidRPr="000A09B4">
              <w:rPr>
                <w:color w:val="000000"/>
                <w:sz w:val="16"/>
                <w:szCs w:val="16"/>
              </w:rPr>
              <w:t>39</w:t>
            </w:r>
          </w:p>
        </w:tc>
        <w:tc>
          <w:tcPr>
            <w:tcW w:w="960" w:type="dxa"/>
            <w:tcBorders>
              <w:top w:val="nil"/>
              <w:left w:val="nil"/>
              <w:bottom w:val="single" w:sz="4" w:space="0" w:color="auto"/>
              <w:right w:val="single" w:sz="4" w:space="0" w:color="auto"/>
            </w:tcBorders>
            <w:shd w:val="clear" w:color="auto" w:fill="auto"/>
            <w:noWrap/>
            <w:vAlign w:val="bottom"/>
            <w:hideMark/>
          </w:tcPr>
          <w:p w14:paraId="5D965661" w14:textId="77777777" w:rsidR="004546C7" w:rsidRPr="000A09B4" w:rsidRDefault="004546C7" w:rsidP="0025317F">
            <w:pPr>
              <w:spacing w:after="120"/>
              <w:jc w:val="right"/>
              <w:rPr>
                <w:color w:val="000000"/>
                <w:sz w:val="16"/>
                <w:szCs w:val="16"/>
              </w:rPr>
            </w:pPr>
            <w:r w:rsidRPr="000A09B4">
              <w:rPr>
                <w:color w:val="000000"/>
                <w:sz w:val="16"/>
                <w:szCs w:val="16"/>
              </w:rPr>
              <w:t>234</w:t>
            </w:r>
          </w:p>
        </w:tc>
        <w:tc>
          <w:tcPr>
            <w:tcW w:w="960" w:type="dxa"/>
            <w:tcBorders>
              <w:top w:val="nil"/>
              <w:left w:val="nil"/>
              <w:bottom w:val="single" w:sz="4" w:space="0" w:color="auto"/>
              <w:right w:val="single" w:sz="4" w:space="0" w:color="auto"/>
            </w:tcBorders>
            <w:shd w:val="clear" w:color="auto" w:fill="auto"/>
            <w:noWrap/>
            <w:vAlign w:val="bottom"/>
            <w:hideMark/>
          </w:tcPr>
          <w:p w14:paraId="6B7C9FCD" w14:textId="77777777"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nil"/>
            </w:tcBorders>
            <w:shd w:val="clear" w:color="auto" w:fill="auto"/>
            <w:noWrap/>
            <w:vAlign w:val="bottom"/>
            <w:hideMark/>
          </w:tcPr>
          <w:p w14:paraId="270B7023" w14:textId="77777777" w:rsidR="004546C7" w:rsidRPr="000A09B4" w:rsidRDefault="004546C7"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CD9C182"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8" w:space="0" w:color="auto"/>
            </w:tcBorders>
            <w:shd w:val="clear" w:color="auto" w:fill="auto"/>
            <w:noWrap/>
            <w:vAlign w:val="bottom"/>
            <w:hideMark/>
          </w:tcPr>
          <w:p w14:paraId="48E18D6A" w14:textId="77777777" w:rsidR="004546C7" w:rsidRPr="000A09B4" w:rsidRDefault="004546C7" w:rsidP="0025317F">
            <w:pPr>
              <w:spacing w:after="120"/>
              <w:jc w:val="right"/>
              <w:rPr>
                <w:color w:val="000000"/>
                <w:sz w:val="16"/>
                <w:szCs w:val="16"/>
              </w:rPr>
            </w:pPr>
            <w:r w:rsidRPr="000A09B4">
              <w:rPr>
                <w:color w:val="000000"/>
                <w:sz w:val="16"/>
                <w:szCs w:val="16"/>
              </w:rPr>
              <w:t>275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FAF8A6" w14:textId="77777777" w:rsidR="004546C7" w:rsidRPr="000A09B4" w:rsidRDefault="004546C7" w:rsidP="0025317F">
            <w:pPr>
              <w:spacing w:after="120"/>
              <w:jc w:val="right"/>
              <w:rPr>
                <w:color w:val="000000"/>
                <w:sz w:val="16"/>
                <w:szCs w:val="16"/>
              </w:rPr>
            </w:pPr>
            <w:r w:rsidRPr="000A09B4">
              <w:rPr>
                <w:color w:val="000000"/>
                <w:sz w:val="16"/>
                <w:szCs w:val="16"/>
              </w:rPr>
              <w:t>1378</w:t>
            </w:r>
          </w:p>
        </w:tc>
        <w:tc>
          <w:tcPr>
            <w:tcW w:w="960" w:type="dxa"/>
            <w:tcBorders>
              <w:top w:val="nil"/>
              <w:left w:val="nil"/>
              <w:bottom w:val="single" w:sz="4" w:space="0" w:color="auto"/>
              <w:right w:val="nil"/>
            </w:tcBorders>
            <w:shd w:val="clear" w:color="auto" w:fill="auto"/>
            <w:noWrap/>
            <w:vAlign w:val="bottom"/>
            <w:hideMark/>
          </w:tcPr>
          <w:p w14:paraId="2A21A351" w14:textId="77777777" w:rsidR="004546C7" w:rsidRPr="000A09B4" w:rsidRDefault="004546C7" w:rsidP="0025317F">
            <w:pPr>
              <w:spacing w:after="120"/>
              <w:jc w:val="right"/>
              <w:rPr>
                <w:color w:val="000000"/>
                <w:sz w:val="16"/>
                <w:szCs w:val="16"/>
              </w:rPr>
            </w:pPr>
            <w:r w:rsidRPr="000A09B4">
              <w:rPr>
                <w:color w:val="000000"/>
                <w:sz w:val="16"/>
                <w:szCs w:val="16"/>
              </w:rPr>
              <w:t>1309</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678317F1"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B3A574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8326F97"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1EFF44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D7B54E2"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6F743D1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9577C48"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4DEDAD79"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7654238" w14:textId="77777777"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2AA3DE1" w14:textId="77777777" w:rsidR="004546C7" w:rsidRPr="000A09B4" w:rsidRDefault="004546C7" w:rsidP="0025317F">
            <w:pPr>
              <w:spacing w:after="120"/>
              <w:jc w:val="right"/>
              <w:rPr>
                <w:color w:val="000000"/>
                <w:sz w:val="16"/>
                <w:szCs w:val="16"/>
              </w:rPr>
            </w:pPr>
            <w:r w:rsidRPr="000A09B4">
              <w:rPr>
                <w:color w:val="000000"/>
                <w:sz w:val="16"/>
                <w:szCs w:val="16"/>
              </w:rPr>
              <w:t>59</w:t>
            </w:r>
          </w:p>
        </w:tc>
        <w:tc>
          <w:tcPr>
            <w:tcW w:w="960" w:type="dxa"/>
            <w:tcBorders>
              <w:top w:val="nil"/>
              <w:left w:val="nil"/>
              <w:bottom w:val="single" w:sz="4" w:space="0" w:color="auto"/>
              <w:right w:val="single" w:sz="4" w:space="0" w:color="auto"/>
            </w:tcBorders>
            <w:shd w:val="clear" w:color="auto" w:fill="auto"/>
            <w:noWrap/>
            <w:vAlign w:val="bottom"/>
            <w:hideMark/>
          </w:tcPr>
          <w:p w14:paraId="1814AAEC" w14:textId="77777777" w:rsidR="004546C7" w:rsidRPr="000A09B4" w:rsidRDefault="004546C7" w:rsidP="0025317F">
            <w:pPr>
              <w:spacing w:after="120"/>
              <w:jc w:val="right"/>
              <w:rPr>
                <w:color w:val="000000"/>
                <w:sz w:val="16"/>
                <w:szCs w:val="16"/>
              </w:rPr>
            </w:pPr>
            <w:r w:rsidRPr="000A09B4">
              <w:rPr>
                <w:color w:val="000000"/>
                <w:sz w:val="16"/>
                <w:szCs w:val="16"/>
              </w:rPr>
              <w:t>215</w:t>
            </w:r>
          </w:p>
        </w:tc>
        <w:tc>
          <w:tcPr>
            <w:tcW w:w="960" w:type="dxa"/>
            <w:tcBorders>
              <w:top w:val="nil"/>
              <w:left w:val="nil"/>
              <w:bottom w:val="single" w:sz="4" w:space="0" w:color="auto"/>
              <w:right w:val="single" w:sz="4" w:space="0" w:color="auto"/>
            </w:tcBorders>
            <w:shd w:val="clear" w:color="auto" w:fill="auto"/>
            <w:noWrap/>
            <w:vAlign w:val="bottom"/>
            <w:hideMark/>
          </w:tcPr>
          <w:p w14:paraId="6BEDCC77" w14:textId="77777777" w:rsidR="004546C7" w:rsidRPr="000A09B4" w:rsidRDefault="004546C7" w:rsidP="0025317F">
            <w:pPr>
              <w:spacing w:after="120"/>
              <w:jc w:val="right"/>
              <w:rPr>
                <w:color w:val="000000"/>
                <w:sz w:val="16"/>
                <w:szCs w:val="16"/>
              </w:rPr>
            </w:pPr>
            <w:r w:rsidRPr="000A09B4">
              <w:rPr>
                <w:color w:val="000000"/>
                <w:sz w:val="16"/>
                <w:szCs w:val="16"/>
              </w:rPr>
              <w:t>146</w:t>
            </w:r>
          </w:p>
        </w:tc>
        <w:tc>
          <w:tcPr>
            <w:tcW w:w="960" w:type="dxa"/>
            <w:tcBorders>
              <w:top w:val="nil"/>
              <w:left w:val="nil"/>
              <w:bottom w:val="single" w:sz="4" w:space="0" w:color="auto"/>
              <w:right w:val="nil"/>
            </w:tcBorders>
            <w:shd w:val="clear" w:color="auto" w:fill="auto"/>
            <w:noWrap/>
            <w:vAlign w:val="bottom"/>
            <w:hideMark/>
          </w:tcPr>
          <w:p w14:paraId="1CC9DBEE" w14:textId="77777777"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707061E"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8" w:space="0" w:color="auto"/>
            </w:tcBorders>
            <w:shd w:val="clear" w:color="auto" w:fill="auto"/>
            <w:noWrap/>
            <w:vAlign w:val="bottom"/>
            <w:hideMark/>
          </w:tcPr>
          <w:p w14:paraId="33825968" w14:textId="77777777" w:rsidR="004546C7" w:rsidRPr="000A09B4" w:rsidRDefault="004546C7" w:rsidP="0025317F">
            <w:pPr>
              <w:spacing w:after="120"/>
              <w:jc w:val="right"/>
              <w:rPr>
                <w:color w:val="000000"/>
                <w:sz w:val="16"/>
                <w:szCs w:val="16"/>
              </w:rPr>
            </w:pPr>
            <w:r w:rsidRPr="000A09B4">
              <w:rPr>
                <w:color w:val="000000"/>
                <w:sz w:val="16"/>
                <w:szCs w:val="16"/>
              </w:rPr>
              <w:t>274</w:t>
            </w:r>
          </w:p>
        </w:tc>
        <w:tc>
          <w:tcPr>
            <w:tcW w:w="960" w:type="dxa"/>
            <w:tcBorders>
              <w:top w:val="nil"/>
              <w:left w:val="nil"/>
              <w:bottom w:val="single" w:sz="4" w:space="0" w:color="auto"/>
              <w:right w:val="single" w:sz="4" w:space="0" w:color="auto"/>
            </w:tcBorders>
            <w:shd w:val="clear" w:color="auto" w:fill="auto"/>
            <w:noWrap/>
            <w:vAlign w:val="bottom"/>
            <w:hideMark/>
          </w:tcPr>
          <w:p w14:paraId="2AACC093" w14:textId="77777777" w:rsidR="004546C7" w:rsidRPr="000A09B4" w:rsidRDefault="004546C7" w:rsidP="0025317F">
            <w:pPr>
              <w:spacing w:after="120"/>
              <w:jc w:val="right"/>
              <w:rPr>
                <w:color w:val="000000"/>
                <w:sz w:val="16"/>
                <w:szCs w:val="16"/>
              </w:rPr>
            </w:pPr>
            <w:r w:rsidRPr="000A09B4">
              <w:rPr>
                <w:color w:val="000000"/>
                <w:sz w:val="16"/>
                <w:szCs w:val="16"/>
              </w:rPr>
              <w:t>1118</w:t>
            </w:r>
          </w:p>
        </w:tc>
        <w:tc>
          <w:tcPr>
            <w:tcW w:w="960" w:type="dxa"/>
            <w:tcBorders>
              <w:top w:val="nil"/>
              <w:left w:val="nil"/>
              <w:bottom w:val="single" w:sz="4" w:space="0" w:color="auto"/>
              <w:right w:val="nil"/>
            </w:tcBorders>
            <w:shd w:val="clear" w:color="auto" w:fill="auto"/>
            <w:noWrap/>
            <w:vAlign w:val="bottom"/>
            <w:hideMark/>
          </w:tcPr>
          <w:p w14:paraId="4064A06B" w14:textId="77777777" w:rsidR="004546C7" w:rsidRPr="000A09B4" w:rsidRDefault="004546C7" w:rsidP="0025317F">
            <w:pPr>
              <w:spacing w:after="120"/>
              <w:jc w:val="right"/>
              <w:rPr>
                <w:color w:val="000000"/>
                <w:sz w:val="16"/>
                <w:szCs w:val="16"/>
              </w:rPr>
            </w:pPr>
            <w:r w:rsidRPr="000A09B4">
              <w:rPr>
                <w:color w:val="000000"/>
                <w:sz w:val="16"/>
                <w:szCs w:val="16"/>
              </w:rPr>
              <w:t>998</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6F6AFA9E"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761D5FC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5FEF5FBB"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D38631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73D9715"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10D9F00D"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3DADA19"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34FD3C9B"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224E43C" w14:textId="77777777"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548D24" w14:textId="77777777" w:rsidR="004546C7" w:rsidRPr="000A09B4" w:rsidRDefault="004546C7"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4" w:space="0" w:color="auto"/>
            </w:tcBorders>
            <w:shd w:val="clear" w:color="auto" w:fill="auto"/>
            <w:noWrap/>
            <w:vAlign w:val="bottom"/>
            <w:hideMark/>
          </w:tcPr>
          <w:p w14:paraId="62B77285" w14:textId="77777777"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single" w:sz="4" w:space="0" w:color="auto"/>
            </w:tcBorders>
            <w:shd w:val="clear" w:color="auto" w:fill="auto"/>
            <w:noWrap/>
            <w:vAlign w:val="bottom"/>
            <w:hideMark/>
          </w:tcPr>
          <w:p w14:paraId="32B14D5B" w14:textId="77777777" w:rsidR="004546C7" w:rsidRPr="000A09B4" w:rsidRDefault="004546C7" w:rsidP="0025317F">
            <w:pPr>
              <w:spacing w:after="120"/>
              <w:jc w:val="right"/>
              <w:rPr>
                <w:color w:val="000000"/>
                <w:sz w:val="16"/>
                <w:szCs w:val="16"/>
              </w:rPr>
            </w:pPr>
            <w:r w:rsidRPr="000A09B4">
              <w:rPr>
                <w:color w:val="000000"/>
                <w:sz w:val="16"/>
                <w:szCs w:val="16"/>
              </w:rPr>
              <w:t>104</w:t>
            </w:r>
          </w:p>
        </w:tc>
        <w:tc>
          <w:tcPr>
            <w:tcW w:w="960" w:type="dxa"/>
            <w:tcBorders>
              <w:top w:val="nil"/>
              <w:left w:val="nil"/>
              <w:bottom w:val="single" w:sz="4" w:space="0" w:color="auto"/>
              <w:right w:val="nil"/>
            </w:tcBorders>
            <w:shd w:val="clear" w:color="auto" w:fill="auto"/>
            <w:noWrap/>
            <w:vAlign w:val="bottom"/>
            <w:hideMark/>
          </w:tcPr>
          <w:p w14:paraId="56F16B42" w14:textId="77777777" w:rsidR="004546C7" w:rsidRPr="000A09B4" w:rsidRDefault="004546C7" w:rsidP="0025317F">
            <w:pPr>
              <w:spacing w:after="120"/>
              <w:jc w:val="right"/>
              <w:rPr>
                <w:color w:val="000000"/>
                <w:sz w:val="16"/>
                <w:szCs w:val="16"/>
              </w:rPr>
            </w:pPr>
            <w:r w:rsidRPr="000A09B4">
              <w:rPr>
                <w:color w:val="000000"/>
                <w:sz w:val="16"/>
                <w:szCs w:val="16"/>
              </w:rPr>
              <w:t>12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6AC9C9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8" w:space="0" w:color="auto"/>
            </w:tcBorders>
            <w:shd w:val="clear" w:color="auto" w:fill="auto"/>
            <w:noWrap/>
            <w:vAlign w:val="bottom"/>
            <w:hideMark/>
          </w:tcPr>
          <w:p w14:paraId="27002FFD" w14:textId="77777777" w:rsidR="004546C7" w:rsidRPr="000A09B4" w:rsidRDefault="004546C7" w:rsidP="0025317F">
            <w:pPr>
              <w:spacing w:after="120"/>
              <w:jc w:val="right"/>
              <w:rPr>
                <w:color w:val="000000"/>
                <w:sz w:val="16"/>
                <w:szCs w:val="16"/>
              </w:rPr>
            </w:pPr>
            <w:r w:rsidRPr="000A09B4">
              <w:rPr>
                <w:color w:val="000000"/>
                <w:sz w:val="16"/>
                <w:szCs w:val="16"/>
              </w:rPr>
              <w:t>209</w:t>
            </w:r>
          </w:p>
        </w:tc>
        <w:tc>
          <w:tcPr>
            <w:tcW w:w="960" w:type="dxa"/>
            <w:tcBorders>
              <w:top w:val="nil"/>
              <w:left w:val="nil"/>
              <w:bottom w:val="single" w:sz="4" w:space="0" w:color="auto"/>
              <w:right w:val="single" w:sz="4" w:space="0" w:color="auto"/>
            </w:tcBorders>
            <w:shd w:val="clear" w:color="auto" w:fill="auto"/>
            <w:noWrap/>
            <w:vAlign w:val="bottom"/>
            <w:hideMark/>
          </w:tcPr>
          <w:p w14:paraId="4D3DBC4D" w14:textId="77777777" w:rsidR="004546C7" w:rsidRPr="000A09B4" w:rsidRDefault="004546C7" w:rsidP="0025317F">
            <w:pPr>
              <w:spacing w:after="120"/>
              <w:jc w:val="right"/>
              <w:rPr>
                <w:color w:val="000000"/>
                <w:sz w:val="16"/>
                <w:szCs w:val="16"/>
              </w:rPr>
            </w:pPr>
            <w:r w:rsidRPr="000A09B4">
              <w:rPr>
                <w:color w:val="000000"/>
                <w:sz w:val="16"/>
                <w:szCs w:val="16"/>
              </w:rPr>
              <w:t>969</w:t>
            </w:r>
          </w:p>
        </w:tc>
        <w:tc>
          <w:tcPr>
            <w:tcW w:w="960" w:type="dxa"/>
            <w:tcBorders>
              <w:top w:val="nil"/>
              <w:left w:val="nil"/>
              <w:bottom w:val="single" w:sz="4" w:space="0" w:color="auto"/>
              <w:right w:val="nil"/>
            </w:tcBorders>
            <w:shd w:val="clear" w:color="auto" w:fill="auto"/>
            <w:noWrap/>
            <w:vAlign w:val="bottom"/>
            <w:hideMark/>
          </w:tcPr>
          <w:p w14:paraId="546DA313" w14:textId="77777777" w:rsidR="004546C7" w:rsidRPr="000A09B4" w:rsidRDefault="004546C7" w:rsidP="0025317F">
            <w:pPr>
              <w:spacing w:after="120"/>
              <w:jc w:val="right"/>
              <w:rPr>
                <w:color w:val="000000"/>
                <w:sz w:val="16"/>
                <w:szCs w:val="16"/>
              </w:rPr>
            </w:pPr>
            <w:r w:rsidRPr="000A09B4">
              <w:rPr>
                <w:color w:val="000000"/>
                <w:sz w:val="16"/>
                <w:szCs w:val="16"/>
              </w:rPr>
              <w:t>851</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0D15E639" w14:textId="77777777"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1C2DD5C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56EE83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ACE82C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F7C0A79"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64AA994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FC7F48A"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30AF6AFB"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720AE47E" w14:textId="77777777"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EC9BFA" w14:textId="77777777" w:rsidR="004546C7" w:rsidRPr="000A09B4" w:rsidRDefault="004546C7" w:rsidP="0025317F">
            <w:pPr>
              <w:spacing w:after="120"/>
              <w:jc w:val="right"/>
              <w:rPr>
                <w:color w:val="000000"/>
                <w:sz w:val="16"/>
                <w:szCs w:val="16"/>
              </w:rPr>
            </w:pPr>
            <w:r w:rsidRPr="000A09B4">
              <w:rPr>
                <w:color w:val="000000"/>
                <w:sz w:val="16"/>
                <w:szCs w:val="16"/>
              </w:rPr>
              <w:t>28</w:t>
            </w:r>
          </w:p>
        </w:tc>
        <w:tc>
          <w:tcPr>
            <w:tcW w:w="960" w:type="dxa"/>
            <w:tcBorders>
              <w:top w:val="nil"/>
              <w:left w:val="nil"/>
              <w:bottom w:val="single" w:sz="4" w:space="0" w:color="auto"/>
              <w:right w:val="single" w:sz="4" w:space="0" w:color="auto"/>
            </w:tcBorders>
            <w:shd w:val="clear" w:color="auto" w:fill="auto"/>
            <w:noWrap/>
            <w:vAlign w:val="bottom"/>
            <w:hideMark/>
          </w:tcPr>
          <w:p w14:paraId="5E28965E" w14:textId="77777777" w:rsidR="004546C7" w:rsidRPr="000A09B4" w:rsidRDefault="004546C7" w:rsidP="0025317F">
            <w:pPr>
              <w:spacing w:after="120"/>
              <w:jc w:val="right"/>
              <w:rPr>
                <w:color w:val="000000"/>
                <w:sz w:val="16"/>
                <w:szCs w:val="16"/>
              </w:rPr>
            </w:pPr>
            <w:r w:rsidRPr="000A09B4">
              <w:rPr>
                <w:color w:val="000000"/>
                <w:sz w:val="16"/>
                <w:szCs w:val="16"/>
              </w:rPr>
              <w:t>141</w:t>
            </w:r>
          </w:p>
        </w:tc>
        <w:tc>
          <w:tcPr>
            <w:tcW w:w="960" w:type="dxa"/>
            <w:tcBorders>
              <w:top w:val="nil"/>
              <w:left w:val="nil"/>
              <w:bottom w:val="single" w:sz="4" w:space="0" w:color="auto"/>
              <w:right w:val="single" w:sz="4" w:space="0" w:color="auto"/>
            </w:tcBorders>
            <w:shd w:val="clear" w:color="auto" w:fill="auto"/>
            <w:noWrap/>
            <w:vAlign w:val="bottom"/>
            <w:hideMark/>
          </w:tcPr>
          <w:p w14:paraId="561D781A" w14:textId="77777777" w:rsidR="004546C7" w:rsidRPr="000A09B4" w:rsidRDefault="004546C7" w:rsidP="0025317F">
            <w:pPr>
              <w:spacing w:after="120"/>
              <w:jc w:val="right"/>
              <w:rPr>
                <w:color w:val="000000"/>
                <w:sz w:val="16"/>
                <w:szCs w:val="16"/>
              </w:rPr>
            </w:pPr>
            <w:r w:rsidRPr="000A09B4">
              <w:rPr>
                <w:color w:val="000000"/>
                <w:sz w:val="16"/>
                <w:szCs w:val="16"/>
              </w:rPr>
              <w:t>82</w:t>
            </w:r>
          </w:p>
        </w:tc>
        <w:tc>
          <w:tcPr>
            <w:tcW w:w="960" w:type="dxa"/>
            <w:tcBorders>
              <w:top w:val="nil"/>
              <w:left w:val="nil"/>
              <w:bottom w:val="single" w:sz="4" w:space="0" w:color="auto"/>
              <w:right w:val="nil"/>
            </w:tcBorders>
            <w:shd w:val="clear" w:color="auto" w:fill="auto"/>
            <w:noWrap/>
            <w:vAlign w:val="bottom"/>
            <w:hideMark/>
          </w:tcPr>
          <w:p w14:paraId="43956320" w14:textId="77777777"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50888C2" w14:textId="77777777"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nil"/>
              <w:bottom w:val="single" w:sz="4" w:space="0" w:color="auto"/>
              <w:right w:val="single" w:sz="8" w:space="0" w:color="auto"/>
            </w:tcBorders>
            <w:shd w:val="clear" w:color="auto" w:fill="auto"/>
            <w:noWrap/>
            <w:vAlign w:val="bottom"/>
            <w:hideMark/>
          </w:tcPr>
          <w:p w14:paraId="437354EA" w14:textId="77777777" w:rsidR="004546C7" w:rsidRPr="000A09B4" w:rsidRDefault="004546C7" w:rsidP="0025317F">
            <w:pPr>
              <w:spacing w:after="120"/>
              <w:jc w:val="right"/>
              <w:rPr>
                <w:color w:val="000000"/>
                <w:sz w:val="16"/>
                <w:szCs w:val="16"/>
              </w:rPr>
            </w:pPr>
            <w:r w:rsidRPr="000A09B4">
              <w:rPr>
                <w:color w:val="000000"/>
                <w:sz w:val="16"/>
                <w:szCs w:val="16"/>
              </w:rPr>
              <w:t>177</w:t>
            </w:r>
          </w:p>
        </w:tc>
        <w:tc>
          <w:tcPr>
            <w:tcW w:w="960" w:type="dxa"/>
            <w:tcBorders>
              <w:top w:val="nil"/>
              <w:left w:val="nil"/>
              <w:bottom w:val="single" w:sz="4" w:space="0" w:color="auto"/>
              <w:right w:val="single" w:sz="4" w:space="0" w:color="auto"/>
            </w:tcBorders>
            <w:shd w:val="clear" w:color="auto" w:fill="auto"/>
            <w:noWrap/>
            <w:vAlign w:val="bottom"/>
            <w:hideMark/>
          </w:tcPr>
          <w:p w14:paraId="3A8D7810" w14:textId="77777777" w:rsidR="004546C7" w:rsidRPr="000A09B4" w:rsidRDefault="004546C7" w:rsidP="0025317F">
            <w:pPr>
              <w:spacing w:after="120"/>
              <w:jc w:val="right"/>
              <w:rPr>
                <w:color w:val="000000"/>
                <w:sz w:val="16"/>
                <w:szCs w:val="16"/>
              </w:rPr>
            </w:pPr>
            <w:r w:rsidRPr="000A09B4">
              <w:rPr>
                <w:color w:val="000000"/>
                <w:sz w:val="16"/>
                <w:szCs w:val="16"/>
              </w:rPr>
              <w:t>870</w:t>
            </w:r>
          </w:p>
        </w:tc>
        <w:tc>
          <w:tcPr>
            <w:tcW w:w="960" w:type="dxa"/>
            <w:tcBorders>
              <w:top w:val="nil"/>
              <w:left w:val="nil"/>
              <w:bottom w:val="single" w:sz="4" w:space="0" w:color="auto"/>
              <w:right w:val="nil"/>
            </w:tcBorders>
            <w:shd w:val="clear" w:color="auto" w:fill="auto"/>
            <w:noWrap/>
            <w:vAlign w:val="bottom"/>
            <w:hideMark/>
          </w:tcPr>
          <w:p w14:paraId="6043DC98" w14:textId="77777777" w:rsidR="004546C7" w:rsidRPr="000A09B4" w:rsidRDefault="004546C7" w:rsidP="0025317F">
            <w:pPr>
              <w:spacing w:after="120"/>
              <w:jc w:val="right"/>
              <w:rPr>
                <w:color w:val="000000"/>
                <w:sz w:val="16"/>
                <w:szCs w:val="16"/>
              </w:rPr>
            </w:pPr>
            <w:r w:rsidRPr="000A09B4">
              <w:rPr>
                <w:color w:val="000000"/>
                <w:sz w:val="16"/>
                <w:szCs w:val="16"/>
              </w:rPr>
              <w:t>793</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14:paraId="2672AACE"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80F76C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44C973F"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953156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3687E6F" w14:textId="77777777"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0AC751C0"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1B97FC1B"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522E433F" w14:textId="77777777" w:rsidTr="000A09B4">
        <w:trPr>
          <w:trHeight w:val="300"/>
        </w:trPr>
        <w:tc>
          <w:tcPr>
            <w:tcW w:w="960" w:type="dxa"/>
            <w:tcBorders>
              <w:top w:val="nil"/>
              <w:left w:val="single" w:sz="4" w:space="0" w:color="auto"/>
              <w:bottom w:val="nil"/>
              <w:right w:val="nil"/>
            </w:tcBorders>
            <w:shd w:val="clear" w:color="auto" w:fill="auto"/>
            <w:noWrap/>
            <w:vAlign w:val="bottom"/>
            <w:hideMark/>
          </w:tcPr>
          <w:p w14:paraId="54A7EA7C" w14:textId="77777777"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single" w:sz="8" w:space="0" w:color="auto"/>
              <w:bottom w:val="nil"/>
              <w:right w:val="nil"/>
            </w:tcBorders>
            <w:shd w:val="clear" w:color="auto" w:fill="auto"/>
            <w:noWrap/>
            <w:vAlign w:val="bottom"/>
            <w:hideMark/>
          </w:tcPr>
          <w:p w14:paraId="48DB85F1" w14:textId="77777777" w:rsidR="004546C7" w:rsidRPr="000A09B4" w:rsidRDefault="004546C7" w:rsidP="0025317F">
            <w:pPr>
              <w:spacing w:after="120"/>
              <w:jc w:val="right"/>
              <w:rPr>
                <w:i/>
                <w:iCs/>
                <w:color w:val="000000"/>
                <w:sz w:val="16"/>
                <w:szCs w:val="16"/>
              </w:rPr>
            </w:pPr>
            <w:r w:rsidRPr="000A09B4">
              <w:rPr>
                <w:i/>
                <w:iCs/>
                <w:color w:val="000000"/>
                <w:sz w:val="16"/>
                <w:szCs w:val="16"/>
              </w:rPr>
              <w:t>240</w:t>
            </w:r>
          </w:p>
        </w:tc>
        <w:tc>
          <w:tcPr>
            <w:tcW w:w="960" w:type="dxa"/>
            <w:tcBorders>
              <w:top w:val="nil"/>
              <w:left w:val="nil"/>
              <w:bottom w:val="nil"/>
              <w:right w:val="nil"/>
            </w:tcBorders>
            <w:shd w:val="clear" w:color="auto" w:fill="auto"/>
            <w:noWrap/>
            <w:vAlign w:val="bottom"/>
            <w:hideMark/>
          </w:tcPr>
          <w:p w14:paraId="28AE41CC" w14:textId="77777777" w:rsidR="004546C7" w:rsidRPr="000A09B4" w:rsidRDefault="004546C7" w:rsidP="0025317F">
            <w:pPr>
              <w:spacing w:after="120"/>
              <w:jc w:val="right"/>
              <w:rPr>
                <w:i/>
                <w:iCs/>
                <w:color w:val="000000"/>
                <w:sz w:val="16"/>
                <w:szCs w:val="16"/>
              </w:rPr>
            </w:pPr>
            <w:r w:rsidRPr="000A09B4">
              <w:rPr>
                <w:i/>
                <w:iCs/>
                <w:color w:val="000000"/>
                <w:sz w:val="16"/>
                <w:szCs w:val="16"/>
              </w:rPr>
              <w:t>1419</w:t>
            </w:r>
          </w:p>
        </w:tc>
        <w:tc>
          <w:tcPr>
            <w:tcW w:w="960" w:type="dxa"/>
            <w:tcBorders>
              <w:top w:val="nil"/>
              <w:left w:val="nil"/>
              <w:bottom w:val="nil"/>
              <w:right w:val="nil"/>
            </w:tcBorders>
            <w:shd w:val="clear" w:color="auto" w:fill="auto"/>
            <w:noWrap/>
            <w:vAlign w:val="bottom"/>
            <w:hideMark/>
          </w:tcPr>
          <w:p w14:paraId="401F0162" w14:textId="77777777" w:rsidR="004546C7" w:rsidRPr="000A09B4" w:rsidRDefault="004546C7" w:rsidP="0025317F">
            <w:pPr>
              <w:spacing w:after="120"/>
              <w:jc w:val="right"/>
              <w:rPr>
                <w:i/>
                <w:iCs/>
                <w:color w:val="000000"/>
                <w:sz w:val="16"/>
                <w:szCs w:val="16"/>
              </w:rPr>
            </w:pPr>
            <w:r w:rsidRPr="000A09B4">
              <w:rPr>
                <w:i/>
                <w:iCs/>
                <w:color w:val="000000"/>
                <w:sz w:val="16"/>
                <w:szCs w:val="16"/>
              </w:rPr>
              <w:t>869</w:t>
            </w:r>
          </w:p>
        </w:tc>
        <w:tc>
          <w:tcPr>
            <w:tcW w:w="960" w:type="dxa"/>
            <w:tcBorders>
              <w:top w:val="nil"/>
              <w:left w:val="nil"/>
              <w:bottom w:val="nil"/>
              <w:right w:val="nil"/>
            </w:tcBorders>
            <w:shd w:val="clear" w:color="auto" w:fill="auto"/>
            <w:noWrap/>
            <w:vAlign w:val="bottom"/>
            <w:hideMark/>
          </w:tcPr>
          <w:p w14:paraId="0084D104" w14:textId="77777777" w:rsidR="004546C7" w:rsidRPr="000A09B4" w:rsidRDefault="004546C7" w:rsidP="0025317F">
            <w:pPr>
              <w:spacing w:after="120"/>
              <w:jc w:val="right"/>
              <w:rPr>
                <w:i/>
                <w:iCs/>
                <w:color w:val="000000"/>
                <w:sz w:val="16"/>
                <w:szCs w:val="16"/>
              </w:rPr>
            </w:pPr>
            <w:r w:rsidRPr="000A09B4">
              <w:rPr>
                <w:i/>
                <w:iCs/>
                <w:color w:val="000000"/>
                <w:sz w:val="16"/>
                <w:szCs w:val="16"/>
              </w:rPr>
              <w:t>794</w:t>
            </w:r>
          </w:p>
        </w:tc>
        <w:tc>
          <w:tcPr>
            <w:tcW w:w="960" w:type="dxa"/>
            <w:tcBorders>
              <w:top w:val="nil"/>
              <w:left w:val="single" w:sz="8" w:space="0" w:color="auto"/>
              <w:bottom w:val="nil"/>
              <w:right w:val="single" w:sz="8" w:space="0" w:color="auto"/>
            </w:tcBorders>
            <w:shd w:val="clear" w:color="auto" w:fill="auto"/>
            <w:noWrap/>
            <w:vAlign w:val="bottom"/>
            <w:hideMark/>
          </w:tcPr>
          <w:p w14:paraId="025333B7" w14:textId="77777777" w:rsidR="004546C7" w:rsidRPr="000A09B4" w:rsidRDefault="004546C7" w:rsidP="0025317F">
            <w:pPr>
              <w:spacing w:after="120"/>
              <w:jc w:val="right"/>
              <w:rPr>
                <w:i/>
                <w:iCs/>
                <w:color w:val="000000"/>
                <w:sz w:val="16"/>
                <w:szCs w:val="16"/>
              </w:rPr>
            </w:pPr>
            <w:r w:rsidRPr="000A09B4">
              <w:rPr>
                <w:i/>
                <w:iCs/>
                <w:color w:val="000000"/>
                <w:sz w:val="16"/>
                <w:szCs w:val="16"/>
              </w:rPr>
              <w:t>311</w:t>
            </w:r>
          </w:p>
        </w:tc>
        <w:tc>
          <w:tcPr>
            <w:tcW w:w="960" w:type="dxa"/>
            <w:tcBorders>
              <w:top w:val="nil"/>
              <w:left w:val="nil"/>
              <w:bottom w:val="single" w:sz="4" w:space="0" w:color="auto"/>
              <w:right w:val="single" w:sz="8" w:space="0" w:color="auto"/>
            </w:tcBorders>
            <w:shd w:val="clear" w:color="auto" w:fill="auto"/>
            <w:noWrap/>
            <w:vAlign w:val="bottom"/>
            <w:hideMark/>
          </w:tcPr>
          <w:p w14:paraId="4CF39BDE" w14:textId="77777777" w:rsidR="004546C7" w:rsidRPr="000A09B4" w:rsidRDefault="004546C7" w:rsidP="0025317F">
            <w:pPr>
              <w:spacing w:after="120"/>
              <w:jc w:val="right"/>
              <w:rPr>
                <w:i/>
                <w:iCs/>
                <w:color w:val="000000"/>
                <w:sz w:val="16"/>
                <w:szCs w:val="16"/>
              </w:rPr>
            </w:pPr>
            <w:r w:rsidRPr="000A09B4">
              <w:rPr>
                <w:i/>
                <w:iCs/>
                <w:color w:val="000000"/>
                <w:sz w:val="16"/>
                <w:szCs w:val="16"/>
              </w:rPr>
              <w:t>1970</w:t>
            </w:r>
          </w:p>
        </w:tc>
        <w:tc>
          <w:tcPr>
            <w:tcW w:w="960" w:type="dxa"/>
            <w:tcBorders>
              <w:top w:val="nil"/>
              <w:left w:val="nil"/>
              <w:bottom w:val="nil"/>
              <w:right w:val="nil"/>
            </w:tcBorders>
            <w:shd w:val="clear" w:color="auto" w:fill="auto"/>
            <w:noWrap/>
            <w:vAlign w:val="bottom"/>
            <w:hideMark/>
          </w:tcPr>
          <w:p w14:paraId="38AF7551" w14:textId="77777777" w:rsidR="004546C7" w:rsidRPr="000A09B4" w:rsidRDefault="004546C7" w:rsidP="0025317F">
            <w:pPr>
              <w:spacing w:after="120"/>
              <w:jc w:val="right"/>
              <w:rPr>
                <w:i/>
                <w:iCs/>
                <w:color w:val="000000"/>
                <w:sz w:val="16"/>
                <w:szCs w:val="16"/>
              </w:rPr>
            </w:pPr>
            <w:r w:rsidRPr="000A09B4">
              <w:rPr>
                <w:i/>
                <w:iCs/>
                <w:color w:val="000000"/>
                <w:sz w:val="16"/>
                <w:szCs w:val="16"/>
              </w:rPr>
              <w:t>9107</w:t>
            </w:r>
          </w:p>
        </w:tc>
        <w:tc>
          <w:tcPr>
            <w:tcW w:w="960" w:type="dxa"/>
            <w:tcBorders>
              <w:top w:val="nil"/>
              <w:left w:val="nil"/>
              <w:bottom w:val="nil"/>
              <w:right w:val="nil"/>
            </w:tcBorders>
            <w:shd w:val="clear" w:color="auto" w:fill="auto"/>
            <w:noWrap/>
            <w:vAlign w:val="bottom"/>
            <w:hideMark/>
          </w:tcPr>
          <w:p w14:paraId="3E34719A" w14:textId="77777777" w:rsidR="004546C7" w:rsidRPr="000A09B4" w:rsidRDefault="004546C7" w:rsidP="0025317F">
            <w:pPr>
              <w:spacing w:after="120"/>
              <w:jc w:val="right"/>
              <w:rPr>
                <w:i/>
                <w:iCs/>
                <w:color w:val="000000"/>
                <w:sz w:val="16"/>
                <w:szCs w:val="16"/>
              </w:rPr>
            </w:pPr>
            <w:r w:rsidRPr="000A09B4">
              <w:rPr>
                <w:i/>
                <w:iCs/>
                <w:color w:val="000000"/>
                <w:sz w:val="16"/>
                <w:szCs w:val="16"/>
              </w:rPr>
              <w:t>8289</w:t>
            </w:r>
          </w:p>
        </w:tc>
        <w:tc>
          <w:tcPr>
            <w:tcW w:w="1140" w:type="dxa"/>
            <w:tcBorders>
              <w:top w:val="nil"/>
              <w:left w:val="single" w:sz="8" w:space="0" w:color="auto"/>
              <w:bottom w:val="nil"/>
              <w:right w:val="single" w:sz="8" w:space="0" w:color="auto"/>
            </w:tcBorders>
            <w:shd w:val="clear" w:color="auto" w:fill="auto"/>
            <w:noWrap/>
            <w:vAlign w:val="bottom"/>
            <w:hideMark/>
          </w:tcPr>
          <w:p w14:paraId="7CF6FE3A" w14:textId="77777777" w:rsidR="004546C7" w:rsidRPr="000A09B4" w:rsidRDefault="004546C7" w:rsidP="0025317F">
            <w:pPr>
              <w:spacing w:after="120"/>
              <w:jc w:val="right"/>
              <w:rPr>
                <w:i/>
                <w:iCs/>
                <w:color w:val="000000"/>
                <w:sz w:val="16"/>
                <w:szCs w:val="16"/>
              </w:rPr>
            </w:pPr>
            <w:r w:rsidRPr="000A09B4">
              <w:rPr>
                <w:i/>
                <w:iCs/>
                <w:color w:val="000000"/>
                <w:sz w:val="16"/>
                <w:szCs w:val="16"/>
              </w:rPr>
              <w:t>27</w:t>
            </w:r>
          </w:p>
        </w:tc>
        <w:tc>
          <w:tcPr>
            <w:tcW w:w="960" w:type="dxa"/>
            <w:tcBorders>
              <w:top w:val="nil"/>
              <w:left w:val="nil"/>
              <w:bottom w:val="single" w:sz="4" w:space="0" w:color="auto"/>
              <w:right w:val="single" w:sz="4" w:space="0" w:color="auto"/>
            </w:tcBorders>
            <w:shd w:val="clear" w:color="auto" w:fill="auto"/>
            <w:noWrap/>
            <w:vAlign w:val="bottom"/>
            <w:hideMark/>
          </w:tcPr>
          <w:p w14:paraId="2A83FCBE" w14:textId="77777777"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2483E0AA"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14:paraId="724E92DA" w14:textId="77777777" w:rsidR="004546C7" w:rsidRPr="000A09B4" w:rsidRDefault="004546C7" w:rsidP="0025317F">
            <w:pPr>
              <w:spacing w:after="120"/>
              <w:jc w:val="right"/>
              <w:rPr>
                <w:i/>
                <w:iCs/>
                <w:color w:val="000000"/>
                <w:sz w:val="16"/>
                <w:szCs w:val="16"/>
              </w:rPr>
            </w:pPr>
            <w:r w:rsidRPr="000A09B4">
              <w:rPr>
                <w:i/>
                <w:iCs/>
                <w:color w:val="000000"/>
                <w:sz w:val="16"/>
                <w:szCs w:val="16"/>
              </w:rPr>
              <w:t>2</w:t>
            </w:r>
          </w:p>
        </w:tc>
        <w:tc>
          <w:tcPr>
            <w:tcW w:w="963" w:type="dxa"/>
            <w:tcBorders>
              <w:top w:val="nil"/>
              <w:left w:val="nil"/>
              <w:bottom w:val="single" w:sz="4" w:space="0" w:color="auto"/>
              <w:right w:val="single" w:sz="4" w:space="0" w:color="auto"/>
            </w:tcBorders>
            <w:shd w:val="clear" w:color="000000" w:fill="FFFF00"/>
            <w:noWrap/>
            <w:vAlign w:val="bottom"/>
            <w:hideMark/>
          </w:tcPr>
          <w:p w14:paraId="4B649EC5"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14:paraId="6E2BC2DB" w14:textId="77777777" w:rsidR="004546C7" w:rsidRPr="000A09B4" w:rsidRDefault="004546C7" w:rsidP="0025317F">
            <w:pPr>
              <w:spacing w:after="120"/>
              <w:jc w:val="right"/>
              <w:rPr>
                <w:i/>
                <w:iCs/>
                <w:color w:val="000000"/>
                <w:sz w:val="16"/>
                <w:szCs w:val="16"/>
              </w:rPr>
            </w:pPr>
            <w:r w:rsidRPr="000A09B4">
              <w:rPr>
                <w:i/>
                <w:iCs/>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FDF3CDA"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r>
    </w:tbl>
    <w:p w14:paraId="53D6AFBD" w14:textId="77777777" w:rsidR="004546C7" w:rsidRPr="00327DAE" w:rsidRDefault="004546C7" w:rsidP="0025317F">
      <w:pPr>
        <w:spacing w:after="120"/>
        <w:rPr>
          <w:sz w:val="24"/>
          <w:szCs w:val="24"/>
        </w:rPr>
      </w:pPr>
    </w:p>
    <w:p w14:paraId="04501A94" w14:textId="77777777" w:rsidR="004F5934" w:rsidRDefault="004F5934">
      <w:pPr>
        <w:widowControl/>
        <w:adjustRightInd/>
        <w:spacing w:after="160" w:line="259" w:lineRule="auto"/>
        <w:jc w:val="left"/>
        <w:textAlignment w:val="auto"/>
        <w:rPr>
          <w:sz w:val="24"/>
          <w:szCs w:val="24"/>
        </w:rPr>
      </w:pPr>
      <w:r>
        <w:rPr>
          <w:sz w:val="24"/>
          <w:szCs w:val="24"/>
        </w:rPr>
        <w:br w:type="page"/>
      </w:r>
    </w:p>
    <w:p w14:paraId="6E20B60E" w14:textId="23C2D41D" w:rsidR="004546C7" w:rsidRPr="00327DAE" w:rsidRDefault="004546C7" w:rsidP="0025317F">
      <w:pPr>
        <w:spacing w:after="120"/>
        <w:ind w:firstLine="720"/>
        <w:rPr>
          <w:sz w:val="24"/>
          <w:szCs w:val="24"/>
        </w:rPr>
      </w:pPr>
      <w:r w:rsidRPr="00327DAE">
        <w:rPr>
          <w:sz w:val="24"/>
          <w:szCs w:val="24"/>
        </w:rPr>
        <w:lastRenderedPageBreak/>
        <w:t xml:space="preserve">Tiesnesis </w:t>
      </w:r>
      <w:r w:rsidR="00A77BA8">
        <w:rPr>
          <w:sz w:val="24"/>
          <w:szCs w:val="24"/>
        </w:rPr>
        <w:t>I. </w:t>
      </w:r>
      <w:r w:rsidRPr="00327DAE">
        <w:rPr>
          <w:sz w:val="24"/>
          <w:szCs w:val="24"/>
        </w:rPr>
        <w:t>Dzenis</w:t>
      </w:r>
    </w:p>
    <w:p w14:paraId="77F53377" w14:textId="77777777" w:rsidR="004546C7" w:rsidRPr="00327DAE" w:rsidRDefault="004546C7" w:rsidP="0025317F">
      <w:pPr>
        <w:spacing w:after="120"/>
        <w:ind w:firstLine="720"/>
        <w:rPr>
          <w:sz w:val="24"/>
          <w:szCs w:val="24"/>
        </w:rPr>
      </w:pPr>
    </w:p>
    <w:tbl>
      <w:tblPr>
        <w:tblW w:w="16019" w:type="dxa"/>
        <w:tblInd w:w="-1134" w:type="dxa"/>
        <w:tblLayout w:type="fixed"/>
        <w:tblLook w:val="04A0" w:firstRow="1" w:lastRow="0" w:firstColumn="1" w:lastColumn="0" w:noHBand="0" w:noVBand="1"/>
      </w:tblPr>
      <w:tblGrid>
        <w:gridCol w:w="960"/>
        <w:gridCol w:w="846"/>
        <w:gridCol w:w="746"/>
        <w:gridCol w:w="709"/>
        <w:gridCol w:w="708"/>
        <w:gridCol w:w="852"/>
        <w:gridCol w:w="708"/>
        <w:gridCol w:w="709"/>
        <w:gridCol w:w="851"/>
        <w:gridCol w:w="992"/>
        <w:gridCol w:w="992"/>
        <w:gridCol w:w="992"/>
        <w:gridCol w:w="993"/>
        <w:gridCol w:w="850"/>
        <w:gridCol w:w="1134"/>
        <w:gridCol w:w="992"/>
        <w:gridCol w:w="993"/>
        <w:gridCol w:w="992"/>
      </w:tblGrid>
      <w:tr w:rsidR="008A7DC2" w:rsidRPr="008A7DC2" w14:paraId="71CEBA15" w14:textId="77777777" w:rsidTr="008A7DC2">
        <w:trPr>
          <w:trHeight w:val="315"/>
        </w:trPr>
        <w:tc>
          <w:tcPr>
            <w:tcW w:w="960" w:type="dxa"/>
            <w:tcBorders>
              <w:top w:val="nil"/>
              <w:left w:val="nil"/>
              <w:bottom w:val="nil"/>
              <w:right w:val="nil"/>
            </w:tcBorders>
            <w:shd w:val="clear" w:color="auto" w:fill="auto"/>
            <w:noWrap/>
            <w:vAlign w:val="bottom"/>
            <w:hideMark/>
          </w:tcPr>
          <w:p w14:paraId="1B373A2E" w14:textId="77777777" w:rsidR="008A7DC2" w:rsidRPr="008A7DC2" w:rsidRDefault="008A7DC2" w:rsidP="008A7DC2">
            <w:pPr>
              <w:widowControl/>
              <w:adjustRightInd/>
              <w:jc w:val="left"/>
              <w:textAlignment w:val="auto"/>
              <w:rPr>
                <w:sz w:val="24"/>
                <w:szCs w:val="24"/>
              </w:rPr>
            </w:pPr>
          </w:p>
        </w:tc>
        <w:tc>
          <w:tcPr>
            <w:tcW w:w="4569" w:type="dxa"/>
            <w:gridSpan w:val="6"/>
            <w:tcBorders>
              <w:top w:val="nil"/>
              <w:left w:val="nil"/>
              <w:bottom w:val="nil"/>
              <w:right w:val="nil"/>
            </w:tcBorders>
            <w:shd w:val="clear" w:color="auto" w:fill="auto"/>
            <w:noWrap/>
            <w:vAlign w:val="bottom"/>
            <w:hideMark/>
          </w:tcPr>
          <w:p w14:paraId="30BFB37B" w14:textId="77777777" w:rsidR="008A7DC2" w:rsidRPr="008A7DC2" w:rsidRDefault="008A7DC2" w:rsidP="008A7DC2">
            <w:pPr>
              <w:widowControl/>
              <w:adjustRightInd/>
              <w:jc w:val="left"/>
              <w:textAlignment w:val="auto"/>
            </w:pPr>
          </w:p>
        </w:tc>
        <w:tc>
          <w:tcPr>
            <w:tcW w:w="709" w:type="dxa"/>
            <w:tcBorders>
              <w:top w:val="nil"/>
              <w:left w:val="nil"/>
              <w:bottom w:val="nil"/>
              <w:right w:val="nil"/>
            </w:tcBorders>
            <w:shd w:val="clear" w:color="auto" w:fill="auto"/>
            <w:noWrap/>
            <w:vAlign w:val="bottom"/>
            <w:hideMark/>
          </w:tcPr>
          <w:p w14:paraId="45553513" w14:textId="77777777" w:rsidR="008A7DC2" w:rsidRPr="008A7DC2" w:rsidRDefault="008A7DC2" w:rsidP="008A7DC2">
            <w:pPr>
              <w:widowControl/>
              <w:adjustRightInd/>
              <w:jc w:val="center"/>
              <w:textAlignment w:val="auto"/>
            </w:pPr>
          </w:p>
        </w:tc>
        <w:tc>
          <w:tcPr>
            <w:tcW w:w="851" w:type="dxa"/>
            <w:tcBorders>
              <w:top w:val="nil"/>
              <w:left w:val="nil"/>
              <w:bottom w:val="nil"/>
              <w:right w:val="nil"/>
            </w:tcBorders>
            <w:shd w:val="clear" w:color="auto" w:fill="auto"/>
            <w:noWrap/>
            <w:vAlign w:val="bottom"/>
            <w:hideMark/>
          </w:tcPr>
          <w:p w14:paraId="70E1E700" w14:textId="77777777" w:rsidR="008A7DC2" w:rsidRPr="008A7DC2" w:rsidRDefault="008A7DC2" w:rsidP="008A7DC2">
            <w:pPr>
              <w:widowControl/>
              <w:adjustRightInd/>
              <w:jc w:val="center"/>
              <w:textAlignment w:val="auto"/>
            </w:pPr>
          </w:p>
        </w:tc>
        <w:tc>
          <w:tcPr>
            <w:tcW w:w="992" w:type="dxa"/>
            <w:tcBorders>
              <w:top w:val="nil"/>
              <w:left w:val="nil"/>
              <w:bottom w:val="nil"/>
              <w:right w:val="nil"/>
            </w:tcBorders>
            <w:shd w:val="clear" w:color="auto" w:fill="auto"/>
            <w:vAlign w:val="center"/>
            <w:hideMark/>
          </w:tcPr>
          <w:p w14:paraId="2567E7AF" w14:textId="77777777" w:rsidR="008A7DC2" w:rsidRPr="008A7DC2" w:rsidRDefault="008A7DC2" w:rsidP="008A7DC2">
            <w:pPr>
              <w:widowControl/>
              <w:adjustRightInd/>
              <w:jc w:val="center"/>
              <w:textAlignment w:val="auto"/>
            </w:pPr>
          </w:p>
        </w:tc>
        <w:tc>
          <w:tcPr>
            <w:tcW w:w="992" w:type="dxa"/>
            <w:tcBorders>
              <w:top w:val="nil"/>
              <w:left w:val="nil"/>
              <w:bottom w:val="nil"/>
              <w:right w:val="nil"/>
            </w:tcBorders>
            <w:shd w:val="clear" w:color="auto" w:fill="auto"/>
            <w:vAlign w:val="center"/>
            <w:hideMark/>
          </w:tcPr>
          <w:p w14:paraId="1E2FE1A5" w14:textId="77777777" w:rsidR="008A7DC2" w:rsidRPr="008A7DC2" w:rsidRDefault="008A7DC2" w:rsidP="008A7DC2">
            <w:pPr>
              <w:widowControl/>
              <w:adjustRightInd/>
              <w:jc w:val="center"/>
              <w:textAlignment w:val="auto"/>
            </w:pPr>
          </w:p>
        </w:tc>
        <w:tc>
          <w:tcPr>
            <w:tcW w:w="694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DF02BD8" w14:textId="77777777"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Nolēmumu izskatīšanas rezultāti kasācijas instancē civillietās</w:t>
            </w:r>
          </w:p>
        </w:tc>
      </w:tr>
      <w:tr w:rsidR="008A7DC2" w:rsidRPr="008A7DC2" w14:paraId="7B65DBBF" w14:textId="77777777" w:rsidTr="008A7DC2">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22C5B5CF"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Gads</w:t>
            </w:r>
          </w:p>
        </w:tc>
        <w:tc>
          <w:tcPr>
            <w:tcW w:w="84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5DC9B8C" w14:textId="77777777"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KL pabeigtas</w:t>
            </w:r>
          </w:p>
        </w:tc>
        <w:tc>
          <w:tcPr>
            <w:tcW w:w="746" w:type="dxa"/>
            <w:tcBorders>
              <w:top w:val="single" w:sz="4" w:space="0" w:color="auto"/>
              <w:left w:val="nil"/>
              <w:bottom w:val="single" w:sz="4" w:space="0" w:color="auto"/>
              <w:right w:val="single" w:sz="8" w:space="0" w:color="auto"/>
            </w:tcBorders>
            <w:shd w:val="clear" w:color="auto" w:fill="auto"/>
            <w:vAlign w:val="center"/>
            <w:hideMark/>
          </w:tcPr>
          <w:p w14:paraId="4B47F910"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KL ar spriedumu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2AC54A" w14:textId="77777777"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CL pabeigtas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ADF5FA1"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CL ar spriedumu</w:t>
            </w:r>
          </w:p>
        </w:tc>
        <w:tc>
          <w:tcPr>
            <w:tcW w:w="852" w:type="dxa"/>
            <w:tcBorders>
              <w:top w:val="single" w:sz="4" w:space="0" w:color="auto"/>
              <w:left w:val="nil"/>
              <w:bottom w:val="single" w:sz="4" w:space="0" w:color="auto"/>
              <w:right w:val="nil"/>
            </w:tcBorders>
            <w:shd w:val="clear" w:color="auto" w:fill="auto"/>
            <w:vAlign w:val="center"/>
            <w:hideMark/>
          </w:tcPr>
          <w:p w14:paraId="266482B9"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Ārpus tiesas sēdes materiāli CL</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F7C7DF"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APK lietas kopā</w:t>
            </w:r>
          </w:p>
        </w:tc>
        <w:tc>
          <w:tcPr>
            <w:tcW w:w="709" w:type="dxa"/>
            <w:tcBorders>
              <w:top w:val="single" w:sz="4" w:space="0" w:color="auto"/>
              <w:left w:val="nil"/>
              <w:bottom w:val="single" w:sz="4" w:space="0" w:color="auto"/>
              <w:right w:val="nil"/>
            </w:tcBorders>
            <w:shd w:val="clear" w:color="auto" w:fill="auto"/>
            <w:vAlign w:val="center"/>
            <w:hideMark/>
          </w:tcPr>
          <w:p w14:paraId="54BBBFF4"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Lietas kopā</w:t>
            </w:r>
          </w:p>
        </w:tc>
        <w:tc>
          <w:tcPr>
            <w:tcW w:w="851" w:type="dxa"/>
            <w:tcBorders>
              <w:top w:val="single" w:sz="4" w:space="0" w:color="auto"/>
              <w:left w:val="single" w:sz="8" w:space="0" w:color="auto"/>
              <w:bottom w:val="single" w:sz="4" w:space="0" w:color="auto"/>
              <w:right w:val="nil"/>
            </w:tcBorders>
            <w:shd w:val="clear" w:color="auto" w:fill="auto"/>
            <w:vAlign w:val="center"/>
            <w:hideMark/>
          </w:tcPr>
          <w:p w14:paraId="41BFDCEA"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Nolēmumi (kopā)</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88ADEB6"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nolēmumi civillietās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EE6EE"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instancē saņemto pārsūdzēto noprotestēto nolēmumu skaits civillietās*</w:t>
            </w:r>
          </w:p>
        </w:tc>
        <w:tc>
          <w:tcPr>
            <w:tcW w:w="992" w:type="dxa"/>
            <w:tcBorders>
              <w:top w:val="nil"/>
              <w:left w:val="single" w:sz="8" w:space="0" w:color="auto"/>
              <w:bottom w:val="nil"/>
              <w:right w:val="nil"/>
            </w:tcBorders>
            <w:shd w:val="clear" w:color="auto" w:fill="auto"/>
            <w:vAlign w:val="center"/>
            <w:hideMark/>
          </w:tcPr>
          <w:p w14:paraId="3F3DE0D9"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atstāts negrozīts</w:t>
            </w:r>
          </w:p>
        </w:tc>
        <w:tc>
          <w:tcPr>
            <w:tcW w:w="993" w:type="dxa"/>
            <w:tcBorders>
              <w:top w:val="nil"/>
              <w:left w:val="single" w:sz="4" w:space="0" w:color="auto"/>
              <w:bottom w:val="single" w:sz="4" w:space="0" w:color="auto"/>
              <w:right w:val="single" w:sz="4" w:space="0" w:color="auto"/>
            </w:tcBorders>
            <w:shd w:val="clear" w:color="000000" w:fill="FFFF00"/>
            <w:vAlign w:val="center"/>
            <w:hideMark/>
          </w:tcPr>
          <w:p w14:paraId="43E7BB01"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atcelts pilnīgi</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lieta nosūtīta jaunai izskatīšanai</w:t>
            </w:r>
          </w:p>
        </w:tc>
        <w:tc>
          <w:tcPr>
            <w:tcW w:w="850" w:type="dxa"/>
            <w:tcBorders>
              <w:top w:val="nil"/>
              <w:left w:val="nil"/>
              <w:bottom w:val="nil"/>
              <w:right w:val="single" w:sz="4" w:space="0" w:color="auto"/>
            </w:tcBorders>
            <w:shd w:val="clear" w:color="auto" w:fill="auto"/>
            <w:vAlign w:val="center"/>
            <w:hideMark/>
          </w:tcPr>
          <w:p w14:paraId="2BFDDB7F"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atstāt lēmumu negrozītu</w:t>
            </w:r>
          </w:p>
        </w:tc>
        <w:tc>
          <w:tcPr>
            <w:tcW w:w="1134" w:type="dxa"/>
            <w:tcBorders>
              <w:top w:val="nil"/>
              <w:left w:val="nil"/>
              <w:bottom w:val="nil"/>
              <w:right w:val="single" w:sz="4" w:space="0" w:color="auto"/>
            </w:tcBorders>
            <w:shd w:val="clear" w:color="000000" w:fill="FFFFFF"/>
            <w:vAlign w:val="center"/>
            <w:hideMark/>
          </w:tcPr>
          <w:p w14:paraId="44DA7193"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atcelts daļā</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jautājums nodots jaunai izskatīšanai </w:t>
            </w:r>
          </w:p>
        </w:tc>
        <w:tc>
          <w:tcPr>
            <w:tcW w:w="992" w:type="dxa"/>
            <w:tcBorders>
              <w:top w:val="nil"/>
              <w:left w:val="nil"/>
              <w:bottom w:val="nil"/>
              <w:right w:val="single" w:sz="4" w:space="0" w:color="auto"/>
            </w:tcBorders>
            <w:shd w:val="clear" w:color="000000" w:fill="FFFF00"/>
            <w:vAlign w:val="center"/>
            <w:hideMark/>
          </w:tcPr>
          <w:p w14:paraId="0B43F776"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atcelts pilnīgi</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jautājums nodots jaunai izskatīšanai </w:t>
            </w:r>
          </w:p>
        </w:tc>
        <w:tc>
          <w:tcPr>
            <w:tcW w:w="993" w:type="dxa"/>
            <w:tcBorders>
              <w:top w:val="nil"/>
              <w:left w:val="nil"/>
              <w:bottom w:val="single" w:sz="4" w:space="0" w:color="auto"/>
              <w:right w:val="single" w:sz="4" w:space="0" w:color="auto"/>
            </w:tcBorders>
            <w:shd w:val="clear" w:color="auto" w:fill="auto"/>
            <w:vAlign w:val="center"/>
            <w:hideMark/>
          </w:tcPr>
          <w:p w14:paraId="4979224A"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Atteikts ierosināt kasācijas tiesvedību</w:t>
            </w:r>
          </w:p>
        </w:tc>
        <w:tc>
          <w:tcPr>
            <w:tcW w:w="992" w:type="dxa"/>
            <w:tcBorders>
              <w:top w:val="nil"/>
              <w:left w:val="nil"/>
              <w:bottom w:val="single" w:sz="4" w:space="0" w:color="auto"/>
              <w:right w:val="single" w:sz="4" w:space="0" w:color="auto"/>
            </w:tcBorders>
            <w:shd w:val="clear" w:color="auto" w:fill="auto"/>
            <w:vAlign w:val="center"/>
            <w:hideMark/>
          </w:tcPr>
          <w:p w14:paraId="4725421B"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tiesvedība izbeigta</w:t>
            </w:r>
          </w:p>
        </w:tc>
      </w:tr>
      <w:tr w:rsidR="008A7DC2" w:rsidRPr="008A7DC2" w14:paraId="7D715EDF"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DAC3BB4"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2008.</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237B320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81</w:t>
            </w:r>
          </w:p>
        </w:tc>
        <w:tc>
          <w:tcPr>
            <w:tcW w:w="746" w:type="dxa"/>
            <w:tcBorders>
              <w:top w:val="nil"/>
              <w:left w:val="nil"/>
              <w:bottom w:val="single" w:sz="4" w:space="0" w:color="auto"/>
              <w:right w:val="single" w:sz="8" w:space="0" w:color="auto"/>
            </w:tcBorders>
            <w:shd w:val="clear" w:color="auto" w:fill="auto"/>
            <w:noWrap/>
            <w:vAlign w:val="bottom"/>
            <w:hideMark/>
          </w:tcPr>
          <w:p w14:paraId="483BBF0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71</w:t>
            </w:r>
          </w:p>
        </w:tc>
        <w:tc>
          <w:tcPr>
            <w:tcW w:w="709" w:type="dxa"/>
            <w:tcBorders>
              <w:top w:val="nil"/>
              <w:left w:val="nil"/>
              <w:bottom w:val="single" w:sz="4" w:space="0" w:color="auto"/>
              <w:right w:val="single" w:sz="4" w:space="0" w:color="auto"/>
            </w:tcBorders>
            <w:shd w:val="clear" w:color="auto" w:fill="auto"/>
            <w:noWrap/>
            <w:vAlign w:val="bottom"/>
            <w:hideMark/>
          </w:tcPr>
          <w:p w14:paraId="371CC3D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82</w:t>
            </w:r>
          </w:p>
        </w:tc>
        <w:tc>
          <w:tcPr>
            <w:tcW w:w="708" w:type="dxa"/>
            <w:tcBorders>
              <w:top w:val="nil"/>
              <w:left w:val="nil"/>
              <w:bottom w:val="single" w:sz="4" w:space="0" w:color="auto"/>
              <w:right w:val="single" w:sz="4" w:space="0" w:color="auto"/>
            </w:tcBorders>
            <w:shd w:val="clear" w:color="auto" w:fill="auto"/>
            <w:noWrap/>
            <w:vAlign w:val="bottom"/>
            <w:hideMark/>
          </w:tcPr>
          <w:p w14:paraId="6590F2F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w:t>
            </w:r>
          </w:p>
        </w:tc>
        <w:tc>
          <w:tcPr>
            <w:tcW w:w="852" w:type="dxa"/>
            <w:tcBorders>
              <w:top w:val="nil"/>
              <w:left w:val="nil"/>
              <w:bottom w:val="single" w:sz="4" w:space="0" w:color="auto"/>
              <w:right w:val="nil"/>
            </w:tcBorders>
            <w:shd w:val="clear" w:color="auto" w:fill="auto"/>
            <w:noWrap/>
            <w:vAlign w:val="bottom"/>
            <w:hideMark/>
          </w:tcPr>
          <w:p w14:paraId="04C5662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396</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23ED25D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206</w:t>
            </w:r>
          </w:p>
        </w:tc>
        <w:tc>
          <w:tcPr>
            <w:tcW w:w="709" w:type="dxa"/>
            <w:tcBorders>
              <w:top w:val="nil"/>
              <w:left w:val="nil"/>
              <w:bottom w:val="single" w:sz="4" w:space="0" w:color="auto"/>
              <w:right w:val="nil"/>
            </w:tcBorders>
            <w:shd w:val="clear" w:color="auto" w:fill="auto"/>
            <w:noWrap/>
            <w:vAlign w:val="bottom"/>
            <w:hideMark/>
          </w:tcPr>
          <w:p w14:paraId="5BD14EA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369</w:t>
            </w:r>
          </w:p>
        </w:tc>
        <w:tc>
          <w:tcPr>
            <w:tcW w:w="851" w:type="dxa"/>
            <w:tcBorders>
              <w:top w:val="nil"/>
              <w:left w:val="single" w:sz="8" w:space="0" w:color="auto"/>
              <w:bottom w:val="single" w:sz="4" w:space="0" w:color="auto"/>
              <w:right w:val="nil"/>
            </w:tcBorders>
            <w:shd w:val="clear" w:color="auto" w:fill="auto"/>
            <w:noWrap/>
            <w:vAlign w:val="bottom"/>
            <w:hideMark/>
          </w:tcPr>
          <w:p w14:paraId="07C2E9D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1502</w:t>
            </w:r>
          </w:p>
        </w:tc>
        <w:tc>
          <w:tcPr>
            <w:tcW w:w="992" w:type="dxa"/>
            <w:tcBorders>
              <w:top w:val="nil"/>
              <w:left w:val="single" w:sz="4" w:space="0" w:color="auto"/>
              <w:bottom w:val="single" w:sz="4" w:space="0" w:color="auto"/>
              <w:right w:val="nil"/>
            </w:tcBorders>
            <w:shd w:val="clear" w:color="auto" w:fill="auto"/>
            <w:noWrap/>
            <w:vAlign w:val="bottom"/>
            <w:hideMark/>
          </w:tcPr>
          <w:p w14:paraId="5B924F3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1065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16F52CC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6C45CB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46257A5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6D3861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CB1CE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5A21BFB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14:paraId="5BC5710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408D07C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5585D3C9"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1518694"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2009.</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2FA48F1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44</w:t>
            </w:r>
          </w:p>
        </w:tc>
        <w:tc>
          <w:tcPr>
            <w:tcW w:w="746" w:type="dxa"/>
            <w:tcBorders>
              <w:top w:val="nil"/>
              <w:left w:val="nil"/>
              <w:bottom w:val="single" w:sz="4" w:space="0" w:color="auto"/>
              <w:right w:val="single" w:sz="8" w:space="0" w:color="auto"/>
            </w:tcBorders>
            <w:shd w:val="clear" w:color="auto" w:fill="auto"/>
            <w:noWrap/>
            <w:vAlign w:val="bottom"/>
            <w:hideMark/>
          </w:tcPr>
          <w:p w14:paraId="57124F7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w:t>
            </w:r>
          </w:p>
        </w:tc>
        <w:tc>
          <w:tcPr>
            <w:tcW w:w="709" w:type="dxa"/>
            <w:tcBorders>
              <w:top w:val="nil"/>
              <w:left w:val="nil"/>
              <w:bottom w:val="single" w:sz="4" w:space="0" w:color="auto"/>
              <w:right w:val="single" w:sz="4" w:space="0" w:color="auto"/>
            </w:tcBorders>
            <w:shd w:val="clear" w:color="auto" w:fill="auto"/>
            <w:noWrap/>
            <w:vAlign w:val="bottom"/>
            <w:hideMark/>
          </w:tcPr>
          <w:p w14:paraId="747F024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w:t>
            </w:r>
          </w:p>
        </w:tc>
        <w:tc>
          <w:tcPr>
            <w:tcW w:w="708" w:type="dxa"/>
            <w:tcBorders>
              <w:top w:val="nil"/>
              <w:left w:val="nil"/>
              <w:bottom w:val="single" w:sz="4" w:space="0" w:color="auto"/>
              <w:right w:val="single" w:sz="4" w:space="0" w:color="auto"/>
            </w:tcBorders>
            <w:shd w:val="clear" w:color="auto" w:fill="auto"/>
            <w:noWrap/>
            <w:vAlign w:val="bottom"/>
            <w:hideMark/>
          </w:tcPr>
          <w:p w14:paraId="4787139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852" w:type="dxa"/>
            <w:tcBorders>
              <w:top w:val="nil"/>
              <w:left w:val="nil"/>
              <w:bottom w:val="single" w:sz="4" w:space="0" w:color="auto"/>
              <w:right w:val="nil"/>
            </w:tcBorders>
            <w:shd w:val="clear" w:color="auto" w:fill="auto"/>
            <w:noWrap/>
            <w:vAlign w:val="bottom"/>
            <w:hideMark/>
          </w:tcPr>
          <w:p w14:paraId="240771E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218</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4CA89F6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104</w:t>
            </w:r>
          </w:p>
        </w:tc>
        <w:tc>
          <w:tcPr>
            <w:tcW w:w="709" w:type="dxa"/>
            <w:tcBorders>
              <w:top w:val="nil"/>
              <w:left w:val="nil"/>
              <w:bottom w:val="single" w:sz="4" w:space="0" w:color="auto"/>
              <w:right w:val="nil"/>
            </w:tcBorders>
            <w:shd w:val="clear" w:color="auto" w:fill="auto"/>
            <w:noWrap/>
            <w:vAlign w:val="bottom"/>
            <w:hideMark/>
          </w:tcPr>
          <w:p w14:paraId="7BF8040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168</w:t>
            </w:r>
          </w:p>
        </w:tc>
        <w:tc>
          <w:tcPr>
            <w:tcW w:w="851" w:type="dxa"/>
            <w:tcBorders>
              <w:top w:val="nil"/>
              <w:left w:val="single" w:sz="8" w:space="0" w:color="auto"/>
              <w:bottom w:val="single" w:sz="4" w:space="0" w:color="auto"/>
              <w:right w:val="nil"/>
            </w:tcBorders>
            <w:shd w:val="clear" w:color="auto" w:fill="auto"/>
            <w:noWrap/>
            <w:vAlign w:val="bottom"/>
            <w:hideMark/>
          </w:tcPr>
          <w:p w14:paraId="74BEDFD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1430</w:t>
            </w:r>
          </w:p>
        </w:tc>
        <w:tc>
          <w:tcPr>
            <w:tcW w:w="992" w:type="dxa"/>
            <w:tcBorders>
              <w:top w:val="nil"/>
              <w:left w:val="single" w:sz="4" w:space="0" w:color="auto"/>
              <w:bottom w:val="single" w:sz="4" w:space="0" w:color="auto"/>
              <w:right w:val="nil"/>
            </w:tcBorders>
            <w:shd w:val="clear" w:color="auto" w:fill="auto"/>
            <w:noWrap/>
            <w:vAlign w:val="bottom"/>
            <w:hideMark/>
          </w:tcPr>
          <w:p w14:paraId="599F66B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1022</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533492A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14:paraId="22EB33D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3431704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14:paraId="67AD99E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9F616A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40CFAF1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93" w:type="dxa"/>
            <w:tcBorders>
              <w:top w:val="nil"/>
              <w:left w:val="nil"/>
              <w:bottom w:val="single" w:sz="4" w:space="0" w:color="auto"/>
              <w:right w:val="single" w:sz="4" w:space="0" w:color="auto"/>
            </w:tcBorders>
            <w:shd w:val="clear" w:color="auto" w:fill="auto"/>
            <w:noWrap/>
            <w:vAlign w:val="bottom"/>
            <w:hideMark/>
          </w:tcPr>
          <w:p w14:paraId="7A7C64C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1132662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6E26F071"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A1ABC43"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2010.</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3EB4FB9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82</w:t>
            </w:r>
          </w:p>
        </w:tc>
        <w:tc>
          <w:tcPr>
            <w:tcW w:w="746" w:type="dxa"/>
            <w:tcBorders>
              <w:top w:val="nil"/>
              <w:left w:val="nil"/>
              <w:bottom w:val="single" w:sz="4" w:space="0" w:color="auto"/>
              <w:right w:val="single" w:sz="8" w:space="0" w:color="auto"/>
            </w:tcBorders>
            <w:shd w:val="clear" w:color="auto" w:fill="auto"/>
            <w:noWrap/>
            <w:vAlign w:val="bottom"/>
            <w:hideMark/>
          </w:tcPr>
          <w:p w14:paraId="4024412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w:t>
            </w:r>
          </w:p>
        </w:tc>
        <w:tc>
          <w:tcPr>
            <w:tcW w:w="709" w:type="dxa"/>
            <w:tcBorders>
              <w:top w:val="nil"/>
              <w:left w:val="nil"/>
              <w:bottom w:val="single" w:sz="4" w:space="0" w:color="auto"/>
              <w:right w:val="single" w:sz="4" w:space="0" w:color="auto"/>
            </w:tcBorders>
            <w:shd w:val="clear" w:color="auto" w:fill="auto"/>
            <w:noWrap/>
            <w:vAlign w:val="bottom"/>
            <w:hideMark/>
          </w:tcPr>
          <w:p w14:paraId="49E4F7B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126</w:t>
            </w:r>
          </w:p>
        </w:tc>
        <w:tc>
          <w:tcPr>
            <w:tcW w:w="708" w:type="dxa"/>
            <w:tcBorders>
              <w:top w:val="nil"/>
              <w:left w:val="nil"/>
              <w:bottom w:val="single" w:sz="4" w:space="0" w:color="auto"/>
              <w:right w:val="single" w:sz="4" w:space="0" w:color="auto"/>
            </w:tcBorders>
            <w:shd w:val="clear" w:color="auto" w:fill="auto"/>
            <w:noWrap/>
            <w:vAlign w:val="bottom"/>
            <w:hideMark/>
          </w:tcPr>
          <w:p w14:paraId="70012E2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81</w:t>
            </w:r>
          </w:p>
        </w:tc>
        <w:tc>
          <w:tcPr>
            <w:tcW w:w="852" w:type="dxa"/>
            <w:tcBorders>
              <w:top w:val="nil"/>
              <w:left w:val="nil"/>
              <w:bottom w:val="single" w:sz="4" w:space="0" w:color="auto"/>
              <w:right w:val="nil"/>
            </w:tcBorders>
            <w:shd w:val="clear" w:color="auto" w:fill="auto"/>
            <w:noWrap/>
            <w:vAlign w:val="bottom"/>
            <w:hideMark/>
          </w:tcPr>
          <w:p w14:paraId="7854913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152</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5F53DF5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178</w:t>
            </w:r>
          </w:p>
        </w:tc>
        <w:tc>
          <w:tcPr>
            <w:tcW w:w="709" w:type="dxa"/>
            <w:tcBorders>
              <w:top w:val="nil"/>
              <w:left w:val="nil"/>
              <w:bottom w:val="single" w:sz="4" w:space="0" w:color="auto"/>
              <w:right w:val="nil"/>
            </w:tcBorders>
            <w:shd w:val="clear" w:color="auto" w:fill="auto"/>
            <w:noWrap/>
            <w:vAlign w:val="bottom"/>
            <w:hideMark/>
          </w:tcPr>
          <w:p w14:paraId="2FAC104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386</w:t>
            </w:r>
          </w:p>
        </w:tc>
        <w:tc>
          <w:tcPr>
            <w:tcW w:w="851" w:type="dxa"/>
            <w:tcBorders>
              <w:top w:val="nil"/>
              <w:left w:val="single" w:sz="8" w:space="0" w:color="auto"/>
              <w:bottom w:val="single" w:sz="4" w:space="0" w:color="auto"/>
              <w:right w:val="nil"/>
            </w:tcBorders>
            <w:shd w:val="clear" w:color="auto" w:fill="auto"/>
            <w:noWrap/>
            <w:vAlign w:val="bottom"/>
            <w:hideMark/>
          </w:tcPr>
          <w:p w14:paraId="76F86CE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1332</w:t>
            </w:r>
          </w:p>
        </w:tc>
        <w:tc>
          <w:tcPr>
            <w:tcW w:w="992" w:type="dxa"/>
            <w:tcBorders>
              <w:top w:val="nil"/>
              <w:left w:val="single" w:sz="4" w:space="0" w:color="auto"/>
              <w:bottom w:val="single" w:sz="4" w:space="0" w:color="auto"/>
              <w:right w:val="nil"/>
            </w:tcBorders>
            <w:shd w:val="clear" w:color="auto" w:fill="auto"/>
            <w:noWrap/>
            <w:vAlign w:val="bottom"/>
            <w:hideMark/>
          </w:tcPr>
          <w:p w14:paraId="3377755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895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08DE9D0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14:paraId="5F3B9F8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0D64443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14:paraId="5A9A4FC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14:paraId="6CF3053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421C083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14:paraId="4873FBE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249473B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61C5103F"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66E30028"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2011.</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2D89E7F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100</w:t>
            </w:r>
          </w:p>
        </w:tc>
        <w:tc>
          <w:tcPr>
            <w:tcW w:w="746" w:type="dxa"/>
            <w:tcBorders>
              <w:top w:val="nil"/>
              <w:left w:val="nil"/>
              <w:bottom w:val="single" w:sz="4" w:space="0" w:color="auto"/>
              <w:right w:val="single" w:sz="8" w:space="0" w:color="auto"/>
            </w:tcBorders>
            <w:shd w:val="clear" w:color="auto" w:fill="auto"/>
            <w:noWrap/>
            <w:vAlign w:val="bottom"/>
            <w:hideMark/>
          </w:tcPr>
          <w:p w14:paraId="1E946B4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65</w:t>
            </w:r>
          </w:p>
        </w:tc>
        <w:tc>
          <w:tcPr>
            <w:tcW w:w="709" w:type="dxa"/>
            <w:tcBorders>
              <w:top w:val="nil"/>
              <w:left w:val="nil"/>
              <w:bottom w:val="single" w:sz="4" w:space="0" w:color="auto"/>
              <w:right w:val="single" w:sz="4" w:space="0" w:color="auto"/>
            </w:tcBorders>
            <w:shd w:val="clear" w:color="auto" w:fill="auto"/>
            <w:noWrap/>
            <w:vAlign w:val="bottom"/>
            <w:hideMark/>
          </w:tcPr>
          <w:p w14:paraId="3EE49BB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130</w:t>
            </w:r>
          </w:p>
        </w:tc>
        <w:tc>
          <w:tcPr>
            <w:tcW w:w="708" w:type="dxa"/>
            <w:tcBorders>
              <w:top w:val="nil"/>
              <w:left w:val="nil"/>
              <w:bottom w:val="single" w:sz="4" w:space="0" w:color="auto"/>
              <w:right w:val="single" w:sz="4" w:space="0" w:color="auto"/>
            </w:tcBorders>
            <w:shd w:val="clear" w:color="auto" w:fill="auto"/>
            <w:noWrap/>
            <w:vAlign w:val="bottom"/>
            <w:hideMark/>
          </w:tcPr>
          <w:p w14:paraId="6336D7A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91</w:t>
            </w:r>
          </w:p>
        </w:tc>
        <w:tc>
          <w:tcPr>
            <w:tcW w:w="852" w:type="dxa"/>
            <w:tcBorders>
              <w:top w:val="nil"/>
              <w:left w:val="nil"/>
              <w:bottom w:val="single" w:sz="4" w:space="0" w:color="auto"/>
              <w:right w:val="nil"/>
            </w:tcBorders>
            <w:shd w:val="clear" w:color="auto" w:fill="auto"/>
            <w:noWrap/>
            <w:vAlign w:val="bottom"/>
            <w:hideMark/>
          </w:tcPr>
          <w:p w14:paraId="49FB2A0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111</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4387657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113</w:t>
            </w:r>
          </w:p>
        </w:tc>
        <w:tc>
          <w:tcPr>
            <w:tcW w:w="709" w:type="dxa"/>
            <w:tcBorders>
              <w:top w:val="nil"/>
              <w:left w:val="nil"/>
              <w:bottom w:val="single" w:sz="4" w:space="0" w:color="auto"/>
              <w:right w:val="nil"/>
            </w:tcBorders>
            <w:shd w:val="clear" w:color="auto" w:fill="auto"/>
            <w:noWrap/>
            <w:vAlign w:val="bottom"/>
            <w:hideMark/>
          </w:tcPr>
          <w:p w14:paraId="3C4D79A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343</w:t>
            </w:r>
          </w:p>
        </w:tc>
        <w:tc>
          <w:tcPr>
            <w:tcW w:w="851" w:type="dxa"/>
            <w:tcBorders>
              <w:top w:val="nil"/>
              <w:left w:val="single" w:sz="8" w:space="0" w:color="auto"/>
              <w:bottom w:val="single" w:sz="4" w:space="0" w:color="auto"/>
              <w:right w:val="nil"/>
            </w:tcBorders>
            <w:shd w:val="clear" w:color="auto" w:fill="auto"/>
            <w:noWrap/>
            <w:vAlign w:val="bottom"/>
            <w:hideMark/>
          </w:tcPr>
          <w:p w14:paraId="0340BE3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1235</w:t>
            </w:r>
          </w:p>
        </w:tc>
        <w:tc>
          <w:tcPr>
            <w:tcW w:w="992" w:type="dxa"/>
            <w:tcBorders>
              <w:top w:val="nil"/>
              <w:left w:val="single" w:sz="4" w:space="0" w:color="auto"/>
              <w:bottom w:val="single" w:sz="4" w:space="0" w:color="auto"/>
              <w:right w:val="nil"/>
            </w:tcBorders>
            <w:shd w:val="clear" w:color="auto" w:fill="auto"/>
            <w:noWrap/>
            <w:vAlign w:val="bottom"/>
            <w:hideMark/>
          </w:tcPr>
          <w:p w14:paraId="65CDB61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777</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1FD085F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14:paraId="1DAF9F1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7576C05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14:paraId="67BECAE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D7A404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7601C20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14:paraId="3C7CA01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14176D3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0C022EF0"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600D2F1B"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2012.</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74D5001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108</w:t>
            </w:r>
          </w:p>
        </w:tc>
        <w:tc>
          <w:tcPr>
            <w:tcW w:w="746" w:type="dxa"/>
            <w:tcBorders>
              <w:top w:val="nil"/>
              <w:left w:val="nil"/>
              <w:bottom w:val="single" w:sz="4" w:space="0" w:color="auto"/>
              <w:right w:val="single" w:sz="8" w:space="0" w:color="auto"/>
            </w:tcBorders>
            <w:shd w:val="clear" w:color="auto" w:fill="auto"/>
            <w:noWrap/>
            <w:vAlign w:val="bottom"/>
            <w:hideMark/>
          </w:tcPr>
          <w:p w14:paraId="2A705D2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80</w:t>
            </w:r>
          </w:p>
        </w:tc>
        <w:tc>
          <w:tcPr>
            <w:tcW w:w="709" w:type="dxa"/>
            <w:tcBorders>
              <w:top w:val="nil"/>
              <w:left w:val="nil"/>
              <w:bottom w:val="single" w:sz="4" w:space="0" w:color="auto"/>
              <w:right w:val="single" w:sz="4" w:space="0" w:color="auto"/>
            </w:tcBorders>
            <w:shd w:val="clear" w:color="auto" w:fill="auto"/>
            <w:noWrap/>
            <w:vAlign w:val="bottom"/>
            <w:hideMark/>
          </w:tcPr>
          <w:p w14:paraId="33B3487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132</w:t>
            </w:r>
          </w:p>
        </w:tc>
        <w:tc>
          <w:tcPr>
            <w:tcW w:w="708" w:type="dxa"/>
            <w:tcBorders>
              <w:top w:val="nil"/>
              <w:left w:val="nil"/>
              <w:bottom w:val="single" w:sz="4" w:space="0" w:color="auto"/>
              <w:right w:val="single" w:sz="4" w:space="0" w:color="auto"/>
            </w:tcBorders>
            <w:shd w:val="clear" w:color="auto" w:fill="auto"/>
            <w:noWrap/>
            <w:vAlign w:val="bottom"/>
            <w:hideMark/>
          </w:tcPr>
          <w:p w14:paraId="7FEFAAC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112</w:t>
            </w:r>
          </w:p>
        </w:tc>
        <w:tc>
          <w:tcPr>
            <w:tcW w:w="852" w:type="dxa"/>
            <w:tcBorders>
              <w:top w:val="nil"/>
              <w:left w:val="nil"/>
              <w:bottom w:val="single" w:sz="4" w:space="0" w:color="auto"/>
              <w:right w:val="nil"/>
            </w:tcBorders>
            <w:shd w:val="clear" w:color="auto" w:fill="auto"/>
            <w:noWrap/>
            <w:vAlign w:val="bottom"/>
            <w:hideMark/>
          </w:tcPr>
          <w:p w14:paraId="2877CBA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16CC3EB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54</w:t>
            </w:r>
          </w:p>
        </w:tc>
        <w:tc>
          <w:tcPr>
            <w:tcW w:w="709" w:type="dxa"/>
            <w:tcBorders>
              <w:top w:val="nil"/>
              <w:left w:val="nil"/>
              <w:bottom w:val="single" w:sz="4" w:space="0" w:color="auto"/>
              <w:right w:val="nil"/>
            </w:tcBorders>
            <w:shd w:val="clear" w:color="auto" w:fill="auto"/>
            <w:noWrap/>
            <w:vAlign w:val="bottom"/>
            <w:hideMark/>
          </w:tcPr>
          <w:p w14:paraId="348E36F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294</w:t>
            </w:r>
          </w:p>
        </w:tc>
        <w:tc>
          <w:tcPr>
            <w:tcW w:w="851" w:type="dxa"/>
            <w:tcBorders>
              <w:top w:val="nil"/>
              <w:left w:val="single" w:sz="8" w:space="0" w:color="auto"/>
              <w:bottom w:val="single" w:sz="4" w:space="0" w:color="auto"/>
              <w:right w:val="nil"/>
            </w:tcBorders>
            <w:shd w:val="clear" w:color="auto" w:fill="auto"/>
            <w:noWrap/>
            <w:vAlign w:val="bottom"/>
            <w:hideMark/>
          </w:tcPr>
          <w:p w14:paraId="4EE0593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938</w:t>
            </w:r>
          </w:p>
        </w:tc>
        <w:tc>
          <w:tcPr>
            <w:tcW w:w="992" w:type="dxa"/>
            <w:tcBorders>
              <w:top w:val="nil"/>
              <w:left w:val="single" w:sz="4" w:space="0" w:color="auto"/>
              <w:bottom w:val="single" w:sz="4" w:space="0" w:color="auto"/>
              <w:right w:val="nil"/>
            </w:tcBorders>
            <w:shd w:val="clear" w:color="auto" w:fill="auto"/>
            <w:noWrap/>
            <w:vAlign w:val="bottom"/>
            <w:hideMark/>
          </w:tcPr>
          <w:p w14:paraId="0FCB232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485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7F10E51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14:paraId="46316D3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7138748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14:paraId="1DDB682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14:paraId="0537D65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4A25D11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14:paraId="27D26BB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4E7C277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550128FA"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ACF5D97"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2013.</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104650B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84</w:t>
            </w:r>
          </w:p>
        </w:tc>
        <w:tc>
          <w:tcPr>
            <w:tcW w:w="746" w:type="dxa"/>
            <w:tcBorders>
              <w:top w:val="nil"/>
              <w:left w:val="nil"/>
              <w:bottom w:val="single" w:sz="4" w:space="0" w:color="auto"/>
              <w:right w:val="single" w:sz="8" w:space="0" w:color="auto"/>
            </w:tcBorders>
            <w:shd w:val="clear" w:color="auto" w:fill="auto"/>
            <w:noWrap/>
            <w:vAlign w:val="bottom"/>
            <w:hideMark/>
          </w:tcPr>
          <w:p w14:paraId="7493FED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w:t>
            </w:r>
          </w:p>
        </w:tc>
        <w:tc>
          <w:tcPr>
            <w:tcW w:w="709" w:type="dxa"/>
            <w:tcBorders>
              <w:top w:val="nil"/>
              <w:left w:val="nil"/>
              <w:bottom w:val="single" w:sz="4" w:space="0" w:color="auto"/>
              <w:right w:val="single" w:sz="4" w:space="0" w:color="auto"/>
            </w:tcBorders>
            <w:shd w:val="clear" w:color="auto" w:fill="auto"/>
            <w:noWrap/>
            <w:vAlign w:val="bottom"/>
            <w:hideMark/>
          </w:tcPr>
          <w:p w14:paraId="6CA4169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159</w:t>
            </w:r>
          </w:p>
        </w:tc>
        <w:tc>
          <w:tcPr>
            <w:tcW w:w="708" w:type="dxa"/>
            <w:tcBorders>
              <w:top w:val="nil"/>
              <w:left w:val="nil"/>
              <w:bottom w:val="single" w:sz="4" w:space="0" w:color="auto"/>
              <w:right w:val="single" w:sz="4" w:space="0" w:color="auto"/>
            </w:tcBorders>
            <w:shd w:val="clear" w:color="auto" w:fill="auto"/>
            <w:noWrap/>
            <w:vAlign w:val="bottom"/>
            <w:hideMark/>
          </w:tcPr>
          <w:p w14:paraId="6E04216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132</w:t>
            </w:r>
          </w:p>
        </w:tc>
        <w:tc>
          <w:tcPr>
            <w:tcW w:w="852" w:type="dxa"/>
            <w:tcBorders>
              <w:top w:val="nil"/>
              <w:left w:val="nil"/>
              <w:bottom w:val="single" w:sz="4" w:space="0" w:color="auto"/>
              <w:right w:val="nil"/>
            </w:tcBorders>
            <w:shd w:val="clear" w:color="auto" w:fill="auto"/>
            <w:noWrap/>
            <w:vAlign w:val="bottom"/>
            <w:hideMark/>
          </w:tcPr>
          <w:p w14:paraId="2F83732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60E61C5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31</w:t>
            </w:r>
          </w:p>
        </w:tc>
        <w:tc>
          <w:tcPr>
            <w:tcW w:w="709" w:type="dxa"/>
            <w:tcBorders>
              <w:top w:val="nil"/>
              <w:left w:val="nil"/>
              <w:bottom w:val="single" w:sz="4" w:space="0" w:color="auto"/>
              <w:right w:val="nil"/>
            </w:tcBorders>
            <w:shd w:val="clear" w:color="auto" w:fill="auto"/>
            <w:noWrap/>
            <w:vAlign w:val="bottom"/>
            <w:hideMark/>
          </w:tcPr>
          <w:p w14:paraId="76DA797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274</w:t>
            </w:r>
          </w:p>
        </w:tc>
        <w:tc>
          <w:tcPr>
            <w:tcW w:w="851" w:type="dxa"/>
            <w:tcBorders>
              <w:top w:val="nil"/>
              <w:left w:val="single" w:sz="8" w:space="0" w:color="auto"/>
              <w:bottom w:val="single" w:sz="4" w:space="0" w:color="auto"/>
              <w:right w:val="nil"/>
            </w:tcBorders>
            <w:shd w:val="clear" w:color="auto" w:fill="auto"/>
            <w:noWrap/>
            <w:vAlign w:val="bottom"/>
            <w:hideMark/>
          </w:tcPr>
          <w:p w14:paraId="3672C31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1056</w:t>
            </w:r>
          </w:p>
        </w:tc>
        <w:tc>
          <w:tcPr>
            <w:tcW w:w="992" w:type="dxa"/>
            <w:tcBorders>
              <w:top w:val="nil"/>
              <w:left w:val="single" w:sz="4" w:space="0" w:color="auto"/>
              <w:bottom w:val="single" w:sz="4" w:space="0" w:color="auto"/>
              <w:right w:val="nil"/>
            </w:tcBorders>
            <w:shd w:val="clear" w:color="auto" w:fill="auto"/>
            <w:noWrap/>
            <w:vAlign w:val="bottom"/>
            <w:hideMark/>
          </w:tcPr>
          <w:p w14:paraId="6BB322B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5248C79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14:paraId="4D1E9DC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2A981A5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14:paraId="28381C4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14:paraId="0BA2B0D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7B67973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14:paraId="502070F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079AB43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430BFFBB"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288DEE17"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2014.</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14:paraId="67F3B81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112</w:t>
            </w:r>
          </w:p>
        </w:tc>
        <w:tc>
          <w:tcPr>
            <w:tcW w:w="746" w:type="dxa"/>
            <w:tcBorders>
              <w:top w:val="nil"/>
              <w:left w:val="nil"/>
              <w:bottom w:val="single" w:sz="4" w:space="0" w:color="auto"/>
              <w:right w:val="single" w:sz="8" w:space="0" w:color="auto"/>
            </w:tcBorders>
            <w:shd w:val="clear" w:color="auto" w:fill="auto"/>
            <w:noWrap/>
            <w:vAlign w:val="bottom"/>
            <w:hideMark/>
          </w:tcPr>
          <w:p w14:paraId="0BE9BB4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80</w:t>
            </w:r>
          </w:p>
        </w:tc>
        <w:tc>
          <w:tcPr>
            <w:tcW w:w="709" w:type="dxa"/>
            <w:tcBorders>
              <w:top w:val="nil"/>
              <w:left w:val="nil"/>
              <w:bottom w:val="single" w:sz="4" w:space="0" w:color="auto"/>
              <w:right w:val="single" w:sz="4" w:space="0" w:color="auto"/>
            </w:tcBorders>
            <w:shd w:val="clear" w:color="auto" w:fill="auto"/>
            <w:noWrap/>
            <w:vAlign w:val="bottom"/>
            <w:hideMark/>
          </w:tcPr>
          <w:p w14:paraId="20C318E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131</w:t>
            </w:r>
          </w:p>
        </w:tc>
        <w:tc>
          <w:tcPr>
            <w:tcW w:w="708" w:type="dxa"/>
            <w:tcBorders>
              <w:top w:val="nil"/>
              <w:left w:val="nil"/>
              <w:bottom w:val="single" w:sz="4" w:space="0" w:color="auto"/>
              <w:right w:val="single" w:sz="4" w:space="0" w:color="auto"/>
            </w:tcBorders>
            <w:shd w:val="clear" w:color="auto" w:fill="auto"/>
            <w:noWrap/>
            <w:vAlign w:val="bottom"/>
            <w:hideMark/>
          </w:tcPr>
          <w:p w14:paraId="779ECB3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100</w:t>
            </w:r>
          </w:p>
        </w:tc>
        <w:tc>
          <w:tcPr>
            <w:tcW w:w="852" w:type="dxa"/>
            <w:tcBorders>
              <w:top w:val="nil"/>
              <w:left w:val="nil"/>
              <w:bottom w:val="single" w:sz="4" w:space="0" w:color="auto"/>
              <w:right w:val="nil"/>
            </w:tcBorders>
            <w:shd w:val="clear" w:color="auto" w:fill="auto"/>
            <w:noWrap/>
            <w:vAlign w:val="bottom"/>
            <w:hideMark/>
          </w:tcPr>
          <w:p w14:paraId="21E664B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1EB22CE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w:t>
            </w:r>
          </w:p>
        </w:tc>
        <w:tc>
          <w:tcPr>
            <w:tcW w:w="709" w:type="dxa"/>
            <w:tcBorders>
              <w:top w:val="nil"/>
              <w:left w:val="nil"/>
              <w:bottom w:val="single" w:sz="4" w:space="0" w:color="auto"/>
              <w:right w:val="nil"/>
            </w:tcBorders>
            <w:shd w:val="clear" w:color="auto" w:fill="auto"/>
            <w:noWrap/>
            <w:vAlign w:val="bottom"/>
            <w:hideMark/>
          </w:tcPr>
          <w:p w14:paraId="34724A4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281</w:t>
            </w:r>
          </w:p>
        </w:tc>
        <w:tc>
          <w:tcPr>
            <w:tcW w:w="851" w:type="dxa"/>
            <w:tcBorders>
              <w:top w:val="nil"/>
              <w:left w:val="single" w:sz="8" w:space="0" w:color="auto"/>
              <w:bottom w:val="single" w:sz="4" w:space="0" w:color="auto"/>
              <w:right w:val="nil"/>
            </w:tcBorders>
            <w:shd w:val="clear" w:color="auto" w:fill="auto"/>
            <w:noWrap/>
            <w:vAlign w:val="bottom"/>
            <w:hideMark/>
          </w:tcPr>
          <w:p w14:paraId="1F9858E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958</w:t>
            </w:r>
          </w:p>
        </w:tc>
        <w:tc>
          <w:tcPr>
            <w:tcW w:w="992" w:type="dxa"/>
            <w:tcBorders>
              <w:top w:val="nil"/>
              <w:left w:val="single" w:sz="4" w:space="0" w:color="auto"/>
              <w:bottom w:val="single" w:sz="4" w:space="0" w:color="auto"/>
              <w:right w:val="nil"/>
            </w:tcBorders>
            <w:shd w:val="clear" w:color="auto" w:fill="auto"/>
            <w:noWrap/>
            <w:vAlign w:val="bottom"/>
            <w:hideMark/>
          </w:tcPr>
          <w:p w14:paraId="3296E72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622F02E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14:paraId="408F778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5AE8D8B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bottom"/>
            <w:hideMark/>
          </w:tcPr>
          <w:p w14:paraId="31CFF06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14:paraId="1146712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5670389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14:paraId="2A38CF8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607D53F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497371E6"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E5E7536" w14:textId="77777777"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Kopā</w:t>
            </w:r>
          </w:p>
        </w:tc>
        <w:tc>
          <w:tcPr>
            <w:tcW w:w="846" w:type="dxa"/>
            <w:tcBorders>
              <w:top w:val="nil"/>
              <w:left w:val="single" w:sz="8" w:space="0" w:color="auto"/>
              <w:bottom w:val="single" w:sz="4" w:space="0" w:color="auto"/>
              <w:right w:val="nil"/>
            </w:tcBorders>
            <w:shd w:val="clear" w:color="auto" w:fill="auto"/>
            <w:noWrap/>
            <w:vAlign w:val="bottom"/>
            <w:hideMark/>
          </w:tcPr>
          <w:p w14:paraId="48C36F02"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611</w:t>
            </w:r>
          </w:p>
        </w:tc>
        <w:tc>
          <w:tcPr>
            <w:tcW w:w="746" w:type="dxa"/>
            <w:tcBorders>
              <w:top w:val="nil"/>
              <w:left w:val="single" w:sz="4" w:space="0" w:color="auto"/>
              <w:bottom w:val="single" w:sz="4" w:space="0" w:color="auto"/>
              <w:right w:val="single" w:sz="8" w:space="0" w:color="auto"/>
            </w:tcBorders>
            <w:shd w:val="clear" w:color="auto" w:fill="auto"/>
            <w:noWrap/>
            <w:vAlign w:val="bottom"/>
            <w:hideMark/>
          </w:tcPr>
          <w:p w14:paraId="0C868A21"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447</w:t>
            </w:r>
          </w:p>
        </w:tc>
        <w:tc>
          <w:tcPr>
            <w:tcW w:w="709" w:type="dxa"/>
            <w:tcBorders>
              <w:top w:val="single" w:sz="4" w:space="0" w:color="auto"/>
              <w:left w:val="nil"/>
              <w:bottom w:val="single" w:sz="4" w:space="0" w:color="auto"/>
              <w:right w:val="nil"/>
            </w:tcBorders>
            <w:shd w:val="clear" w:color="auto" w:fill="auto"/>
            <w:noWrap/>
            <w:vAlign w:val="bottom"/>
            <w:hideMark/>
          </w:tcPr>
          <w:p w14:paraId="206DC4C5"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780</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E22768F"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557</w:t>
            </w:r>
          </w:p>
        </w:tc>
        <w:tc>
          <w:tcPr>
            <w:tcW w:w="852" w:type="dxa"/>
            <w:tcBorders>
              <w:top w:val="single" w:sz="4" w:space="0" w:color="auto"/>
              <w:left w:val="nil"/>
              <w:bottom w:val="single" w:sz="4" w:space="0" w:color="auto"/>
              <w:right w:val="nil"/>
            </w:tcBorders>
            <w:shd w:val="clear" w:color="auto" w:fill="auto"/>
            <w:noWrap/>
            <w:vAlign w:val="bottom"/>
            <w:hideMark/>
          </w:tcPr>
          <w:p w14:paraId="7B2B203E"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918</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4080D1A0"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724</w:t>
            </w:r>
          </w:p>
        </w:tc>
        <w:tc>
          <w:tcPr>
            <w:tcW w:w="709" w:type="dxa"/>
            <w:tcBorders>
              <w:top w:val="single" w:sz="4" w:space="0" w:color="auto"/>
              <w:left w:val="nil"/>
              <w:bottom w:val="single" w:sz="4" w:space="0" w:color="auto"/>
              <w:right w:val="single" w:sz="8" w:space="0" w:color="auto"/>
            </w:tcBorders>
            <w:shd w:val="clear" w:color="auto" w:fill="auto"/>
            <w:noWrap/>
            <w:vAlign w:val="bottom"/>
            <w:hideMark/>
          </w:tcPr>
          <w:p w14:paraId="28F6BE91"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2115</w:t>
            </w:r>
          </w:p>
        </w:tc>
        <w:tc>
          <w:tcPr>
            <w:tcW w:w="851" w:type="dxa"/>
            <w:tcBorders>
              <w:top w:val="nil"/>
              <w:left w:val="nil"/>
              <w:bottom w:val="single" w:sz="4" w:space="0" w:color="auto"/>
              <w:right w:val="single" w:sz="4" w:space="0" w:color="auto"/>
            </w:tcBorders>
            <w:shd w:val="clear" w:color="auto" w:fill="auto"/>
            <w:noWrap/>
            <w:vAlign w:val="bottom"/>
            <w:hideMark/>
          </w:tcPr>
          <w:p w14:paraId="1CF9998B"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8451</w:t>
            </w:r>
          </w:p>
        </w:tc>
        <w:tc>
          <w:tcPr>
            <w:tcW w:w="992" w:type="dxa"/>
            <w:tcBorders>
              <w:top w:val="single" w:sz="4" w:space="0" w:color="auto"/>
              <w:left w:val="nil"/>
              <w:bottom w:val="single" w:sz="4" w:space="0" w:color="auto"/>
              <w:right w:val="nil"/>
            </w:tcBorders>
            <w:shd w:val="clear" w:color="auto" w:fill="auto"/>
            <w:noWrap/>
            <w:vAlign w:val="bottom"/>
            <w:hideMark/>
          </w:tcPr>
          <w:p w14:paraId="2E842D4F"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5386</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1FCAF1F0"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19</w:t>
            </w:r>
          </w:p>
        </w:tc>
        <w:tc>
          <w:tcPr>
            <w:tcW w:w="992" w:type="dxa"/>
            <w:tcBorders>
              <w:top w:val="nil"/>
              <w:left w:val="nil"/>
              <w:bottom w:val="single" w:sz="4" w:space="0" w:color="auto"/>
              <w:right w:val="single" w:sz="4" w:space="0" w:color="auto"/>
            </w:tcBorders>
            <w:shd w:val="clear" w:color="auto" w:fill="auto"/>
            <w:noWrap/>
            <w:vAlign w:val="bottom"/>
            <w:hideMark/>
          </w:tcPr>
          <w:p w14:paraId="47B04D8B"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14:paraId="519BA0AA" w14:textId="77777777"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14:paraId="5A6F8B6C"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bottom"/>
            <w:hideMark/>
          </w:tcPr>
          <w:p w14:paraId="04449D22"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14:paraId="574CCE3C" w14:textId="77777777"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11</w:t>
            </w:r>
          </w:p>
        </w:tc>
        <w:tc>
          <w:tcPr>
            <w:tcW w:w="993" w:type="dxa"/>
            <w:tcBorders>
              <w:top w:val="nil"/>
              <w:left w:val="nil"/>
              <w:bottom w:val="single" w:sz="4" w:space="0" w:color="auto"/>
              <w:right w:val="single" w:sz="4" w:space="0" w:color="auto"/>
            </w:tcBorders>
            <w:shd w:val="clear" w:color="auto" w:fill="auto"/>
            <w:noWrap/>
            <w:vAlign w:val="bottom"/>
            <w:hideMark/>
          </w:tcPr>
          <w:p w14:paraId="3890A612"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14:paraId="203FC4F3"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r>
      <w:tr w:rsidR="008A7DC2" w:rsidRPr="008A7DC2" w14:paraId="34EA8291" w14:textId="77777777" w:rsidTr="008A7DC2">
        <w:trPr>
          <w:trHeight w:val="300"/>
        </w:trPr>
        <w:tc>
          <w:tcPr>
            <w:tcW w:w="3261" w:type="dxa"/>
            <w:gridSpan w:val="4"/>
            <w:tcBorders>
              <w:top w:val="nil"/>
              <w:left w:val="single" w:sz="4" w:space="0" w:color="auto"/>
              <w:bottom w:val="nil"/>
              <w:right w:val="nil"/>
            </w:tcBorders>
            <w:shd w:val="clear" w:color="auto" w:fill="auto"/>
            <w:noWrap/>
            <w:vAlign w:val="bottom"/>
            <w:hideMark/>
          </w:tcPr>
          <w:p w14:paraId="6CE5534D" w14:textId="77777777"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 - visu paveidu nolēmumi kopā</w:t>
            </w:r>
          </w:p>
        </w:tc>
        <w:tc>
          <w:tcPr>
            <w:tcW w:w="708" w:type="dxa"/>
            <w:tcBorders>
              <w:top w:val="nil"/>
              <w:left w:val="nil"/>
              <w:bottom w:val="nil"/>
              <w:right w:val="nil"/>
            </w:tcBorders>
            <w:shd w:val="clear" w:color="auto" w:fill="auto"/>
            <w:noWrap/>
            <w:vAlign w:val="bottom"/>
            <w:hideMark/>
          </w:tcPr>
          <w:p w14:paraId="34B9AD81" w14:textId="77777777" w:rsidR="008A7DC2" w:rsidRPr="008A7DC2" w:rsidRDefault="008A7DC2" w:rsidP="008A7DC2">
            <w:pPr>
              <w:widowControl/>
              <w:adjustRightInd/>
              <w:jc w:val="left"/>
              <w:textAlignment w:val="auto"/>
              <w:rPr>
                <w:rFonts w:ascii="Calibri" w:hAnsi="Calibri" w:cs="Calibri"/>
                <w:i/>
                <w:iCs/>
                <w:color w:val="000000"/>
                <w:sz w:val="16"/>
                <w:szCs w:val="16"/>
              </w:rPr>
            </w:pPr>
          </w:p>
        </w:tc>
        <w:tc>
          <w:tcPr>
            <w:tcW w:w="852" w:type="dxa"/>
            <w:tcBorders>
              <w:top w:val="nil"/>
              <w:left w:val="nil"/>
              <w:bottom w:val="nil"/>
              <w:right w:val="nil"/>
            </w:tcBorders>
            <w:shd w:val="clear" w:color="auto" w:fill="auto"/>
            <w:noWrap/>
            <w:vAlign w:val="bottom"/>
            <w:hideMark/>
          </w:tcPr>
          <w:p w14:paraId="52420381" w14:textId="77777777" w:rsidR="008A7DC2" w:rsidRPr="008A7DC2" w:rsidRDefault="008A7DC2" w:rsidP="008A7DC2">
            <w:pPr>
              <w:widowControl/>
              <w:adjustRightInd/>
              <w:jc w:val="left"/>
              <w:textAlignment w:val="auto"/>
            </w:pPr>
          </w:p>
        </w:tc>
        <w:tc>
          <w:tcPr>
            <w:tcW w:w="708" w:type="dxa"/>
            <w:tcBorders>
              <w:top w:val="nil"/>
              <w:left w:val="nil"/>
              <w:bottom w:val="nil"/>
              <w:right w:val="nil"/>
            </w:tcBorders>
            <w:shd w:val="clear" w:color="auto" w:fill="auto"/>
            <w:noWrap/>
            <w:vAlign w:val="bottom"/>
            <w:hideMark/>
          </w:tcPr>
          <w:p w14:paraId="498D5D4E" w14:textId="77777777" w:rsidR="008A7DC2" w:rsidRPr="008A7DC2" w:rsidRDefault="008A7DC2" w:rsidP="008A7DC2">
            <w:pPr>
              <w:widowControl/>
              <w:adjustRightInd/>
              <w:jc w:val="left"/>
              <w:textAlignment w:val="auto"/>
            </w:pPr>
          </w:p>
        </w:tc>
        <w:tc>
          <w:tcPr>
            <w:tcW w:w="709" w:type="dxa"/>
            <w:tcBorders>
              <w:top w:val="nil"/>
              <w:left w:val="nil"/>
              <w:bottom w:val="nil"/>
              <w:right w:val="nil"/>
            </w:tcBorders>
            <w:shd w:val="clear" w:color="auto" w:fill="auto"/>
            <w:noWrap/>
            <w:vAlign w:val="bottom"/>
            <w:hideMark/>
          </w:tcPr>
          <w:p w14:paraId="4F415353" w14:textId="77777777" w:rsidR="008A7DC2" w:rsidRPr="008A7DC2" w:rsidRDefault="008A7DC2" w:rsidP="008A7DC2">
            <w:pPr>
              <w:widowControl/>
              <w:adjustRightInd/>
              <w:jc w:val="left"/>
              <w:textAlignment w:val="auto"/>
            </w:pPr>
          </w:p>
        </w:tc>
        <w:tc>
          <w:tcPr>
            <w:tcW w:w="851" w:type="dxa"/>
            <w:tcBorders>
              <w:top w:val="nil"/>
              <w:left w:val="nil"/>
              <w:bottom w:val="nil"/>
              <w:right w:val="nil"/>
            </w:tcBorders>
            <w:shd w:val="clear" w:color="auto" w:fill="auto"/>
            <w:noWrap/>
            <w:vAlign w:val="bottom"/>
            <w:hideMark/>
          </w:tcPr>
          <w:p w14:paraId="182676C3" w14:textId="77777777"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14:paraId="16A6E7FD" w14:textId="77777777"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14:paraId="1C1EA3E3" w14:textId="77777777"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14:paraId="5E82002C" w14:textId="77777777" w:rsidR="008A7DC2" w:rsidRPr="008A7DC2" w:rsidRDefault="008A7DC2" w:rsidP="008A7DC2">
            <w:pPr>
              <w:widowControl/>
              <w:adjustRightInd/>
              <w:jc w:val="left"/>
              <w:textAlignment w:val="auto"/>
            </w:pPr>
          </w:p>
        </w:tc>
        <w:tc>
          <w:tcPr>
            <w:tcW w:w="993" w:type="dxa"/>
            <w:tcBorders>
              <w:top w:val="nil"/>
              <w:left w:val="nil"/>
              <w:bottom w:val="nil"/>
              <w:right w:val="nil"/>
            </w:tcBorders>
            <w:shd w:val="clear" w:color="auto" w:fill="auto"/>
            <w:noWrap/>
            <w:vAlign w:val="bottom"/>
            <w:hideMark/>
          </w:tcPr>
          <w:p w14:paraId="3C4D877A" w14:textId="77777777" w:rsidR="008A7DC2" w:rsidRPr="008A7DC2" w:rsidRDefault="008A7DC2" w:rsidP="008A7DC2">
            <w:pPr>
              <w:widowControl/>
              <w:adjustRightInd/>
              <w:jc w:val="left"/>
              <w:textAlignment w:val="auto"/>
            </w:pPr>
          </w:p>
        </w:tc>
        <w:tc>
          <w:tcPr>
            <w:tcW w:w="850" w:type="dxa"/>
            <w:tcBorders>
              <w:top w:val="nil"/>
              <w:left w:val="nil"/>
              <w:bottom w:val="nil"/>
              <w:right w:val="nil"/>
            </w:tcBorders>
            <w:shd w:val="clear" w:color="auto" w:fill="auto"/>
            <w:noWrap/>
            <w:vAlign w:val="bottom"/>
            <w:hideMark/>
          </w:tcPr>
          <w:p w14:paraId="055337F4" w14:textId="77777777" w:rsidR="008A7DC2" w:rsidRPr="008A7DC2" w:rsidRDefault="008A7DC2" w:rsidP="008A7DC2">
            <w:pPr>
              <w:widowControl/>
              <w:adjustRightInd/>
              <w:jc w:val="left"/>
              <w:textAlignment w:val="auto"/>
            </w:pPr>
          </w:p>
        </w:tc>
        <w:tc>
          <w:tcPr>
            <w:tcW w:w="1134" w:type="dxa"/>
            <w:tcBorders>
              <w:top w:val="nil"/>
              <w:left w:val="nil"/>
              <w:bottom w:val="nil"/>
              <w:right w:val="nil"/>
            </w:tcBorders>
            <w:shd w:val="clear" w:color="auto" w:fill="auto"/>
            <w:noWrap/>
            <w:vAlign w:val="bottom"/>
            <w:hideMark/>
          </w:tcPr>
          <w:p w14:paraId="64963CF1" w14:textId="77777777"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14:paraId="72ACD751" w14:textId="77777777" w:rsidR="008A7DC2" w:rsidRPr="008A7DC2" w:rsidRDefault="008A7DC2" w:rsidP="008A7DC2">
            <w:pPr>
              <w:widowControl/>
              <w:adjustRightInd/>
              <w:jc w:val="left"/>
              <w:textAlignment w:val="auto"/>
            </w:pPr>
          </w:p>
        </w:tc>
        <w:tc>
          <w:tcPr>
            <w:tcW w:w="993" w:type="dxa"/>
            <w:tcBorders>
              <w:top w:val="nil"/>
              <w:left w:val="nil"/>
              <w:bottom w:val="nil"/>
              <w:right w:val="nil"/>
            </w:tcBorders>
            <w:shd w:val="clear" w:color="auto" w:fill="auto"/>
            <w:noWrap/>
            <w:vAlign w:val="bottom"/>
            <w:hideMark/>
          </w:tcPr>
          <w:p w14:paraId="6BCD4299" w14:textId="77777777"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14:paraId="3C80D14E" w14:textId="77777777" w:rsidR="008A7DC2" w:rsidRPr="008A7DC2" w:rsidRDefault="008A7DC2" w:rsidP="008A7DC2">
            <w:pPr>
              <w:widowControl/>
              <w:adjustRightInd/>
              <w:jc w:val="left"/>
              <w:textAlignment w:val="auto"/>
            </w:pPr>
          </w:p>
        </w:tc>
      </w:tr>
    </w:tbl>
    <w:p w14:paraId="1288A8D1" w14:textId="77777777" w:rsidR="004F5934" w:rsidRDefault="004F5934">
      <w:pPr>
        <w:widowControl/>
        <w:adjustRightInd/>
        <w:spacing w:after="160" w:line="259" w:lineRule="auto"/>
        <w:jc w:val="left"/>
        <w:textAlignment w:val="auto"/>
        <w:rPr>
          <w:sz w:val="24"/>
          <w:szCs w:val="24"/>
        </w:rPr>
      </w:pPr>
      <w:r>
        <w:rPr>
          <w:sz w:val="24"/>
          <w:szCs w:val="24"/>
        </w:rPr>
        <w:br w:type="page"/>
      </w:r>
    </w:p>
    <w:p w14:paraId="495D7FA0" w14:textId="10186288" w:rsidR="004546C7" w:rsidRPr="00327DAE" w:rsidRDefault="004546C7" w:rsidP="0025317F">
      <w:pPr>
        <w:spacing w:after="120"/>
        <w:ind w:firstLine="720"/>
        <w:rPr>
          <w:sz w:val="24"/>
          <w:szCs w:val="24"/>
        </w:rPr>
      </w:pPr>
      <w:r w:rsidRPr="00327DAE">
        <w:rPr>
          <w:sz w:val="24"/>
          <w:szCs w:val="24"/>
        </w:rPr>
        <w:lastRenderedPageBreak/>
        <w:t xml:space="preserve">Tiesnese </w:t>
      </w:r>
      <w:r w:rsidR="00A77BA8">
        <w:rPr>
          <w:sz w:val="24"/>
          <w:szCs w:val="24"/>
        </w:rPr>
        <w:t>V. </w:t>
      </w:r>
      <w:proofErr w:type="spellStart"/>
      <w:r w:rsidRPr="00327DAE">
        <w:rPr>
          <w:sz w:val="24"/>
          <w:szCs w:val="24"/>
        </w:rPr>
        <w:t>Grebežniece</w:t>
      </w:r>
      <w:proofErr w:type="spellEnd"/>
    </w:p>
    <w:tbl>
      <w:tblPr>
        <w:tblW w:w="15466" w:type="dxa"/>
        <w:tblInd w:w="-1110" w:type="dxa"/>
        <w:tblLook w:val="04A0" w:firstRow="1" w:lastRow="0" w:firstColumn="1" w:lastColumn="0" w:noHBand="0" w:noVBand="1"/>
      </w:tblPr>
      <w:tblGrid>
        <w:gridCol w:w="960"/>
        <w:gridCol w:w="960"/>
        <w:gridCol w:w="960"/>
        <w:gridCol w:w="960"/>
        <w:gridCol w:w="960"/>
        <w:gridCol w:w="960"/>
        <w:gridCol w:w="960"/>
        <w:gridCol w:w="960"/>
        <w:gridCol w:w="960"/>
        <w:gridCol w:w="1060"/>
        <w:gridCol w:w="960"/>
        <w:gridCol w:w="963"/>
        <w:gridCol w:w="960"/>
        <w:gridCol w:w="963"/>
        <w:gridCol w:w="960"/>
        <w:gridCol w:w="960"/>
      </w:tblGrid>
      <w:tr w:rsidR="004546C7" w:rsidRPr="00327DAE" w14:paraId="5A10B0E0" w14:textId="77777777" w:rsidTr="000A09B4">
        <w:trPr>
          <w:trHeight w:val="300"/>
        </w:trPr>
        <w:tc>
          <w:tcPr>
            <w:tcW w:w="960" w:type="dxa"/>
            <w:tcBorders>
              <w:top w:val="nil"/>
              <w:left w:val="nil"/>
              <w:bottom w:val="nil"/>
              <w:right w:val="nil"/>
            </w:tcBorders>
            <w:shd w:val="clear" w:color="auto" w:fill="auto"/>
            <w:noWrap/>
            <w:vAlign w:val="bottom"/>
            <w:hideMark/>
          </w:tcPr>
          <w:p w14:paraId="22F60594" w14:textId="77777777" w:rsidR="004546C7" w:rsidRPr="00327DAE" w:rsidRDefault="004546C7" w:rsidP="0025317F">
            <w:pPr>
              <w:spacing w:after="120"/>
              <w:rPr>
                <w:sz w:val="24"/>
                <w:szCs w:val="24"/>
              </w:rPr>
            </w:pPr>
          </w:p>
        </w:tc>
        <w:tc>
          <w:tcPr>
            <w:tcW w:w="4800" w:type="dxa"/>
            <w:gridSpan w:val="5"/>
            <w:tcBorders>
              <w:top w:val="nil"/>
              <w:left w:val="nil"/>
              <w:bottom w:val="nil"/>
              <w:right w:val="nil"/>
            </w:tcBorders>
            <w:shd w:val="clear" w:color="auto" w:fill="auto"/>
            <w:noWrap/>
            <w:vAlign w:val="bottom"/>
            <w:hideMark/>
          </w:tcPr>
          <w:p w14:paraId="5340BA2F" w14:textId="77777777" w:rsidR="004546C7" w:rsidRPr="00327DAE" w:rsidRDefault="004546C7" w:rsidP="0025317F">
            <w:pPr>
              <w:spacing w:after="120"/>
              <w:rPr>
                <w:sz w:val="24"/>
                <w:szCs w:val="24"/>
              </w:rPr>
            </w:pPr>
          </w:p>
        </w:tc>
        <w:tc>
          <w:tcPr>
            <w:tcW w:w="960" w:type="dxa"/>
            <w:tcBorders>
              <w:top w:val="nil"/>
              <w:left w:val="nil"/>
              <w:bottom w:val="nil"/>
              <w:right w:val="nil"/>
            </w:tcBorders>
            <w:shd w:val="clear" w:color="auto" w:fill="auto"/>
            <w:noWrap/>
            <w:vAlign w:val="bottom"/>
            <w:hideMark/>
          </w:tcPr>
          <w:p w14:paraId="7533787C" w14:textId="77777777" w:rsidR="004546C7" w:rsidRPr="00327DAE" w:rsidRDefault="004546C7" w:rsidP="0025317F">
            <w:pPr>
              <w:spacing w:after="120"/>
              <w:jc w:val="center"/>
              <w:rPr>
                <w:sz w:val="24"/>
                <w:szCs w:val="24"/>
              </w:rPr>
            </w:pPr>
          </w:p>
        </w:tc>
        <w:tc>
          <w:tcPr>
            <w:tcW w:w="960" w:type="dxa"/>
            <w:tcBorders>
              <w:top w:val="nil"/>
              <w:left w:val="nil"/>
              <w:bottom w:val="nil"/>
              <w:right w:val="nil"/>
            </w:tcBorders>
            <w:shd w:val="clear" w:color="auto" w:fill="auto"/>
            <w:noWrap/>
            <w:vAlign w:val="bottom"/>
            <w:hideMark/>
          </w:tcPr>
          <w:p w14:paraId="52A21DF7" w14:textId="77777777" w:rsidR="004546C7" w:rsidRPr="00327DAE" w:rsidRDefault="004546C7" w:rsidP="0025317F">
            <w:pPr>
              <w:spacing w:after="120"/>
              <w:jc w:val="center"/>
              <w:rPr>
                <w:sz w:val="24"/>
                <w:szCs w:val="24"/>
              </w:rPr>
            </w:pPr>
          </w:p>
        </w:tc>
        <w:tc>
          <w:tcPr>
            <w:tcW w:w="960" w:type="dxa"/>
            <w:tcBorders>
              <w:top w:val="nil"/>
              <w:left w:val="nil"/>
              <w:bottom w:val="nil"/>
              <w:right w:val="nil"/>
            </w:tcBorders>
            <w:shd w:val="clear" w:color="auto" w:fill="auto"/>
            <w:noWrap/>
            <w:vAlign w:val="bottom"/>
            <w:hideMark/>
          </w:tcPr>
          <w:p w14:paraId="30645C61" w14:textId="77777777" w:rsidR="004546C7" w:rsidRPr="00327DAE" w:rsidRDefault="004546C7" w:rsidP="0025317F">
            <w:pPr>
              <w:spacing w:after="120"/>
              <w:rPr>
                <w:sz w:val="24"/>
                <w:szCs w:val="24"/>
              </w:rPr>
            </w:pPr>
          </w:p>
        </w:tc>
        <w:tc>
          <w:tcPr>
            <w:tcW w:w="1060" w:type="dxa"/>
            <w:tcBorders>
              <w:top w:val="nil"/>
              <w:left w:val="nil"/>
              <w:bottom w:val="nil"/>
              <w:right w:val="nil"/>
            </w:tcBorders>
            <w:shd w:val="clear" w:color="auto" w:fill="auto"/>
            <w:noWrap/>
            <w:vAlign w:val="bottom"/>
            <w:hideMark/>
          </w:tcPr>
          <w:p w14:paraId="1538D24D" w14:textId="77777777" w:rsidR="004546C7" w:rsidRPr="00327DAE" w:rsidRDefault="004546C7" w:rsidP="0025317F">
            <w:pPr>
              <w:spacing w:after="120"/>
              <w:rPr>
                <w:sz w:val="24"/>
                <w:szCs w:val="24"/>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E89E60" w14:textId="77777777" w:rsidR="004546C7" w:rsidRPr="00327DAE" w:rsidRDefault="004546C7" w:rsidP="0025317F">
            <w:pPr>
              <w:spacing w:after="120"/>
              <w:jc w:val="center"/>
              <w:rPr>
                <w:color w:val="000000"/>
                <w:sz w:val="24"/>
                <w:szCs w:val="24"/>
              </w:rPr>
            </w:pPr>
            <w:r w:rsidRPr="00327DAE">
              <w:rPr>
                <w:color w:val="000000"/>
                <w:sz w:val="24"/>
                <w:szCs w:val="24"/>
              </w:rPr>
              <w:t>Nolēmumu izskatīšanas rezultāti kasācijas instancē civillietās</w:t>
            </w:r>
          </w:p>
        </w:tc>
      </w:tr>
      <w:tr w:rsidR="004546C7" w:rsidRPr="00327DAE" w14:paraId="46A8194F" w14:textId="77777777" w:rsidTr="000A09B4">
        <w:trPr>
          <w:trHeight w:val="15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5FB6" w14:textId="77777777"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8A96E5" w14:textId="77777777"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CB977F" w14:textId="77777777"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7FC7D8" w14:textId="77777777"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14:paraId="792261BD" w14:textId="77777777"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0C794F" w14:textId="77777777"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7496AA08" w14:textId="77777777"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5E90B" w14:textId="77777777"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4CA39D1" w14:textId="77777777"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D18D333" w14:textId="77777777"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w:t>
            </w:r>
          </w:p>
        </w:tc>
        <w:tc>
          <w:tcPr>
            <w:tcW w:w="960" w:type="dxa"/>
            <w:tcBorders>
              <w:top w:val="nil"/>
              <w:left w:val="single" w:sz="8" w:space="0" w:color="auto"/>
              <w:bottom w:val="nil"/>
              <w:right w:val="nil"/>
            </w:tcBorders>
            <w:shd w:val="clear" w:color="auto" w:fill="auto"/>
            <w:vAlign w:val="center"/>
            <w:hideMark/>
          </w:tcPr>
          <w:p w14:paraId="3C6B4849" w14:textId="77777777"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14:paraId="7AC0DCA0" w14:textId="77777777" w:rsidR="004546C7" w:rsidRPr="000A09B4" w:rsidRDefault="004546C7" w:rsidP="0025317F">
            <w:pPr>
              <w:spacing w:after="120"/>
              <w:rPr>
                <w:color w:val="000000"/>
                <w:sz w:val="16"/>
                <w:szCs w:val="16"/>
              </w:rPr>
            </w:pPr>
            <w:r w:rsidRPr="000A09B4">
              <w:rPr>
                <w:color w:val="000000"/>
                <w:sz w:val="16"/>
                <w:szCs w:val="16"/>
              </w:rPr>
              <w:t>Spriedums atcelts pilnīgi</w:t>
            </w:r>
            <w:proofErr w:type="gramStart"/>
            <w:r w:rsidRPr="000A09B4">
              <w:rPr>
                <w:color w:val="000000"/>
                <w:sz w:val="16"/>
                <w:szCs w:val="16"/>
              </w:rPr>
              <w:t xml:space="preserve"> un</w:t>
            </w:r>
            <w:proofErr w:type="gramEnd"/>
            <w:r w:rsidRPr="000A09B4">
              <w:rPr>
                <w:color w:val="000000"/>
                <w:sz w:val="16"/>
                <w:szCs w:val="16"/>
              </w:rPr>
              <w:t xml:space="preserve"> lieta nosūtīta jaunai izskatīšanai</w:t>
            </w:r>
          </w:p>
        </w:tc>
        <w:tc>
          <w:tcPr>
            <w:tcW w:w="960" w:type="dxa"/>
            <w:tcBorders>
              <w:top w:val="nil"/>
              <w:left w:val="nil"/>
              <w:bottom w:val="nil"/>
              <w:right w:val="single" w:sz="4" w:space="0" w:color="auto"/>
            </w:tcBorders>
            <w:shd w:val="clear" w:color="auto" w:fill="auto"/>
            <w:vAlign w:val="center"/>
            <w:hideMark/>
          </w:tcPr>
          <w:p w14:paraId="53DCEA99" w14:textId="77777777"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14:paraId="5D20CED0" w14:textId="77777777" w:rsidR="004546C7" w:rsidRPr="000A09B4" w:rsidRDefault="004546C7" w:rsidP="0025317F">
            <w:pPr>
              <w:spacing w:after="120"/>
              <w:rPr>
                <w:color w:val="000000"/>
                <w:sz w:val="16"/>
                <w:szCs w:val="16"/>
              </w:rPr>
            </w:pPr>
            <w:r w:rsidRPr="000A09B4">
              <w:rPr>
                <w:color w:val="000000"/>
                <w:sz w:val="16"/>
                <w:szCs w:val="16"/>
              </w:rPr>
              <w:t>Lēmums atcelts pilnīgi</w:t>
            </w:r>
            <w:proofErr w:type="gramStart"/>
            <w:r w:rsidRPr="000A09B4">
              <w:rPr>
                <w:color w:val="000000"/>
                <w:sz w:val="16"/>
                <w:szCs w:val="16"/>
              </w:rPr>
              <w:t xml:space="preserve"> un</w:t>
            </w:r>
            <w:proofErr w:type="gramEnd"/>
            <w:r w:rsidRPr="000A09B4">
              <w:rPr>
                <w:color w:val="000000"/>
                <w:sz w:val="16"/>
                <w:szCs w:val="16"/>
              </w:rPr>
              <w:t xml:space="preserve">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14:paraId="4EAAFC98" w14:textId="77777777"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14:paraId="10A936CD" w14:textId="77777777"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327DAE" w14:paraId="58E720B7"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FC670" w14:textId="77777777"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nil"/>
              <w:bottom w:val="single" w:sz="4" w:space="0" w:color="auto"/>
              <w:right w:val="single" w:sz="4" w:space="0" w:color="auto"/>
            </w:tcBorders>
            <w:shd w:val="clear" w:color="auto" w:fill="auto"/>
            <w:noWrap/>
            <w:vAlign w:val="bottom"/>
            <w:hideMark/>
          </w:tcPr>
          <w:p w14:paraId="58CC8F4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AA07EEA" w14:textId="77777777"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single" w:sz="4" w:space="0" w:color="auto"/>
            </w:tcBorders>
            <w:shd w:val="clear" w:color="auto" w:fill="auto"/>
            <w:noWrap/>
            <w:vAlign w:val="bottom"/>
            <w:hideMark/>
          </w:tcPr>
          <w:p w14:paraId="3A31A9BB" w14:textId="77777777" w:rsidR="004546C7" w:rsidRPr="000A09B4" w:rsidRDefault="004546C7" w:rsidP="0025317F">
            <w:pPr>
              <w:spacing w:after="120"/>
              <w:jc w:val="right"/>
              <w:rPr>
                <w:color w:val="000000"/>
                <w:sz w:val="16"/>
                <w:szCs w:val="16"/>
              </w:rPr>
            </w:pPr>
            <w:r w:rsidRPr="000A09B4">
              <w:rPr>
                <w:color w:val="000000"/>
                <w:sz w:val="16"/>
                <w:szCs w:val="16"/>
              </w:rPr>
              <w:t>139</w:t>
            </w:r>
          </w:p>
        </w:tc>
        <w:tc>
          <w:tcPr>
            <w:tcW w:w="960" w:type="dxa"/>
            <w:tcBorders>
              <w:top w:val="nil"/>
              <w:left w:val="nil"/>
              <w:bottom w:val="single" w:sz="4" w:space="0" w:color="auto"/>
              <w:right w:val="nil"/>
            </w:tcBorders>
            <w:shd w:val="clear" w:color="auto" w:fill="auto"/>
            <w:noWrap/>
            <w:vAlign w:val="bottom"/>
            <w:hideMark/>
          </w:tcPr>
          <w:p w14:paraId="1E4932CB" w14:textId="77777777" w:rsidR="004546C7" w:rsidRPr="000A09B4" w:rsidRDefault="004546C7" w:rsidP="0025317F">
            <w:pPr>
              <w:spacing w:after="120"/>
              <w:jc w:val="right"/>
              <w:rPr>
                <w:color w:val="000000"/>
                <w:sz w:val="16"/>
                <w:szCs w:val="16"/>
              </w:rPr>
            </w:pPr>
            <w:r w:rsidRPr="000A09B4">
              <w:rPr>
                <w:color w:val="000000"/>
                <w:sz w:val="16"/>
                <w:szCs w:val="16"/>
              </w:rPr>
              <w:t>271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92E50A3" w14:textId="77777777" w:rsidR="004546C7" w:rsidRPr="000A09B4" w:rsidRDefault="004546C7" w:rsidP="0025317F">
            <w:pPr>
              <w:spacing w:after="120"/>
              <w:jc w:val="right"/>
              <w:rPr>
                <w:color w:val="000000"/>
                <w:sz w:val="16"/>
                <w:szCs w:val="16"/>
              </w:rPr>
            </w:pPr>
            <w:r w:rsidRPr="000A09B4">
              <w:rPr>
                <w:color w:val="000000"/>
                <w:sz w:val="16"/>
                <w:szCs w:val="16"/>
              </w:rPr>
              <w:t>50</w:t>
            </w:r>
          </w:p>
        </w:tc>
        <w:tc>
          <w:tcPr>
            <w:tcW w:w="960" w:type="dxa"/>
            <w:tcBorders>
              <w:top w:val="nil"/>
              <w:left w:val="nil"/>
              <w:bottom w:val="single" w:sz="4" w:space="0" w:color="auto"/>
              <w:right w:val="single" w:sz="8" w:space="0" w:color="auto"/>
            </w:tcBorders>
            <w:shd w:val="clear" w:color="auto" w:fill="auto"/>
            <w:noWrap/>
            <w:vAlign w:val="bottom"/>
            <w:hideMark/>
          </w:tcPr>
          <w:p w14:paraId="00D87494" w14:textId="77777777" w:rsidR="004546C7" w:rsidRPr="000A09B4" w:rsidRDefault="004546C7" w:rsidP="0025317F">
            <w:pPr>
              <w:spacing w:after="120"/>
              <w:jc w:val="right"/>
              <w:rPr>
                <w:color w:val="000000"/>
                <w:sz w:val="16"/>
                <w:szCs w:val="16"/>
              </w:rPr>
            </w:pPr>
            <w:r w:rsidRPr="000A09B4">
              <w:rPr>
                <w:color w:val="000000"/>
                <w:sz w:val="16"/>
                <w:szCs w:val="16"/>
              </w:rPr>
              <w:t>215</w:t>
            </w:r>
          </w:p>
        </w:tc>
        <w:tc>
          <w:tcPr>
            <w:tcW w:w="960" w:type="dxa"/>
            <w:tcBorders>
              <w:top w:val="nil"/>
              <w:left w:val="nil"/>
              <w:bottom w:val="single" w:sz="4" w:space="0" w:color="auto"/>
              <w:right w:val="single" w:sz="4" w:space="0" w:color="auto"/>
            </w:tcBorders>
            <w:shd w:val="clear" w:color="auto" w:fill="auto"/>
            <w:noWrap/>
            <w:vAlign w:val="bottom"/>
            <w:hideMark/>
          </w:tcPr>
          <w:p w14:paraId="0AFD12E2" w14:textId="77777777" w:rsidR="004546C7" w:rsidRPr="000A09B4" w:rsidRDefault="004546C7" w:rsidP="0025317F">
            <w:pPr>
              <w:spacing w:after="120"/>
              <w:jc w:val="right"/>
              <w:rPr>
                <w:color w:val="000000"/>
                <w:sz w:val="16"/>
                <w:szCs w:val="16"/>
              </w:rPr>
            </w:pPr>
            <w:r w:rsidRPr="000A09B4">
              <w:rPr>
                <w:color w:val="000000"/>
                <w:sz w:val="16"/>
                <w:szCs w:val="16"/>
              </w:rPr>
              <w:t>1108</w:t>
            </w:r>
          </w:p>
        </w:tc>
        <w:tc>
          <w:tcPr>
            <w:tcW w:w="960" w:type="dxa"/>
            <w:tcBorders>
              <w:top w:val="nil"/>
              <w:left w:val="nil"/>
              <w:bottom w:val="single" w:sz="4" w:space="0" w:color="auto"/>
              <w:right w:val="single" w:sz="8" w:space="0" w:color="auto"/>
            </w:tcBorders>
            <w:shd w:val="clear" w:color="auto" w:fill="auto"/>
            <w:noWrap/>
            <w:vAlign w:val="bottom"/>
            <w:hideMark/>
          </w:tcPr>
          <w:p w14:paraId="29CA15A9" w14:textId="77777777" w:rsidR="004546C7" w:rsidRPr="000A09B4" w:rsidRDefault="004546C7" w:rsidP="0025317F">
            <w:pPr>
              <w:spacing w:after="120"/>
              <w:jc w:val="right"/>
              <w:rPr>
                <w:color w:val="000000"/>
                <w:sz w:val="16"/>
                <w:szCs w:val="16"/>
              </w:rPr>
            </w:pPr>
            <w:r w:rsidRPr="000A09B4">
              <w:rPr>
                <w:color w:val="000000"/>
                <w:sz w:val="16"/>
                <w:szCs w:val="16"/>
              </w:rPr>
              <w:t>1057</w:t>
            </w:r>
          </w:p>
        </w:tc>
        <w:tc>
          <w:tcPr>
            <w:tcW w:w="1060" w:type="dxa"/>
            <w:tcBorders>
              <w:top w:val="nil"/>
              <w:left w:val="nil"/>
              <w:bottom w:val="single" w:sz="4" w:space="0" w:color="auto"/>
              <w:right w:val="single" w:sz="8" w:space="0" w:color="auto"/>
            </w:tcBorders>
            <w:shd w:val="clear" w:color="auto" w:fill="auto"/>
            <w:noWrap/>
            <w:vAlign w:val="bottom"/>
            <w:hideMark/>
          </w:tcPr>
          <w:p w14:paraId="48ADC42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4B06DD"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525323A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8B8F9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370F759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71FA38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3D18BA5"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61123BBC"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DEFC46" w14:textId="77777777"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nil"/>
              <w:bottom w:val="single" w:sz="4" w:space="0" w:color="auto"/>
              <w:right w:val="single" w:sz="4" w:space="0" w:color="auto"/>
            </w:tcBorders>
            <w:shd w:val="clear" w:color="auto" w:fill="auto"/>
            <w:noWrap/>
            <w:vAlign w:val="bottom"/>
            <w:hideMark/>
          </w:tcPr>
          <w:p w14:paraId="4680E39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9A71F38" w14:textId="77777777" w:rsidR="004546C7" w:rsidRPr="000A09B4" w:rsidRDefault="004546C7" w:rsidP="0025317F">
            <w:pPr>
              <w:spacing w:after="120"/>
              <w:jc w:val="right"/>
              <w:rPr>
                <w:color w:val="000000"/>
                <w:sz w:val="16"/>
                <w:szCs w:val="16"/>
              </w:rPr>
            </w:pPr>
            <w:r w:rsidRPr="000A09B4">
              <w:rPr>
                <w:color w:val="000000"/>
                <w:sz w:val="16"/>
                <w:szCs w:val="16"/>
              </w:rPr>
              <w:t>156</w:t>
            </w:r>
          </w:p>
        </w:tc>
        <w:tc>
          <w:tcPr>
            <w:tcW w:w="960" w:type="dxa"/>
            <w:tcBorders>
              <w:top w:val="nil"/>
              <w:left w:val="nil"/>
              <w:bottom w:val="single" w:sz="4" w:space="0" w:color="auto"/>
              <w:right w:val="single" w:sz="4" w:space="0" w:color="auto"/>
            </w:tcBorders>
            <w:shd w:val="clear" w:color="auto" w:fill="auto"/>
            <w:noWrap/>
            <w:vAlign w:val="bottom"/>
            <w:hideMark/>
          </w:tcPr>
          <w:p w14:paraId="7B65969C" w14:textId="77777777" w:rsidR="004546C7" w:rsidRPr="000A09B4" w:rsidRDefault="004546C7" w:rsidP="0025317F">
            <w:pPr>
              <w:spacing w:after="120"/>
              <w:jc w:val="right"/>
              <w:rPr>
                <w:color w:val="000000"/>
                <w:sz w:val="16"/>
                <w:szCs w:val="16"/>
              </w:rPr>
            </w:pPr>
            <w:r w:rsidRPr="000A09B4">
              <w:rPr>
                <w:color w:val="000000"/>
                <w:sz w:val="16"/>
                <w:szCs w:val="16"/>
              </w:rPr>
              <w:t>134</w:t>
            </w:r>
          </w:p>
        </w:tc>
        <w:tc>
          <w:tcPr>
            <w:tcW w:w="960" w:type="dxa"/>
            <w:tcBorders>
              <w:top w:val="nil"/>
              <w:left w:val="nil"/>
              <w:bottom w:val="single" w:sz="4" w:space="0" w:color="auto"/>
              <w:right w:val="nil"/>
            </w:tcBorders>
            <w:shd w:val="clear" w:color="auto" w:fill="auto"/>
            <w:noWrap/>
            <w:vAlign w:val="bottom"/>
            <w:hideMark/>
          </w:tcPr>
          <w:p w14:paraId="034FD4C3" w14:textId="77777777" w:rsidR="004546C7" w:rsidRPr="000A09B4" w:rsidRDefault="004546C7" w:rsidP="0025317F">
            <w:pPr>
              <w:spacing w:after="120"/>
              <w:jc w:val="right"/>
              <w:rPr>
                <w:color w:val="000000"/>
                <w:sz w:val="16"/>
                <w:szCs w:val="16"/>
              </w:rPr>
            </w:pPr>
            <w:r w:rsidRPr="000A09B4">
              <w:rPr>
                <w:color w:val="000000"/>
                <w:sz w:val="16"/>
                <w:szCs w:val="16"/>
              </w:rPr>
              <w:t>313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8A1FA82" w14:textId="77777777" w:rsidR="004546C7" w:rsidRPr="000A09B4" w:rsidRDefault="004546C7" w:rsidP="0025317F">
            <w:pPr>
              <w:spacing w:after="120"/>
              <w:jc w:val="right"/>
              <w:rPr>
                <w:color w:val="000000"/>
                <w:sz w:val="16"/>
                <w:szCs w:val="16"/>
              </w:rPr>
            </w:pPr>
            <w:r w:rsidRPr="000A09B4">
              <w:rPr>
                <w:color w:val="000000"/>
                <w:sz w:val="16"/>
                <w:szCs w:val="16"/>
              </w:rPr>
              <w:t>63</w:t>
            </w:r>
          </w:p>
        </w:tc>
        <w:tc>
          <w:tcPr>
            <w:tcW w:w="960" w:type="dxa"/>
            <w:tcBorders>
              <w:top w:val="nil"/>
              <w:left w:val="nil"/>
              <w:bottom w:val="single" w:sz="4" w:space="0" w:color="auto"/>
              <w:right w:val="single" w:sz="8" w:space="0" w:color="auto"/>
            </w:tcBorders>
            <w:shd w:val="clear" w:color="auto" w:fill="auto"/>
            <w:noWrap/>
            <w:vAlign w:val="bottom"/>
            <w:hideMark/>
          </w:tcPr>
          <w:p w14:paraId="69141382" w14:textId="77777777" w:rsidR="004546C7" w:rsidRPr="000A09B4" w:rsidRDefault="004546C7" w:rsidP="0025317F">
            <w:pPr>
              <w:spacing w:after="120"/>
              <w:jc w:val="right"/>
              <w:rPr>
                <w:color w:val="000000"/>
                <w:sz w:val="16"/>
                <w:szCs w:val="16"/>
              </w:rPr>
            </w:pPr>
            <w:r w:rsidRPr="000A09B4">
              <w:rPr>
                <w:color w:val="000000"/>
                <w:sz w:val="16"/>
                <w:szCs w:val="16"/>
              </w:rPr>
              <w:t>219</w:t>
            </w:r>
          </w:p>
        </w:tc>
        <w:tc>
          <w:tcPr>
            <w:tcW w:w="960" w:type="dxa"/>
            <w:tcBorders>
              <w:top w:val="nil"/>
              <w:left w:val="nil"/>
              <w:bottom w:val="single" w:sz="4" w:space="0" w:color="auto"/>
              <w:right w:val="single" w:sz="4" w:space="0" w:color="auto"/>
            </w:tcBorders>
            <w:shd w:val="clear" w:color="auto" w:fill="auto"/>
            <w:noWrap/>
            <w:vAlign w:val="bottom"/>
            <w:hideMark/>
          </w:tcPr>
          <w:p w14:paraId="423D619B" w14:textId="77777777" w:rsidR="004546C7" w:rsidRPr="000A09B4" w:rsidRDefault="004546C7" w:rsidP="0025317F">
            <w:pPr>
              <w:spacing w:after="120"/>
              <w:jc w:val="right"/>
              <w:rPr>
                <w:color w:val="000000"/>
                <w:sz w:val="16"/>
                <w:szCs w:val="16"/>
              </w:rPr>
            </w:pPr>
            <w:r w:rsidRPr="000A09B4">
              <w:rPr>
                <w:color w:val="000000"/>
                <w:sz w:val="16"/>
                <w:szCs w:val="16"/>
              </w:rPr>
              <w:t>1168</w:t>
            </w:r>
          </w:p>
        </w:tc>
        <w:tc>
          <w:tcPr>
            <w:tcW w:w="960" w:type="dxa"/>
            <w:tcBorders>
              <w:top w:val="nil"/>
              <w:left w:val="nil"/>
              <w:bottom w:val="single" w:sz="4" w:space="0" w:color="auto"/>
              <w:right w:val="single" w:sz="8" w:space="0" w:color="auto"/>
            </w:tcBorders>
            <w:shd w:val="clear" w:color="auto" w:fill="auto"/>
            <w:noWrap/>
            <w:vAlign w:val="bottom"/>
            <w:hideMark/>
          </w:tcPr>
          <w:p w14:paraId="47D6490E" w14:textId="77777777" w:rsidR="004546C7" w:rsidRPr="000A09B4" w:rsidRDefault="004546C7" w:rsidP="0025317F">
            <w:pPr>
              <w:spacing w:after="120"/>
              <w:jc w:val="right"/>
              <w:rPr>
                <w:color w:val="000000"/>
                <w:sz w:val="16"/>
                <w:szCs w:val="16"/>
              </w:rPr>
            </w:pPr>
            <w:r w:rsidRPr="000A09B4">
              <w:rPr>
                <w:color w:val="000000"/>
                <w:sz w:val="16"/>
                <w:szCs w:val="16"/>
              </w:rPr>
              <w:t>1104</w:t>
            </w:r>
          </w:p>
        </w:tc>
        <w:tc>
          <w:tcPr>
            <w:tcW w:w="1060" w:type="dxa"/>
            <w:tcBorders>
              <w:top w:val="nil"/>
              <w:left w:val="nil"/>
              <w:bottom w:val="single" w:sz="4" w:space="0" w:color="auto"/>
              <w:right w:val="single" w:sz="8" w:space="0" w:color="auto"/>
            </w:tcBorders>
            <w:shd w:val="clear" w:color="auto" w:fill="auto"/>
            <w:noWrap/>
            <w:vAlign w:val="bottom"/>
            <w:hideMark/>
          </w:tcPr>
          <w:p w14:paraId="02BD7E73"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3AA8A58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2E2AB7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CD813DF"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087F3BBD"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423808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1067DBB"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106A8D45"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8A7C1B" w14:textId="77777777"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42C7E55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9B6D431" w14:textId="77777777" w:rsidR="004546C7" w:rsidRPr="000A09B4" w:rsidRDefault="004546C7" w:rsidP="0025317F">
            <w:pPr>
              <w:spacing w:after="120"/>
              <w:jc w:val="right"/>
              <w:rPr>
                <w:color w:val="000000"/>
                <w:sz w:val="16"/>
                <w:szCs w:val="16"/>
              </w:rPr>
            </w:pPr>
            <w:r w:rsidRPr="000A09B4">
              <w:rPr>
                <w:color w:val="000000"/>
                <w:sz w:val="16"/>
                <w:szCs w:val="16"/>
              </w:rPr>
              <w:t>187</w:t>
            </w:r>
          </w:p>
        </w:tc>
        <w:tc>
          <w:tcPr>
            <w:tcW w:w="960" w:type="dxa"/>
            <w:tcBorders>
              <w:top w:val="nil"/>
              <w:left w:val="nil"/>
              <w:bottom w:val="single" w:sz="4" w:space="0" w:color="auto"/>
              <w:right w:val="single" w:sz="4" w:space="0" w:color="auto"/>
            </w:tcBorders>
            <w:shd w:val="clear" w:color="auto" w:fill="auto"/>
            <w:noWrap/>
            <w:vAlign w:val="bottom"/>
            <w:hideMark/>
          </w:tcPr>
          <w:p w14:paraId="45F70024" w14:textId="77777777" w:rsidR="004546C7" w:rsidRPr="000A09B4" w:rsidRDefault="004546C7" w:rsidP="0025317F">
            <w:pPr>
              <w:spacing w:after="120"/>
              <w:jc w:val="right"/>
              <w:rPr>
                <w:color w:val="000000"/>
                <w:sz w:val="16"/>
                <w:szCs w:val="16"/>
              </w:rPr>
            </w:pPr>
            <w:r w:rsidRPr="000A09B4">
              <w:rPr>
                <w:color w:val="000000"/>
                <w:sz w:val="16"/>
                <w:szCs w:val="16"/>
              </w:rPr>
              <w:t>155</w:t>
            </w:r>
          </w:p>
        </w:tc>
        <w:tc>
          <w:tcPr>
            <w:tcW w:w="960" w:type="dxa"/>
            <w:tcBorders>
              <w:top w:val="nil"/>
              <w:left w:val="nil"/>
              <w:bottom w:val="single" w:sz="4" w:space="0" w:color="auto"/>
              <w:right w:val="nil"/>
            </w:tcBorders>
            <w:shd w:val="clear" w:color="auto" w:fill="auto"/>
            <w:noWrap/>
            <w:vAlign w:val="bottom"/>
            <w:hideMark/>
          </w:tcPr>
          <w:p w14:paraId="2FCD4297" w14:textId="77777777" w:rsidR="004546C7" w:rsidRPr="000A09B4" w:rsidRDefault="004546C7" w:rsidP="0025317F">
            <w:pPr>
              <w:spacing w:after="120"/>
              <w:jc w:val="right"/>
              <w:rPr>
                <w:color w:val="000000"/>
                <w:sz w:val="16"/>
                <w:szCs w:val="16"/>
              </w:rPr>
            </w:pPr>
            <w:r w:rsidRPr="000A09B4">
              <w:rPr>
                <w:color w:val="000000"/>
                <w:sz w:val="16"/>
                <w:szCs w:val="16"/>
              </w:rPr>
              <w:t>355</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08068B4" w14:textId="77777777" w:rsidR="004546C7" w:rsidRPr="000A09B4" w:rsidRDefault="004546C7" w:rsidP="0025317F">
            <w:pPr>
              <w:spacing w:after="120"/>
              <w:jc w:val="right"/>
              <w:rPr>
                <w:color w:val="000000"/>
                <w:sz w:val="16"/>
                <w:szCs w:val="16"/>
              </w:rPr>
            </w:pPr>
            <w:r w:rsidRPr="000A09B4">
              <w:rPr>
                <w:color w:val="000000"/>
                <w:sz w:val="16"/>
                <w:szCs w:val="16"/>
              </w:rPr>
              <w:t>36</w:t>
            </w:r>
          </w:p>
        </w:tc>
        <w:tc>
          <w:tcPr>
            <w:tcW w:w="960" w:type="dxa"/>
            <w:tcBorders>
              <w:top w:val="nil"/>
              <w:left w:val="nil"/>
              <w:bottom w:val="single" w:sz="4" w:space="0" w:color="auto"/>
              <w:right w:val="single" w:sz="8" w:space="0" w:color="auto"/>
            </w:tcBorders>
            <w:shd w:val="clear" w:color="auto" w:fill="auto"/>
            <w:noWrap/>
            <w:vAlign w:val="bottom"/>
            <w:hideMark/>
          </w:tcPr>
          <w:p w14:paraId="093DB708" w14:textId="77777777" w:rsidR="004546C7" w:rsidRPr="000A09B4" w:rsidRDefault="004546C7" w:rsidP="0025317F">
            <w:pPr>
              <w:spacing w:after="120"/>
              <w:jc w:val="right"/>
              <w:rPr>
                <w:color w:val="000000"/>
                <w:sz w:val="16"/>
                <w:szCs w:val="16"/>
              </w:rPr>
            </w:pPr>
            <w:r w:rsidRPr="000A09B4">
              <w:rPr>
                <w:color w:val="000000"/>
                <w:sz w:val="16"/>
                <w:szCs w:val="16"/>
              </w:rPr>
              <w:t>223</w:t>
            </w:r>
          </w:p>
        </w:tc>
        <w:tc>
          <w:tcPr>
            <w:tcW w:w="960" w:type="dxa"/>
            <w:tcBorders>
              <w:top w:val="nil"/>
              <w:left w:val="nil"/>
              <w:bottom w:val="single" w:sz="4" w:space="0" w:color="auto"/>
              <w:right w:val="single" w:sz="4" w:space="0" w:color="auto"/>
            </w:tcBorders>
            <w:shd w:val="clear" w:color="auto" w:fill="auto"/>
            <w:noWrap/>
            <w:vAlign w:val="bottom"/>
            <w:hideMark/>
          </w:tcPr>
          <w:p w14:paraId="1FA36847" w14:textId="77777777" w:rsidR="004546C7" w:rsidRPr="000A09B4" w:rsidRDefault="004546C7" w:rsidP="0025317F">
            <w:pPr>
              <w:spacing w:after="120"/>
              <w:jc w:val="right"/>
              <w:rPr>
                <w:color w:val="000000"/>
                <w:sz w:val="16"/>
                <w:szCs w:val="16"/>
              </w:rPr>
            </w:pPr>
            <w:r w:rsidRPr="000A09B4">
              <w:rPr>
                <w:color w:val="000000"/>
                <w:sz w:val="16"/>
                <w:szCs w:val="16"/>
              </w:rPr>
              <w:t>1483</w:t>
            </w:r>
          </w:p>
        </w:tc>
        <w:tc>
          <w:tcPr>
            <w:tcW w:w="960" w:type="dxa"/>
            <w:tcBorders>
              <w:top w:val="nil"/>
              <w:left w:val="nil"/>
              <w:bottom w:val="single" w:sz="4" w:space="0" w:color="auto"/>
              <w:right w:val="single" w:sz="8" w:space="0" w:color="auto"/>
            </w:tcBorders>
            <w:shd w:val="clear" w:color="auto" w:fill="auto"/>
            <w:noWrap/>
            <w:vAlign w:val="bottom"/>
            <w:hideMark/>
          </w:tcPr>
          <w:p w14:paraId="5AE43260" w14:textId="77777777" w:rsidR="004546C7" w:rsidRPr="000A09B4" w:rsidRDefault="004546C7" w:rsidP="0025317F">
            <w:pPr>
              <w:spacing w:after="120"/>
              <w:jc w:val="right"/>
              <w:rPr>
                <w:color w:val="000000"/>
                <w:sz w:val="16"/>
                <w:szCs w:val="16"/>
              </w:rPr>
            </w:pPr>
            <w:r w:rsidRPr="000A09B4">
              <w:rPr>
                <w:color w:val="000000"/>
                <w:sz w:val="16"/>
                <w:szCs w:val="16"/>
              </w:rPr>
              <w:t>1446</w:t>
            </w:r>
          </w:p>
        </w:tc>
        <w:tc>
          <w:tcPr>
            <w:tcW w:w="1060" w:type="dxa"/>
            <w:tcBorders>
              <w:top w:val="nil"/>
              <w:left w:val="nil"/>
              <w:bottom w:val="single" w:sz="4" w:space="0" w:color="auto"/>
              <w:right w:val="single" w:sz="8" w:space="0" w:color="auto"/>
            </w:tcBorders>
            <w:shd w:val="clear" w:color="auto" w:fill="auto"/>
            <w:noWrap/>
            <w:vAlign w:val="bottom"/>
            <w:hideMark/>
          </w:tcPr>
          <w:p w14:paraId="7F6D6AC2" w14:textId="77777777" w:rsidR="004546C7" w:rsidRPr="000A09B4" w:rsidRDefault="004546C7" w:rsidP="0025317F">
            <w:pPr>
              <w:spacing w:after="120"/>
              <w:jc w:val="right"/>
              <w:rPr>
                <w:color w:val="000000"/>
                <w:sz w:val="16"/>
                <w:szCs w:val="16"/>
              </w:rPr>
            </w:pPr>
            <w:r w:rsidRPr="000A09B4">
              <w:rPr>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14:paraId="23A5852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1FF2A3A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A7D202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6D463906"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3A068D5F"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86A4876" w14:textId="77777777" w:rsidR="004546C7" w:rsidRPr="000A09B4" w:rsidRDefault="004546C7" w:rsidP="0025317F">
            <w:pPr>
              <w:spacing w:after="120"/>
              <w:jc w:val="right"/>
              <w:rPr>
                <w:color w:val="000000"/>
                <w:sz w:val="16"/>
                <w:szCs w:val="16"/>
              </w:rPr>
            </w:pPr>
            <w:r w:rsidRPr="000A09B4">
              <w:rPr>
                <w:color w:val="000000"/>
                <w:sz w:val="16"/>
                <w:szCs w:val="16"/>
              </w:rPr>
              <w:t>2</w:t>
            </w:r>
          </w:p>
        </w:tc>
      </w:tr>
      <w:tr w:rsidR="004546C7" w:rsidRPr="00327DAE" w14:paraId="32EC0BFD"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BA3E98" w14:textId="77777777"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1E0045B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B7EE73B" w14:textId="77777777" w:rsidR="004546C7" w:rsidRPr="000A09B4" w:rsidRDefault="004546C7" w:rsidP="0025317F">
            <w:pPr>
              <w:spacing w:after="120"/>
              <w:jc w:val="right"/>
              <w:rPr>
                <w:color w:val="000000"/>
                <w:sz w:val="16"/>
                <w:szCs w:val="16"/>
              </w:rPr>
            </w:pPr>
            <w:r w:rsidRPr="000A09B4">
              <w:rPr>
                <w:color w:val="000000"/>
                <w:sz w:val="16"/>
                <w:szCs w:val="16"/>
              </w:rPr>
              <w:t>211</w:t>
            </w:r>
          </w:p>
        </w:tc>
        <w:tc>
          <w:tcPr>
            <w:tcW w:w="960" w:type="dxa"/>
            <w:tcBorders>
              <w:top w:val="nil"/>
              <w:left w:val="nil"/>
              <w:bottom w:val="single" w:sz="4" w:space="0" w:color="auto"/>
              <w:right w:val="single" w:sz="4" w:space="0" w:color="auto"/>
            </w:tcBorders>
            <w:shd w:val="clear" w:color="auto" w:fill="auto"/>
            <w:noWrap/>
            <w:vAlign w:val="bottom"/>
            <w:hideMark/>
          </w:tcPr>
          <w:p w14:paraId="1E7977EF" w14:textId="77777777" w:rsidR="004546C7" w:rsidRPr="000A09B4" w:rsidRDefault="004546C7" w:rsidP="0025317F">
            <w:pPr>
              <w:spacing w:after="120"/>
              <w:jc w:val="right"/>
              <w:rPr>
                <w:color w:val="000000"/>
                <w:sz w:val="16"/>
                <w:szCs w:val="16"/>
              </w:rPr>
            </w:pPr>
            <w:r w:rsidRPr="000A09B4">
              <w:rPr>
                <w:color w:val="000000"/>
                <w:sz w:val="16"/>
                <w:szCs w:val="16"/>
              </w:rPr>
              <w:t>176</w:t>
            </w:r>
          </w:p>
        </w:tc>
        <w:tc>
          <w:tcPr>
            <w:tcW w:w="960" w:type="dxa"/>
            <w:tcBorders>
              <w:top w:val="nil"/>
              <w:left w:val="nil"/>
              <w:bottom w:val="single" w:sz="4" w:space="0" w:color="auto"/>
              <w:right w:val="nil"/>
            </w:tcBorders>
            <w:shd w:val="clear" w:color="auto" w:fill="auto"/>
            <w:noWrap/>
            <w:vAlign w:val="bottom"/>
            <w:hideMark/>
          </w:tcPr>
          <w:p w14:paraId="34FAD9D3" w14:textId="77777777" w:rsidR="004546C7" w:rsidRPr="000A09B4" w:rsidRDefault="004546C7" w:rsidP="0025317F">
            <w:pPr>
              <w:spacing w:after="120"/>
              <w:jc w:val="right"/>
              <w:rPr>
                <w:color w:val="000000"/>
                <w:sz w:val="16"/>
                <w:szCs w:val="16"/>
              </w:rPr>
            </w:pPr>
            <w:r w:rsidRPr="000A09B4">
              <w:rPr>
                <w:color w:val="000000"/>
                <w:sz w:val="16"/>
                <w:szCs w:val="16"/>
              </w:rPr>
              <w:t>252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68350DE" w14:textId="77777777" w:rsidR="004546C7" w:rsidRPr="000A09B4" w:rsidRDefault="004546C7" w:rsidP="0025317F">
            <w:pPr>
              <w:spacing w:after="120"/>
              <w:jc w:val="right"/>
              <w:rPr>
                <w:color w:val="000000"/>
                <w:sz w:val="16"/>
                <w:szCs w:val="16"/>
              </w:rPr>
            </w:pPr>
            <w:r w:rsidRPr="000A09B4">
              <w:rPr>
                <w:color w:val="000000"/>
                <w:sz w:val="16"/>
                <w:szCs w:val="16"/>
              </w:rPr>
              <w:t>36</w:t>
            </w:r>
          </w:p>
        </w:tc>
        <w:tc>
          <w:tcPr>
            <w:tcW w:w="960" w:type="dxa"/>
            <w:tcBorders>
              <w:top w:val="nil"/>
              <w:left w:val="nil"/>
              <w:bottom w:val="single" w:sz="4" w:space="0" w:color="auto"/>
              <w:right w:val="single" w:sz="8" w:space="0" w:color="auto"/>
            </w:tcBorders>
            <w:shd w:val="clear" w:color="auto" w:fill="auto"/>
            <w:noWrap/>
            <w:vAlign w:val="bottom"/>
            <w:hideMark/>
          </w:tcPr>
          <w:p w14:paraId="46C206A0" w14:textId="77777777" w:rsidR="004546C7" w:rsidRPr="000A09B4" w:rsidRDefault="004546C7" w:rsidP="0025317F">
            <w:pPr>
              <w:spacing w:after="120"/>
              <w:jc w:val="right"/>
              <w:rPr>
                <w:color w:val="000000"/>
                <w:sz w:val="16"/>
                <w:szCs w:val="16"/>
              </w:rPr>
            </w:pPr>
            <w:r w:rsidRPr="000A09B4">
              <w:rPr>
                <w:color w:val="000000"/>
                <w:sz w:val="16"/>
                <w:szCs w:val="16"/>
              </w:rPr>
              <w:t>247</w:t>
            </w:r>
          </w:p>
        </w:tc>
        <w:tc>
          <w:tcPr>
            <w:tcW w:w="960" w:type="dxa"/>
            <w:tcBorders>
              <w:top w:val="nil"/>
              <w:left w:val="nil"/>
              <w:bottom w:val="single" w:sz="4" w:space="0" w:color="auto"/>
              <w:right w:val="single" w:sz="4" w:space="0" w:color="auto"/>
            </w:tcBorders>
            <w:shd w:val="clear" w:color="auto" w:fill="auto"/>
            <w:noWrap/>
            <w:vAlign w:val="bottom"/>
            <w:hideMark/>
          </w:tcPr>
          <w:p w14:paraId="1C8507E3" w14:textId="77777777" w:rsidR="004546C7" w:rsidRPr="000A09B4" w:rsidRDefault="004546C7" w:rsidP="0025317F">
            <w:pPr>
              <w:spacing w:after="120"/>
              <w:jc w:val="right"/>
              <w:rPr>
                <w:color w:val="000000"/>
                <w:sz w:val="16"/>
                <w:szCs w:val="16"/>
              </w:rPr>
            </w:pPr>
            <w:r w:rsidRPr="000A09B4">
              <w:rPr>
                <w:color w:val="000000"/>
                <w:sz w:val="16"/>
                <w:szCs w:val="16"/>
              </w:rPr>
              <w:t>1462</w:t>
            </w:r>
          </w:p>
        </w:tc>
        <w:tc>
          <w:tcPr>
            <w:tcW w:w="960" w:type="dxa"/>
            <w:tcBorders>
              <w:top w:val="nil"/>
              <w:left w:val="nil"/>
              <w:bottom w:val="single" w:sz="4" w:space="0" w:color="auto"/>
              <w:right w:val="single" w:sz="8" w:space="0" w:color="auto"/>
            </w:tcBorders>
            <w:shd w:val="clear" w:color="auto" w:fill="auto"/>
            <w:noWrap/>
            <w:vAlign w:val="bottom"/>
            <w:hideMark/>
          </w:tcPr>
          <w:p w14:paraId="368C4830" w14:textId="77777777" w:rsidR="004546C7" w:rsidRPr="000A09B4" w:rsidRDefault="004546C7" w:rsidP="0025317F">
            <w:pPr>
              <w:spacing w:after="120"/>
              <w:jc w:val="right"/>
              <w:rPr>
                <w:color w:val="000000"/>
                <w:sz w:val="16"/>
                <w:szCs w:val="16"/>
              </w:rPr>
            </w:pPr>
            <w:r w:rsidRPr="000A09B4">
              <w:rPr>
                <w:color w:val="000000"/>
                <w:sz w:val="16"/>
                <w:szCs w:val="16"/>
              </w:rPr>
              <w:t>1423</w:t>
            </w:r>
          </w:p>
        </w:tc>
        <w:tc>
          <w:tcPr>
            <w:tcW w:w="1060" w:type="dxa"/>
            <w:tcBorders>
              <w:top w:val="nil"/>
              <w:left w:val="nil"/>
              <w:bottom w:val="single" w:sz="4" w:space="0" w:color="auto"/>
              <w:right w:val="single" w:sz="8" w:space="0" w:color="auto"/>
            </w:tcBorders>
            <w:shd w:val="clear" w:color="auto" w:fill="auto"/>
            <w:noWrap/>
            <w:vAlign w:val="bottom"/>
            <w:hideMark/>
          </w:tcPr>
          <w:p w14:paraId="3EBA202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570FD7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5AB7C08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660D04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5B233591"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0CAEC9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33E352CB"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120CEB57"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94C560" w14:textId="77777777"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7A64ACE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349AFCD" w14:textId="77777777" w:rsidR="004546C7" w:rsidRPr="000A09B4" w:rsidRDefault="004546C7" w:rsidP="0025317F">
            <w:pPr>
              <w:spacing w:after="120"/>
              <w:jc w:val="right"/>
              <w:rPr>
                <w:color w:val="000000"/>
                <w:sz w:val="16"/>
                <w:szCs w:val="16"/>
              </w:rPr>
            </w:pPr>
            <w:r w:rsidRPr="000A09B4">
              <w:rPr>
                <w:color w:val="000000"/>
                <w:sz w:val="16"/>
                <w:szCs w:val="16"/>
              </w:rPr>
              <w:t>252</w:t>
            </w:r>
          </w:p>
        </w:tc>
        <w:tc>
          <w:tcPr>
            <w:tcW w:w="960" w:type="dxa"/>
            <w:tcBorders>
              <w:top w:val="nil"/>
              <w:left w:val="nil"/>
              <w:bottom w:val="single" w:sz="4" w:space="0" w:color="auto"/>
              <w:right w:val="single" w:sz="4" w:space="0" w:color="auto"/>
            </w:tcBorders>
            <w:shd w:val="clear" w:color="auto" w:fill="auto"/>
            <w:noWrap/>
            <w:vAlign w:val="bottom"/>
            <w:hideMark/>
          </w:tcPr>
          <w:p w14:paraId="3CEA0073" w14:textId="77777777" w:rsidR="004546C7" w:rsidRPr="000A09B4" w:rsidRDefault="004546C7" w:rsidP="0025317F">
            <w:pPr>
              <w:spacing w:after="120"/>
              <w:jc w:val="right"/>
              <w:rPr>
                <w:color w:val="000000"/>
                <w:sz w:val="16"/>
                <w:szCs w:val="16"/>
              </w:rPr>
            </w:pPr>
            <w:r w:rsidRPr="000A09B4">
              <w:rPr>
                <w:color w:val="000000"/>
                <w:sz w:val="16"/>
                <w:szCs w:val="16"/>
              </w:rPr>
              <w:t>221</w:t>
            </w:r>
          </w:p>
        </w:tc>
        <w:tc>
          <w:tcPr>
            <w:tcW w:w="960" w:type="dxa"/>
            <w:tcBorders>
              <w:top w:val="nil"/>
              <w:left w:val="nil"/>
              <w:bottom w:val="single" w:sz="4" w:space="0" w:color="auto"/>
              <w:right w:val="nil"/>
            </w:tcBorders>
            <w:shd w:val="clear" w:color="auto" w:fill="auto"/>
            <w:noWrap/>
            <w:vAlign w:val="bottom"/>
            <w:hideMark/>
          </w:tcPr>
          <w:p w14:paraId="781FFF5D" w14:textId="77777777" w:rsidR="004546C7" w:rsidRPr="000A09B4" w:rsidRDefault="004546C7" w:rsidP="0025317F">
            <w:pPr>
              <w:spacing w:after="120"/>
              <w:jc w:val="right"/>
              <w:rPr>
                <w:color w:val="000000"/>
                <w:sz w:val="16"/>
                <w:szCs w:val="16"/>
              </w:rPr>
            </w:pPr>
            <w:r w:rsidRPr="000A09B4">
              <w:rPr>
                <w:color w:val="000000"/>
                <w:sz w:val="16"/>
                <w:szCs w:val="16"/>
              </w:rPr>
              <w:t>56</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947D7B" w14:textId="77777777" w:rsidR="004546C7" w:rsidRPr="000A09B4" w:rsidRDefault="004546C7" w:rsidP="0025317F">
            <w:pPr>
              <w:spacing w:after="120"/>
              <w:jc w:val="right"/>
              <w:rPr>
                <w:color w:val="000000"/>
                <w:sz w:val="16"/>
                <w:szCs w:val="16"/>
              </w:rPr>
            </w:pPr>
            <w:r w:rsidRPr="000A09B4">
              <w:rPr>
                <w:color w:val="000000"/>
                <w:sz w:val="16"/>
                <w:szCs w:val="16"/>
              </w:rPr>
              <w:t>39</w:t>
            </w:r>
          </w:p>
        </w:tc>
        <w:tc>
          <w:tcPr>
            <w:tcW w:w="960" w:type="dxa"/>
            <w:tcBorders>
              <w:top w:val="nil"/>
              <w:left w:val="nil"/>
              <w:bottom w:val="single" w:sz="4" w:space="0" w:color="auto"/>
              <w:right w:val="single" w:sz="8" w:space="0" w:color="auto"/>
            </w:tcBorders>
            <w:shd w:val="clear" w:color="auto" w:fill="auto"/>
            <w:noWrap/>
            <w:vAlign w:val="bottom"/>
            <w:hideMark/>
          </w:tcPr>
          <w:p w14:paraId="219ECAB3" w14:textId="77777777" w:rsidR="004546C7" w:rsidRPr="000A09B4" w:rsidRDefault="004546C7" w:rsidP="0025317F">
            <w:pPr>
              <w:spacing w:after="120"/>
              <w:jc w:val="right"/>
              <w:rPr>
                <w:color w:val="000000"/>
                <w:sz w:val="16"/>
                <w:szCs w:val="16"/>
              </w:rPr>
            </w:pPr>
            <w:r w:rsidRPr="000A09B4">
              <w:rPr>
                <w:color w:val="000000"/>
                <w:sz w:val="16"/>
                <w:szCs w:val="16"/>
              </w:rPr>
              <w:t>291</w:t>
            </w:r>
          </w:p>
        </w:tc>
        <w:tc>
          <w:tcPr>
            <w:tcW w:w="960" w:type="dxa"/>
            <w:tcBorders>
              <w:top w:val="nil"/>
              <w:left w:val="nil"/>
              <w:bottom w:val="single" w:sz="4" w:space="0" w:color="auto"/>
              <w:right w:val="single" w:sz="4" w:space="0" w:color="auto"/>
            </w:tcBorders>
            <w:shd w:val="clear" w:color="auto" w:fill="auto"/>
            <w:noWrap/>
            <w:vAlign w:val="bottom"/>
            <w:hideMark/>
          </w:tcPr>
          <w:p w14:paraId="63D307F9" w14:textId="77777777" w:rsidR="004546C7" w:rsidRPr="000A09B4" w:rsidRDefault="004546C7" w:rsidP="0025317F">
            <w:pPr>
              <w:spacing w:after="120"/>
              <w:jc w:val="right"/>
              <w:rPr>
                <w:color w:val="000000"/>
                <w:sz w:val="16"/>
                <w:szCs w:val="16"/>
              </w:rPr>
            </w:pPr>
            <w:r w:rsidRPr="000A09B4">
              <w:rPr>
                <w:color w:val="000000"/>
                <w:sz w:val="16"/>
                <w:szCs w:val="16"/>
              </w:rPr>
              <w:t>995</w:t>
            </w:r>
          </w:p>
        </w:tc>
        <w:tc>
          <w:tcPr>
            <w:tcW w:w="960" w:type="dxa"/>
            <w:tcBorders>
              <w:top w:val="nil"/>
              <w:left w:val="nil"/>
              <w:bottom w:val="single" w:sz="4" w:space="0" w:color="auto"/>
              <w:right w:val="single" w:sz="8" w:space="0" w:color="auto"/>
            </w:tcBorders>
            <w:shd w:val="clear" w:color="auto" w:fill="auto"/>
            <w:noWrap/>
            <w:vAlign w:val="bottom"/>
            <w:hideMark/>
          </w:tcPr>
          <w:p w14:paraId="31E5B838" w14:textId="77777777" w:rsidR="004546C7" w:rsidRPr="000A09B4" w:rsidRDefault="004546C7" w:rsidP="0025317F">
            <w:pPr>
              <w:spacing w:after="120"/>
              <w:jc w:val="right"/>
              <w:rPr>
                <w:color w:val="000000"/>
                <w:sz w:val="16"/>
                <w:szCs w:val="16"/>
              </w:rPr>
            </w:pPr>
            <w:r w:rsidRPr="000A09B4">
              <w:rPr>
                <w:color w:val="000000"/>
                <w:sz w:val="16"/>
                <w:szCs w:val="16"/>
              </w:rPr>
              <w:t>934</w:t>
            </w:r>
          </w:p>
        </w:tc>
        <w:tc>
          <w:tcPr>
            <w:tcW w:w="1060" w:type="dxa"/>
            <w:tcBorders>
              <w:top w:val="nil"/>
              <w:left w:val="nil"/>
              <w:bottom w:val="single" w:sz="4" w:space="0" w:color="auto"/>
              <w:right w:val="single" w:sz="8" w:space="0" w:color="auto"/>
            </w:tcBorders>
            <w:shd w:val="clear" w:color="auto" w:fill="auto"/>
            <w:noWrap/>
            <w:vAlign w:val="bottom"/>
            <w:hideMark/>
          </w:tcPr>
          <w:p w14:paraId="54D9113D"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6772349"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3915DFE"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ACFB52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D64CDB7"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F34C2B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61DD8A5"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7C1A35E0"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AD2154" w14:textId="77777777"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50E45A3F"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3670EB5" w14:textId="77777777" w:rsidR="004546C7" w:rsidRPr="000A09B4" w:rsidRDefault="004546C7" w:rsidP="0025317F">
            <w:pPr>
              <w:spacing w:after="120"/>
              <w:jc w:val="right"/>
              <w:rPr>
                <w:color w:val="000000"/>
                <w:sz w:val="16"/>
                <w:szCs w:val="16"/>
              </w:rPr>
            </w:pPr>
            <w:r w:rsidRPr="000A09B4">
              <w:rPr>
                <w:color w:val="000000"/>
                <w:sz w:val="16"/>
                <w:szCs w:val="16"/>
              </w:rPr>
              <w:t>185</w:t>
            </w:r>
          </w:p>
        </w:tc>
        <w:tc>
          <w:tcPr>
            <w:tcW w:w="960" w:type="dxa"/>
            <w:tcBorders>
              <w:top w:val="nil"/>
              <w:left w:val="nil"/>
              <w:bottom w:val="single" w:sz="4" w:space="0" w:color="auto"/>
              <w:right w:val="single" w:sz="4" w:space="0" w:color="auto"/>
            </w:tcBorders>
            <w:shd w:val="clear" w:color="auto" w:fill="auto"/>
            <w:noWrap/>
            <w:vAlign w:val="bottom"/>
            <w:hideMark/>
          </w:tcPr>
          <w:p w14:paraId="03AC1E35" w14:textId="77777777" w:rsidR="004546C7" w:rsidRPr="000A09B4" w:rsidRDefault="004546C7" w:rsidP="0025317F">
            <w:pPr>
              <w:spacing w:after="120"/>
              <w:jc w:val="right"/>
              <w:rPr>
                <w:color w:val="000000"/>
                <w:sz w:val="16"/>
                <w:szCs w:val="16"/>
              </w:rPr>
            </w:pPr>
            <w:r w:rsidRPr="000A09B4">
              <w:rPr>
                <w:color w:val="000000"/>
                <w:sz w:val="16"/>
                <w:szCs w:val="16"/>
              </w:rPr>
              <w:t>148</w:t>
            </w:r>
          </w:p>
        </w:tc>
        <w:tc>
          <w:tcPr>
            <w:tcW w:w="960" w:type="dxa"/>
            <w:tcBorders>
              <w:top w:val="nil"/>
              <w:left w:val="nil"/>
              <w:bottom w:val="single" w:sz="4" w:space="0" w:color="auto"/>
              <w:right w:val="nil"/>
            </w:tcBorders>
            <w:shd w:val="clear" w:color="auto" w:fill="auto"/>
            <w:noWrap/>
            <w:vAlign w:val="bottom"/>
            <w:hideMark/>
          </w:tcPr>
          <w:p w14:paraId="7D0F92AB" w14:textId="77777777" w:rsidR="004546C7" w:rsidRPr="000A09B4" w:rsidRDefault="004546C7" w:rsidP="0025317F">
            <w:pPr>
              <w:spacing w:after="120"/>
              <w:jc w:val="right"/>
              <w:rPr>
                <w:color w:val="000000"/>
                <w:sz w:val="16"/>
                <w:szCs w:val="16"/>
              </w:rPr>
            </w:pPr>
            <w:r w:rsidRPr="000A09B4">
              <w:rPr>
                <w:color w:val="000000"/>
                <w:sz w:val="16"/>
                <w:szCs w:val="16"/>
              </w:rPr>
              <w:t>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97AABE5" w14:textId="77777777" w:rsidR="004546C7" w:rsidRPr="000A09B4" w:rsidRDefault="004546C7"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8" w:space="0" w:color="auto"/>
            </w:tcBorders>
            <w:shd w:val="clear" w:color="auto" w:fill="auto"/>
            <w:noWrap/>
            <w:vAlign w:val="bottom"/>
            <w:hideMark/>
          </w:tcPr>
          <w:p w14:paraId="5221611C" w14:textId="77777777" w:rsidR="004546C7" w:rsidRPr="000A09B4" w:rsidRDefault="004546C7" w:rsidP="0025317F">
            <w:pPr>
              <w:spacing w:after="120"/>
              <w:jc w:val="right"/>
              <w:rPr>
                <w:color w:val="000000"/>
                <w:sz w:val="16"/>
                <w:szCs w:val="16"/>
              </w:rPr>
            </w:pPr>
            <w:r w:rsidRPr="000A09B4">
              <w:rPr>
                <w:color w:val="000000"/>
                <w:sz w:val="16"/>
                <w:szCs w:val="16"/>
              </w:rPr>
              <w:t>229</w:t>
            </w:r>
          </w:p>
        </w:tc>
        <w:tc>
          <w:tcPr>
            <w:tcW w:w="960" w:type="dxa"/>
            <w:tcBorders>
              <w:top w:val="nil"/>
              <w:left w:val="nil"/>
              <w:bottom w:val="single" w:sz="4" w:space="0" w:color="auto"/>
              <w:right w:val="single" w:sz="4" w:space="0" w:color="auto"/>
            </w:tcBorders>
            <w:shd w:val="clear" w:color="auto" w:fill="auto"/>
            <w:noWrap/>
            <w:vAlign w:val="bottom"/>
            <w:hideMark/>
          </w:tcPr>
          <w:p w14:paraId="65973EBE" w14:textId="77777777" w:rsidR="004546C7" w:rsidRPr="000A09B4" w:rsidRDefault="004546C7" w:rsidP="0025317F">
            <w:pPr>
              <w:spacing w:after="120"/>
              <w:jc w:val="right"/>
              <w:rPr>
                <w:color w:val="000000"/>
                <w:sz w:val="16"/>
                <w:szCs w:val="16"/>
              </w:rPr>
            </w:pPr>
            <w:r w:rsidRPr="000A09B4">
              <w:rPr>
                <w:color w:val="000000"/>
                <w:sz w:val="16"/>
                <w:szCs w:val="16"/>
              </w:rPr>
              <w:t>1001</w:t>
            </w:r>
          </w:p>
        </w:tc>
        <w:tc>
          <w:tcPr>
            <w:tcW w:w="960" w:type="dxa"/>
            <w:tcBorders>
              <w:top w:val="nil"/>
              <w:left w:val="nil"/>
              <w:bottom w:val="single" w:sz="4" w:space="0" w:color="auto"/>
              <w:right w:val="single" w:sz="8" w:space="0" w:color="auto"/>
            </w:tcBorders>
            <w:shd w:val="clear" w:color="auto" w:fill="auto"/>
            <w:noWrap/>
            <w:vAlign w:val="bottom"/>
            <w:hideMark/>
          </w:tcPr>
          <w:p w14:paraId="764EFB7A" w14:textId="77777777" w:rsidR="004546C7" w:rsidRPr="000A09B4" w:rsidRDefault="004546C7" w:rsidP="0025317F">
            <w:pPr>
              <w:spacing w:after="120"/>
              <w:jc w:val="right"/>
              <w:rPr>
                <w:color w:val="000000"/>
                <w:sz w:val="16"/>
                <w:szCs w:val="16"/>
              </w:rPr>
            </w:pPr>
            <w:r w:rsidRPr="000A09B4">
              <w:rPr>
                <w:color w:val="000000"/>
                <w:sz w:val="16"/>
                <w:szCs w:val="16"/>
              </w:rPr>
              <w:t>936</w:t>
            </w:r>
          </w:p>
        </w:tc>
        <w:tc>
          <w:tcPr>
            <w:tcW w:w="1060" w:type="dxa"/>
            <w:tcBorders>
              <w:top w:val="nil"/>
              <w:left w:val="nil"/>
              <w:bottom w:val="single" w:sz="4" w:space="0" w:color="auto"/>
              <w:right w:val="single" w:sz="8" w:space="0" w:color="auto"/>
            </w:tcBorders>
            <w:shd w:val="clear" w:color="auto" w:fill="auto"/>
            <w:noWrap/>
            <w:vAlign w:val="bottom"/>
            <w:hideMark/>
          </w:tcPr>
          <w:p w14:paraId="4F126C35"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0CE14E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D03DD9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858F29A"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75FC46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FFD8D3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2D1E3D16"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6B1396FD"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91DE1F" w14:textId="77777777"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B02F599" w14:textId="77777777" w:rsidR="004546C7" w:rsidRPr="000A09B4" w:rsidRDefault="004546C7" w:rsidP="0025317F">
            <w:pPr>
              <w:spacing w:after="120"/>
              <w:jc w:val="right"/>
              <w:rPr>
                <w:color w:val="000000"/>
                <w:sz w:val="16"/>
                <w:szCs w:val="16"/>
              </w:rPr>
            </w:pPr>
            <w:r w:rsidRPr="000A09B4">
              <w:rPr>
                <w:color w:val="000000"/>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14:paraId="7B94BA1B" w14:textId="77777777" w:rsidR="004546C7" w:rsidRPr="000A09B4" w:rsidRDefault="004546C7" w:rsidP="0025317F">
            <w:pPr>
              <w:spacing w:after="120"/>
              <w:jc w:val="right"/>
              <w:rPr>
                <w:color w:val="000000"/>
                <w:sz w:val="16"/>
                <w:szCs w:val="16"/>
              </w:rPr>
            </w:pPr>
            <w:r w:rsidRPr="000A09B4">
              <w:rPr>
                <w:color w:val="000000"/>
                <w:sz w:val="16"/>
                <w:szCs w:val="16"/>
              </w:rPr>
              <w:t>204</w:t>
            </w:r>
          </w:p>
        </w:tc>
        <w:tc>
          <w:tcPr>
            <w:tcW w:w="960" w:type="dxa"/>
            <w:tcBorders>
              <w:top w:val="nil"/>
              <w:left w:val="nil"/>
              <w:bottom w:val="single" w:sz="4" w:space="0" w:color="auto"/>
              <w:right w:val="single" w:sz="4" w:space="0" w:color="auto"/>
            </w:tcBorders>
            <w:shd w:val="clear" w:color="auto" w:fill="auto"/>
            <w:noWrap/>
            <w:vAlign w:val="bottom"/>
            <w:hideMark/>
          </w:tcPr>
          <w:p w14:paraId="13B4A19C" w14:textId="77777777" w:rsidR="004546C7" w:rsidRPr="000A09B4" w:rsidRDefault="004546C7" w:rsidP="0025317F">
            <w:pPr>
              <w:spacing w:after="120"/>
              <w:jc w:val="right"/>
              <w:rPr>
                <w:color w:val="000000"/>
                <w:sz w:val="16"/>
                <w:szCs w:val="16"/>
              </w:rPr>
            </w:pPr>
            <w:r w:rsidRPr="000A09B4">
              <w:rPr>
                <w:color w:val="000000"/>
                <w:sz w:val="16"/>
                <w:szCs w:val="16"/>
              </w:rPr>
              <w:t>169</w:t>
            </w:r>
          </w:p>
        </w:tc>
        <w:tc>
          <w:tcPr>
            <w:tcW w:w="960" w:type="dxa"/>
            <w:tcBorders>
              <w:top w:val="nil"/>
              <w:left w:val="nil"/>
              <w:bottom w:val="single" w:sz="4" w:space="0" w:color="auto"/>
              <w:right w:val="nil"/>
            </w:tcBorders>
            <w:shd w:val="clear" w:color="auto" w:fill="auto"/>
            <w:noWrap/>
            <w:vAlign w:val="bottom"/>
            <w:hideMark/>
          </w:tcPr>
          <w:p w14:paraId="13A8A4A2" w14:textId="77777777" w:rsidR="004546C7" w:rsidRPr="000A09B4" w:rsidRDefault="004546C7" w:rsidP="0025317F">
            <w:pPr>
              <w:spacing w:after="120"/>
              <w:jc w:val="right"/>
              <w:rPr>
                <w:color w:val="000000"/>
                <w:sz w:val="16"/>
                <w:szCs w:val="16"/>
              </w:rPr>
            </w:pPr>
            <w:r w:rsidRPr="000A09B4">
              <w:rPr>
                <w:color w:val="000000"/>
                <w:sz w:val="16"/>
                <w:szCs w:val="16"/>
              </w:rPr>
              <w:t>17</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C08EDA" w14:textId="77777777" w:rsidR="004546C7" w:rsidRPr="000A09B4" w:rsidRDefault="004546C7" w:rsidP="0025317F">
            <w:pPr>
              <w:spacing w:after="120"/>
              <w:jc w:val="right"/>
              <w:rPr>
                <w:color w:val="000000"/>
                <w:sz w:val="16"/>
                <w:szCs w:val="16"/>
              </w:rPr>
            </w:pPr>
            <w:r w:rsidRPr="000A09B4">
              <w:rPr>
                <w:color w:val="000000"/>
                <w:sz w:val="16"/>
                <w:szCs w:val="16"/>
              </w:rPr>
              <w:t>31</w:t>
            </w:r>
          </w:p>
        </w:tc>
        <w:tc>
          <w:tcPr>
            <w:tcW w:w="960" w:type="dxa"/>
            <w:tcBorders>
              <w:top w:val="nil"/>
              <w:left w:val="nil"/>
              <w:bottom w:val="single" w:sz="4" w:space="0" w:color="auto"/>
              <w:right w:val="single" w:sz="8" w:space="0" w:color="auto"/>
            </w:tcBorders>
            <w:shd w:val="clear" w:color="auto" w:fill="auto"/>
            <w:noWrap/>
            <w:vAlign w:val="bottom"/>
            <w:hideMark/>
          </w:tcPr>
          <w:p w14:paraId="41351D48" w14:textId="77777777" w:rsidR="004546C7" w:rsidRPr="000A09B4" w:rsidRDefault="004546C7" w:rsidP="0025317F">
            <w:pPr>
              <w:spacing w:after="120"/>
              <w:jc w:val="right"/>
              <w:rPr>
                <w:color w:val="000000"/>
                <w:sz w:val="16"/>
                <w:szCs w:val="16"/>
              </w:rPr>
            </w:pPr>
            <w:r w:rsidRPr="000A09B4">
              <w:rPr>
                <w:color w:val="000000"/>
                <w:sz w:val="16"/>
                <w:szCs w:val="16"/>
              </w:rPr>
              <w:t>256</w:t>
            </w:r>
          </w:p>
        </w:tc>
        <w:tc>
          <w:tcPr>
            <w:tcW w:w="960" w:type="dxa"/>
            <w:tcBorders>
              <w:top w:val="nil"/>
              <w:left w:val="nil"/>
              <w:bottom w:val="single" w:sz="4" w:space="0" w:color="auto"/>
              <w:right w:val="single" w:sz="4" w:space="0" w:color="auto"/>
            </w:tcBorders>
            <w:shd w:val="clear" w:color="auto" w:fill="auto"/>
            <w:noWrap/>
            <w:vAlign w:val="bottom"/>
            <w:hideMark/>
          </w:tcPr>
          <w:p w14:paraId="2DB13610" w14:textId="77777777" w:rsidR="004546C7" w:rsidRPr="000A09B4" w:rsidRDefault="004546C7" w:rsidP="0025317F">
            <w:pPr>
              <w:spacing w:after="120"/>
              <w:jc w:val="right"/>
              <w:rPr>
                <w:color w:val="000000"/>
                <w:sz w:val="16"/>
                <w:szCs w:val="16"/>
              </w:rPr>
            </w:pPr>
            <w:r w:rsidRPr="000A09B4">
              <w:rPr>
                <w:color w:val="000000"/>
                <w:sz w:val="16"/>
                <w:szCs w:val="16"/>
              </w:rPr>
              <w:t>1196</w:t>
            </w:r>
          </w:p>
        </w:tc>
        <w:tc>
          <w:tcPr>
            <w:tcW w:w="960" w:type="dxa"/>
            <w:tcBorders>
              <w:top w:val="nil"/>
              <w:left w:val="nil"/>
              <w:bottom w:val="single" w:sz="4" w:space="0" w:color="auto"/>
              <w:right w:val="single" w:sz="8" w:space="0" w:color="auto"/>
            </w:tcBorders>
            <w:shd w:val="clear" w:color="auto" w:fill="auto"/>
            <w:noWrap/>
            <w:vAlign w:val="bottom"/>
            <w:hideMark/>
          </w:tcPr>
          <w:p w14:paraId="0273D4AA" w14:textId="77777777" w:rsidR="004546C7" w:rsidRPr="000A09B4" w:rsidRDefault="004546C7" w:rsidP="0025317F">
            <w:pPr>
              <w:spacing w:after="120"/>
              <w:jc w:val="right"/>
              <w:rPr>
                <w:color w:val="000000"/>
                <w:sz w:val="16"/>
                <w:szCs w:val="16"/>
              </w:rPr>
            </w:pPr>
            <w:r w:rsidRPr="000A09B4">
              <w:rPr>
                <w:color w:val="000000"/>
                <w:sz w:val="16"/>
                <w:szCs w:val="16"/>
              </w:rPr>
              <w:t>1072</w:t>
            </w:r>
          </w:p>
        </w:tc>
        <w:tc>
          <w:tcPr>
            <w:tcW w:w="1060" w:type="dxa"/>
            <w:tcBorders>
              <w:top w:val="nil"/>
              <w:left w:val="nil"/>
              <w:bottom w:val="single" w:sz="4" w:space="0" w:color="auto"/>
              <w:right w:val="single" w:sz="8" w:space="0" w:color="auto"/>
            </w:tcBorders>
            <w:shd w:val="clear" w:color="auto" w:fill="auto"/>
            <w:noWrap/>
            <w:vAlign w:val="bottom"/>
            <w:hideMark/>
          </w:tcPr>
          <w:p w14:paraId="30B230DC"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3F093D1E"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607A8688"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5787F90E"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166A6C46"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BC87946"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24E11C9E"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14:paraId="5206AABB" w14:textId="77777777" w:rsidTr="000A09B4">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9944D96" w14:textId="77777777"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nil"/>
              <w:bottom w:val="nil"/>
              <w:right w:val="nil"/>
            </w:tcBorders>
            <w:shd w:val="clear" w:color="auto" w:fill="auto"/>
            <w:noWrap/>
            <w:vAlign w:val="bottom"/>
            <w:hideMark/>
          </w:tcPr>
          <w:p w14:paraId="7971600F" w14:textId="77777777" w:rsidR="004546C7" w:rsidRPr="000A09B4" w:rsidRDefault="004546C7" w:rsidP="0025317F">
            <w:pPr>
              <w:spacing w:after="120"/>
              <w:jc w:val="right"/>
              <w:rPr>
                <w:i/>
                <w:iCs/>
                <w:color w:val="000000"/>
                <w:sz w:val="16"/>
                <w:szCs w:val="16"/>
              </w:rPr>
            </w:pPr>
            <w:r w:rsidRPr="000A09B4">
              <w:rPr>
                <w:i/>
                <w:iCs/>
                <w:color w:val="000000"/>
                <w:sz w:val="16"/>
                <w:szCs w:val="16"/>
              </w:rPr>
              <w:t>21</w:t>
            </w:r>
          </w:p>
        </w:tc>
        <w:tc>
          <w:tcPr>
            <w:tcW w:w="960" w:type="dxa"/>
            <w:tcBorders>
              <w:top w:val="nil"/>
              <w:left w:val="nil"/>
              <w:bottom w:val="nil"/>
              <w:right w:val="nil"/>
            </w:tcBorders>
            <w:shd w:val="clear" w:color="auto" w:fill="auto"/>
            <w:noWrap/>
            <w:vAlign w:val="bottom"/>
            <w:hideMark/>
          </w:tcPr>
          <w:p w14:paraId="0D7F2739" w14:textId="77777777" w:rsidR="004546C7" w:rsidRPr="000A09B4" w:rsidRDefault="004546C7" w:rsidP="0025317F">
            <w:pPr>
              <w:spacing w:after="120"/>
              <w:jc w:val="right"/>
              <w:rPr>
                <w:i/>
                <w:iCs/>
                <w:color w:val="000000"/>
                <w:sz w:val="16"/>
                <w:szCs w:val="16"/>
              </w:rPr>
            </w:pPr>
            <w:r w:rsidRPr="000A09B4">
              <w:rPr>
                <w:i/>
                <w:iCs/>
                <w:color w:val="000000"/>
                <w:sz w:val="16"/>
                <w:szCs w:val="16"/>
              </w:rPr>
              <w:t>1360</w:t>
            </w:r>
          </w:p>
        </w:tc>
        <w:tc>
          <w:tcPr>
            <w:tcW w:w="960" w:type="dxa"/>
            <w:tcBorders>
              <w:top w:val="nil"/>
              <w:left w:val="nil"/>
              <w:bottom w:val="nil"/>
              <w:right w:val="nil"/>
            </w:tcBorders>
            <w:shd w:val="clear" w:color="auto" w:fill="auto"/>
            <w:noWrap/>
            <w:vAlign w:val="bottom"/>
            <w:hideMark/>
          </w:tcPr>
          <w:p w14:paraId="62106E47" w14:textId="77777777" w:rsidR="004546C7" w:rsidRPr="000A09B4" w:rsidRDefault="004546C7" w:rsidP="0025317F">
            <w:pPr>
              <w:spacing w:after="120"/>
              <w:jc w:val="right"/>
              <w:rPr>
                <w:i/>
                <w:iCs/>
                <w:color w:val="000000"/>
                <w:sz w:val="16"/>
                <w:szCs w:val="16"/>
              </w:rPr>
            </w:pPr>
            <w:r w:rsidRPr="000A09B4">
              <w:rPr>
                <w:i/>
                <w:iCs/>
                <w:color w:val="000000"/>
                <w:sz w:val="16"/>
                <w:szCs w:val="16"/>
              </w:rPr>
              <w:t>1142</w:t>
            </w:r>
          </w:p>
        </w:tc>
        <w:tc>
          <w:tcPr>
            <w:tcW w:w="960" w:type="dxa"/>
            <w:tcBorders>
              <w:top w:val="nil"/>
              <w:left w:val="nil"/>
              <w:bottom w:val="nil"/>
              <w:right w:val="nil"/>
            </w:tcBorders>
            <w:shd w:val="clear" w:color="auto" w:fill="auto"/>
            <w:noWrap/>
            <w:vAlign w:val="bottom"/>
            <w:hideMark/>
          </w:tcPr>
          <w:p w14:paraId="2B6378F4" w14:textId="77777777" w:rsidR="004546C7" w:rsidRPr="000A09B4" w:rsidRDefault="004546C7" w:rsidP="0025317F">
            <w:pPr>
              <w:spacing w:after="120"/>
              <w:jc w:val="right"/>
              <w:rPr>
                <w:i/>
                <w:iCs/>
                <w:color w:val="000000"/>
                <w:sz w:val="16"/>
                <w:szCs w:val="16"/>
              </w:rPr>
            </w:pPr>
            <w:r w:rsidRPr="000A09B4">
              <w:rPr>
                <w:i/>
                <w:iCs/>
                <w:color w:val="000000"/>
                <w:sz w:val="16"/>
                <w:szCs w:val="16"/>
              </w:rPr>
              <w:t>1275</w:t>
            </w:r>
          </w:p>
        </w:tc>
        <w:tc>
          <w:tcPr>
            <w:tcW w:w="960" w:type="dxa"/>
            <w:tcBorders>
              <w:top w:val="nil"/>
              <w:left w:val="single" w:sz="8" w:space="0" w:color="auto"/>
              <w:bottom w:val="nil"/>
              <w:right w:val="nil"/>
            </w:tcBorders>
            <w:shd w:val="clear" w:color="auto" w:fill="auto"/>
            <w:noWrap/>
            <w:vAlign w:val="bottom"/>
            <w:hideMark/>
          </w:tcPr>
          <w:p w14:paraId="2223F658" w14:textId="77777777" w:rsidR="004546C7" w:rsidRPr="000A09B4" w:rsidRDefault="004546C7" w:rsidP="0025317F">
            <w:pPr>
              <w:spacing w:after="120"/>
              <w:jc w:val="right"/>
              <w:rPr>
                <w:i/>
                <w:iCs/>
                <w:color w:val="000000"/>
                <w:sz w:val="16"/>
                <w:szCs w:val="16"/>
              </w:rPr>
            </w:pPr>
            <w:r w:rsidRPr="000A09B4">
              <w:rPr>
                <w:i/>
                <w:iCs/>
                <w:color w:val="000000"/>
                <w:sz w:val="16"/>
                <w:szCs w:val="16"/>
              </w:rPr>
              <w:t>299</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58AE4F4E" w14:textId="77777777" w:rsidR="004546C7" w:rsidRPr="000A09B4" w:rsidRDefault="004546C7" w:rsidP="0025317F">
            <w:pPr>
              <w:spacing w:after="120"/>
              <w:jc w:val="right"/>
              <w:rPr>
                <w:i/>
                <w:iCs/>
                <w:color w:val="000000"/>
                <w:sz w:val="16"/>
                <w:szCs w:val="16"/>
              </w:rPr>
            </w:pPr>
            <w:r w:rsidRPr="000A09B4">
              <w:rPr>
                <w:i/>
                <w:iCs/>
                <w:color w:val="000000"/>
                <w:sz w:val="16"/>
                <w:szCs w:val="16"/>
              </w:rPr>
              <w:t>1680</w:t>
            </w:r>
          </w:p>
        </w:tc>
        <w:tc>
          <w:tcPr>
            <w:tcW w:w="960" w:type="dxa"/>
            <w:tcBorders>
              <w:top w:val="nil"/>
              <w:left w:val="nil"/>
              <w:bottom w:val="single" w:sz="4" w:space="0" w:color="auto"/>
              <w:right w:val="nil"/>
            </w:tcBorders>
            <w:shd w:val="clear" w:color="auto" w:fill="auto"/>
            <w:noWrap/>
            <w:vAlign w:val="bottom"/>
            <w:hideMark/>
          </w:tcPr>
          <w:p w14:paraId="32254C29" w14:textId="77777777" w:rsidR="004546C7" w:rsidRPr="000A09B4" w:rsidRDefault="004546C7" w:rsidP="0025317F">
            <w:pPr>
              <w:spacing w:after="120"/>
              <w:jc w:val="right"/>
              <w:rPr>
                <w:i/>
                <w:iCs/>
                <w:color w:val="000000"/>
                <w:sz w:val="16"/>
                <w:szCs w:val="16"/>
              </w:rPr>
            </w:pPr>
            <w:r w:rsidRPr="000A09B4">
              <w:rPr>
                <w:i/>
                <w:iCs/>
                <w:color w:val="000000"/>
                <w:sz w:val="16"/>
                <w:szCs w:val="16"/>
              </w:rPr>
              <w:t>8413</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5BE79F27" w14:textId="77777777" w:rsidR="004546C7" w:rsidRPr="000A09B4" w:rsidRDefault="004546C7" w:rsidP="0025317F">
            <w:pPr>
              <w:spacing w:after="120"/>
              <w:jc w:val="right"/>
              <w:rPr>
                <w:i/>
                <w:iCs/>
                <w:color w:val="000000"/>
                <w:sz w:val="16"/>
                <w:szCs w:val="16"/>
              </w:rPr>
            </w:pPr>
            <w:r w:rsidRPr="000A09B4">
              <w:rPr>
                <w:i/>
                <w:iCs/>
                <w:color w:val="000000"/>
                <w:sz w:val="16"/>
                <w:szCs w:val="16"/>
              </w:rPr>
              <w:t>7972</w:t>
            </w:r>
          </w:p>
        </w:tc>
        <w:tc>
          <w:tcPr>
            <w:tcW w:w="1060" w:type="dxa"/>
            <w:tcBorders>
              <w:top w:val="nil"/>
              <w:left w:val="nil"/>
              <w:bottom w:val="nil"/>
              <w:right w:val="nil"/>
            </w:tcBorders>
            <w:shd w:val="clear" w:color="auto" w:fill="auto"/>
            <w:noWrap/>
            <w:vAlign w:val="bottom"/>
            <w:hideMark/>
          </w:tcPr>
          <w:p w14:paraId="5FD18856" w14:textId="77777777" w:rsidR="004546C7" w:rsidRPr="000A09B4" w:rsidRDefault="004546C7" w:rsidP="0025317F">
            <w:pPr>
              <w:spacing w:after="120"/>
              <w:jc w:val="right"/>
              <w:rPr>
                <w:i/>
                <w:iCs/>
                <w:color w:val="000000"/>
                <w:sz w:val="16"/>
                <w:szCs w:val="16"/>
              </w:rPr>
            </w:pPr>
            <w:r w:rsidRPr="000A09B4">
              <w:rPr>
                <w:i/>
                <w:iCs/>
                <w:color w:val="000000"/>
                <w:sz w:val="16"/>
                <w:szCs w:val="16"/>
              </w:rPr>
              <w:t>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683E09"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E209D3D"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343CE8F4" w14:textId="77777777"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1FC1B089"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14:paraId="649E2DB7" w14:textId="77777777"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34CBD4B" w14:textId="77777777" w:rsidR="004546C7" w:rsidRPr="000A09B4" w:rsidRDefault="004546C7" w:rsidP="0025317F">
            <w:pPr>
              <w:spacing w:after="120"/>
              <w:jc w:val="right"/>
              <w:rPr>
                <w:i/>
                <w:iCs/>
                <w:color w:val="000000"/>
                <w:sz w:val="16"/>
                <w:szCs w:val="16"/>
              </w:rPr>
            </w:pPr>
            <w:r w:rsidRPr="000A09B4">
              <w:rPr>
                <w:i/>
                <w:iCs/>
                <w:color w:val="000000"/>
                <w:sz w:val="16"/>
                <w:szCs w:val="16"/>
              </w:rPr>
              <w:t>2</w:t>
            </w:r>
          </w:p>
        </w:tc>
      </w:tr>
    </w:tbl>
    <w:p w14:paraId="722741DD" w14:textId="77777777" w:rsidR="002150CE" w:rsidRDefault="002150CE" w:rsidP="0025317F">
      <w:pPr>
        <w:spacing w:after="120"/>
        <w:rPr>
          <w:sz w:val="24"/>
          <w:szCs w:val="24"/>
        </w:rPr>
      </w:pPr>
    </w:p>
    <w:p w14:paraId="4C99352D" w14:textId="77777777" w:rsidR="004F5934" w:rsidRDefault="004F5934">
      <w:pPr>
        <w:widowControl/>
        <w:adjustRightInd/>
        <w:spacing w:after="160" w:line="259" w:lineRule="auto"/>
        <w:jc w:val="left"/>
        <w:textAlignment w:val="auto"/>
        <w:rPr>
          <w:sz w:val="24"/>
          <w:szCs w:val="24"/>
        </w:rPr>
      </w:pPr>
      <w:r>
        <w:rPr>
          <w:sz w:val="24"/>
          <w:szCs w:val="24"/>
        </w:rPr>
        <w:br w:type="page"/>
      </w:r>
    </w:p>
    <w:p w14:paraId="64D0A285" w14:textId="1FC11040" w:rsidR="004546C7" w:rsidRPr="00327DAE" w:rsidRDefault="002150CE" w:rsidP="002150CE">
      <w:pPr>
        <w:spacing w:after="120"/>
        <w:ind w:firstLine="720"/>
        <w:rPr>
          <w:sz w:val="24"/>
          <w:szCs w:val="24"/>
        </w:rPr>
      </w:pPr>
      <w:r w:rsidRPr="00327DAE">
        <w:rPr>
          <w:sz w:val="24"/>
          <w:szCs w:val="24"/>
        </w:rPr>
        <w:lastRenderedPageBreak/>
        <w:t xml:space="preserve">Tiesnese </w:t>
      </w:r>
      <w:r>
        <w:rPr>
          <w:sz w:val="24"/>
          <w:szCs w:val="24"/>
        </w:rPr>
        <w:t>I. </w:t>
      </w:r>
      <w:proofErr w:type="spellStart"/>
      <w:r w:rsidRPr="00327DAE">
        <w:rPr>
          <w:sz w:val="24"/>
          <w:szCs w:val="24"/>
        </w:rPr>
        <w:t>Krēvica</w:t>
      </w:r>
      <w:proofErr w:type="spellEnd"/>
    </w:p>
    <w:tbl>
      <w:tblPr>
        <w:tblpPr w:leftFromText="180" w:rightFromText="180" w:vertAnchor="text" w:horzAnchor="page" w:tblpX="721" w:tblpY="144"/>
        <w:tblW w:w="15466" w:type="dxa"/>
        <w:tblLook w:val="04A0" w:firstRow="1" w:lastRow="0" w:firstColumn="1" w:lastColumn="0" w:noHBand="0" w:noVBand="1"/>
      </w:tblPr>
      <w:tblGrid>
        <w:gridCol w:w="960"/>
        <w:gridCol w:w="960"/>
        <w:gridCol w:w="960"/>
        <w:gridCol w:w="960"/>
        <w:gridCol w:w="960"/>
        <w:gridCol w:w="960"/>
        <w:gridCol w:w="960"/>
        <w:gridCol w:w="960"/>
        <w:gridCol w:w="960"/>
        <w:gridCol w:w="1060"/>
        <w:gridCol w:w="960"/>
        <w:gridCol w:w="963"/>
        <w:gridCol w:w="960"/>
        <w:gridCol w:w="963"/>
        <w:gridCol w:w="960"/>
        <w:gridCol w:w="960"/>
      </w:tblGrid>
      <w:tr w:rsidR="000A09B4" w:rsidRPr="000A09B4" w14:paraId="2129D3CE" w14:textId="77777777" w:rsidTr="000A09B4">
        <w:trPr>
          <w:trHeight w:val="315"/>
        </w:trPr>
        <w:tc>
          <w:tcPr>
            <w:tcW w:w="960" w:type="dxa"/>
            <w:tcBorders>
              <w:top w:val="nil"/>
              <w:left w:val="nil"/>
              <w:bottom w:val="nil"/>
              <w:right w:val="nil"/>
            </w:tcBorders>
            <w:shd w:val="clear" w:color="auto" w:fill="auto"/>
            <w:noWrap/>
            <w:vAlign w:val="bottom"/>
            <w:hideMark/>
          </w:tcPr>
          <w:p w14:paraId="15C85D5C" w14:textId="77777777" w:rsidR="000A09B4" w:rsidRPr="000A09B4" w:rsidRDefault="000A09B4" w:rsidP="0025317F">
            <w:pPr>
              <w:spacing w:after="120"/>
              <w:rPr>
                <w:sz w:val="16"/>
                <w:szCs w:val="16"/>
              </w:rPr>
            </w:pPr>
          </w:p>
        </w:tc>
        <w:tc>
          <w:tcPr>
            <w:tcW w:w="4800" w:type="dxa"/>
            <w:gridSpan w:val="5"/>
            <w:tcBorders>
              <w:top w:val="nil"/>
              <w:left w:val="nil"/>
              <w:bottom w:val="nil"/>
              <w:right w:val="nil"/>
            </w:tcBorders>
            <w:shd w:val="clear" w:color="auto" w:fill="auto"/>
            <w:noWrap/>
            <w:vAlign w:val="bottom"/>
            <w:hideMark/>
          </w:tcPr>
          <w:p w14:paraId="42B25196" w14:textId="77777777" w:rsidR="000A09B4" w:rsidRPr="000A09B4" w:rsidRDefault="000A09B4" w:rsidP="0025317F">
            <w:pPr>
              <w:spacing w:after="120"/>
              <w:rPr>
                <w:sz w:val="16"/>
                <w:szCs w:val="16"/>
              </w:rPr>
            </w:pPr>
          </w:p>
        </w:tc>
        <w:tc>
          <w:tcPr>
            <w:tcW w:w="960" w:type="dxa"/>
            <w:tcBorders>
              <w:top w:val="nil"/>
              <w:left w:val="nil"/>
              <w:bottom w:val="nil"/>
              <w:right w:val="nil"/>
            </w:tcBorders>
            <w:shd w:val="clear" w:color="auto" w:fill="auto"/>
            <w:noWrap/>
            <w:vAlign w:val="bottom"/>
            <w:hideMark/>
          </w:tcPr>
          <w:p w14:paraId="4DF0C60D" w14:textId="77777777" w:rsidR="000A09B4" w:rsidRPr="000A09B4" w:rsidRDefault="000A09B4"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28EAC368" w14:textId="77777777" w:rsidR="000A09B4" w:rsidRPr="000A09B4" w:rsidRDefault="000A09B4" w:rsidP="0025317F">
            <w:pPr>
              <w:spacing w:after="120"/>
              <w:jc w:val="center"/>
              <w:rPr>
                <w:sz w:val="16"/>
                <w:szCs w:val="16"/>
              </w:rPr>
            </w:pPr>
          </w:p>
        </w:tc>
        <w:tc>
          <w:tcPr>
            <w:tcW w:w="960" w:type="dxa"/>
            <w:tcBorders>
              <w:top w:val="nil"/>
              <w:left w:val="nil"/>
              <w:bottom w:val="nil"/>
              <w:right w:val="nil"/>
            </w:tcBorders>
            <w:shd w:val="clear" w:color="auto" w:fill="auto"/>
            <w:vAlign w:val="center"/>
            <w:hideMark/>
          </w:tcPr>
          <w:p w14:paraId="515728B9" w14:textId="77777777" w:rsidR="000A09B4" w:rsidRPr="000A09B4" w:rsidRDefault="000A09B4" w:rsidP="0025317F">
            <w:pPr>
              <w:spacing w:after="120"/>
              <w:jc w:val="center"/>
              <w:rPr>
                <w:sz w:val="16"/>
                <w:szCs w:val="16"/>
              </w:rPr>
            </w:pPr>
          </w:p>
        </w:tc>
        <w:tc>
          <w:tcPr>
            <w:tcW w:w="1060" w:type="dxa"/>
            <w:tcBorders>
              <w:top w:val="nil"/>
              <w:left w:val="nil"/>
              <w:bottom w:val="nil"/>
              <w:right w:val="nil"/>
            </w:tcBorders>
            <w:shd w:val="clear" w:color="auto" w:fill="auto"/>
            <w:vAlign w:val="center"/>
            <w:hideMark/>
          </w:tcPr>
          <w:p w14:paraId="17C2270A" w14:textId="77777777" w:rsidR="000A09B4" w:rsidRPr="000A09B4" w:rsidRDefault="000A09B4" w:rsidP="0025317F">
            <w:pPr>
              <w:spacing w:after="120"/>
              <w:jc w:val="center"/>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605858" w14:textId="77777777" w:rsidR="000A09B4" w:rsidRPr="000A09B4" w:rsidRDefault="000A09B4"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0A09B4" w:rsidRPr="000A09B4" w14:paraId="575DB035" w14:textId="77777777" w:rsidTr="000A09B4">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5CAF4347" w14:textId="77777777" w:rsidR="000A09B4" w:rsidRPr="000A09B4" w:rsidRDefault="000A09B4" w:rsidP="0025317F">
            <w:pPr>
              <w:spacing w:after="120"/>
              <w:rPr>
                <w:color w:val="000000"/>
                <w:sz w:val="16"/>
                <w:szCs w:val="16"/>
              </w:rPr>
            </w:pPr>
            <w:r w:rsidRPr="000A09B4">
              <w:rPr>
                <w:color w:val="000000"/>
                <w:sz w:val="16"/>
                <w:szCs w:val="16"/>
              </w:rPr>
              <w:t>Gads</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B4D289" w14:textId="77777777" w:rsidR="000A09B4" w:rsidRPr="000A09B4" w:rsidRDefault="000A09B4"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FDA026" w14:textId="77777777" w:rsidR="000A09B4" w:rsidRPr="000A09B4" w:rsidRDefault="000A09B4"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DF58522" w14:textId="77777777" w:rsidR="000A09B4" w:rsidRPr="000A09B4" w:rsidRDefault="000A09B4"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14:paraId="0F012D17" w14:textId="77777777" w:rsidR="000A09B4" w:rsidRPr="000A09B4" w:rsidRDefault="000A09B4"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2B86A0" w14:textId="77777777" w:rsidR="000A09B4" w:rsidRPr="000A09B4" w:rsidRDefault="000A09B4"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nil"/>
            </w:tcBorders>
            <w:shd w:val="clear" w:color="auto" w:fill="auto"/>
            <w:vAlign w:val="center"/>
            <w:hideMark/>
          </w:tcPr>
          <w:p w14:paraId="0FD8759B" w14:textId="77777777" w:rsidR="000A09B4" w:rsidRPr="000A09B4" w:rsidRDefault="000A09B4"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single" w:sz="8" w:space="0" w:color="auto"/>
              <w:bottom w:val="single" w:sz="4" w:space="0" w:color="auto"/>
              <w:right w:val="nil"/>
            </w:tcBorders>
            <w:shd w:val="clear" w:color="auto" w:fill="auto"/>
            <w:vAlign w:val="center"/>
            <w:hideMark/>
          </w:tcPr>
          <w:p w14:paraId="7E2467BD" w14:textId="77777777" w:rsidR="000A09B4" w:rsidRPr="000A09B4" w:rsidRDefault="000A09B4" w:rsidP="0025317F">
            <w:pPr>
              <w:spacing w:after="120"/>
              <w:rPr>
                <w:color w:val="000000"/>
                <w:sz w:val="16"/>
                <w:szCs w:val="16"/>
              </w:rPr>
            </w:pPr>
            <w:r w:rsidRPr="000A09B4">
              <w:rPr>
                <w:color w:val="000000"/>
                <w:sz w:val="16"/>
                <w:szCs w:val="16"/>
              </w:rPr>
              <w:t>Nolēmumi (kopā)</w:t>
            </w:r>
          </w:p>
        </w:tc>
        <w:tc>
          <w:tcPr>
            <w:tcW w:w="9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5ACB2D9" w14:textId="77777777" w:rsidR="000A09B4" w:rsidRPr="000A09B4" w:rsidRDefault="000A09B4" w:rsidP="0025317F">
            <w:pPr>
              <w:spacing w:after="120"/>
              <w:rPr>
                <w:color w:val="000000"/>
                <w:sz w:val="16"/>
                <w:szCs w:val="16"/>
              </w:rPr>
            </w:pPr>
            <w:r w:rsidRPr="000A09B4">
              <w:rPr>
                <w:color w:val="000000"/>
                <w:sz w:val="16"/>
                <w:szCs w:val="16"/>
              </w:rPr>
              <w:t>T.sk. nolēmumi civillietās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D560BF7" w14:textId="77777777" w:rsidR="000A09B4" w:rsidRPr="000A09B4" w:rsidRDefault="000A09B4" w:rsidP="0025317F">
            <w:pPr>
              <w:spacing w:after="120"/>
              <w:rPr>
                <w:color w:val="000000"/>
                <w:sz w:val="16"/>
                <w:szCs w:val="16"/>
              </w:rPr>
            </w:pPr>
            <w:r w:rsidRPr="000A09B4">
              <w:rPr>
                <w:color w:val="000000"/>
                <w:sz w:val="16"/>
                <w:szCs w:val="16"/>
              </w:rPr>
              <w:t>Kasācijas instancē saņemto pārsūdzēto noprotestēto nolēmumu skaits</w:t>
            </w:r>
          </w:p>
        </w:tc>
        <w:tc>
          <w:tcPr>
            <w:tcW w:w="960" w:type="dxa"/>
            <w:tcBorders>
              <w:top w:val="nil"/>
              <w:left w:val="single" w:sz="8" w:space="0" w:color="auto"/>
              <w:bottom w:val="nil"/>
              <w:right w:val="nil"/>
            </w:tcBorders>
            <w:shd w:val="clear" w:color="auto" w:fill="auto"/>
            <w:vAlign w:val="center"/>
            <w:hideMark/>
          </w:tcPr>
          <w:p w14:paraId="4915FA77" w14:textId="77777777" w:rsidR="000A09B4" w:rsidRPr="000A09B4" w:rsidRDefault="000A09B4"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14:paraId="6B368B1C" w14:textId="77777777" w:rsidR="000A09B4" w:rsidRPr="000A09B4" w:rsidRDefault="000A09B4" w:rsidP="0025317F">
            <w:pPr>
              <w:spacing w:after="120"/>
              <w:rPr>
                <w:color w:val="000000"/>
                <w:sz w:val="16"/>
                <w:szCs w:val="16"/>
              </w:rPr>
            </w:pPr>
            <w:r w:rsidRPr="000A09B4">
              <w:rPr>
                <w:color w:val="000000"/>
                <w:sz w:val="16"/>
                <w:szCs w:val="16"/>
              </w:rPr>
              <w:t>Spriedums atcelts pilnīgi</w:t>
            </w:r>
            <w:proofErr w:type="gramStart"/>
            <w:r w:rsidRPr="000A09B4">
              <w:rPr>
                <w:color w:val="000000"/>
                <w:sz w:val="16"/>
                <w:szCs w:val="16"/>
              </w:rPr>
              <w:t xml:space="preserve"> un</w:t>
            </w:r>
            <w:proofErr w:type="gramEnd"/>
            <w:r w:rsidRPr="000A09B4">
              <w:rPr>
                <w:color w:val="000000"/>
                <w:sz w:val="16"/>
                <w:szCs w:val="16"/>
              </w:rPr>
              <w:t xml:space="preserve"> lieta nosūtīta jaunai izskatīšanai</w:t>
            </w:r>
          </w:p>
        </w:tc>
        <w:tc>
          <w:tcPr>
            <w:tcW w:w="960" w:type="dxa"/>
            <w:tcBorders>
              <w:top w:val="nil"/>
              <w:left w:val="nil"/>
              <w:bottom w:val="nil"/>
              <w:right w:val="single" w:sz="4" w:space="0" w:color="auto"/>
            </w:tcBorders>
            <w:shd w:val="clear" w:color="auto" w:fill="auto"/>
            <w:vAlign w:val="center"/>
            <w:hideMark/>
          </w:tcPr>
          <w:p w14:paraId="26838FE2" w14:textId="77777777" w:rsidR="000A09B4" w:rsidRPr="000A09B4" w:rsidRDefault="000A09B4"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14:paraId="20339B5C" w14:textId="77777777" w:rsidR="000A09B4" w:rsidRPr="000A09B4" w:rsidRDefault="000A09B4" w:rsidP="0025317F">
            <w:pPr>
              <w:spacing w:after="120"/>
              <w:rPr>
                <w:color w:val="000000"/>
                <w:sz w:val="16"/>
                <w:szCs w:val="16"/>
              </w:rPr>
            </w:pPr>
            <w:r w:rsidRPr="000A09B4">
              <w:rPr>
                <w:color w:val="000000"/>
                <w:sz w:val="16"/>
                <w:szCs w:val="16"/>
              </w:rPr>
              <w:t>Lēmums atcelts pilnīgi</w:t>
            </w:r>
            <w:proofErr w:type="gramStart"/>
            <w:r w:rsidRPr="000A09B4">
              <w:rPr>
                <w:color w:val="000000"/>
                <w:sz w:val="16"/>
                <w:szCs w:val="16"/>
              </w:rPr>
              <w:t xml:space="preserve"> un</w:t>
            </w:r>
            <w:proofErr w:type="gramEnd"/>
            <w:r w:rsidRPr="000A09B4">
              <w:rPr>
                <w:color w:val="000000"/>
                <w:sz w:val="16"/>
                <w:szCs w:val="16"/>
              </w:rPr>
              <w:t xml:space="preserve">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14:paraId="76DBCC1F" w14:textId="77777777" w:rsidR="000A09B4" w:rsidRPr="000A09B4" w:rsidRDefault="000A09B4"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14:paraId="6932A7D6" w14:textId="77777777" w:rsidR="000A09B4" w:rsidRPr="000A09B4" w:rsidRDefault="000A09B4" w:rsidP="0025317F">
            <w:pPr>
              <w:spacing w:after="120"/>
              <w:rPr>
                <w:color w:val="000000"/>
                <w:sz w:val="16"/>
                <w:szCs w:val="16"/>
              </w:rPr>
            </w:pPr>
            <w:r w:rsidRPr="000A09B4">
              <w:rPr>
                <w:color w:val="000000"/>
                <w:sz w:val="16"/>
                <w:szCs w:val="16"/>
              </w:rPr>
              <w:t>Kasācijas tiesvedība izbeigta</w:t>
            </w:r>
          </w:p>
        </w:tc>
      </w:tr>
      <w:tr w:rsidR="000A09B4" w:rsidRPr="000A09B4" w14:paraId="646380A6"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03DB792" w14:textId="77777777" w:rsidR="000A09B4" w:rsidRPr="000A09B4" w:rsidRDefault="000A09B4" w:rsidP="0025317F">
            <w:pPr>
              <w:spacing w:after="120"/>
              <w:rPr>
                <w:color w:val="000000"/>
                <w:sz w:val="16"/>
                <w:szCs w:val="16"/>
              </w:rPr>
            </w:pPr>
            <w:r w:rsidRPr="000A09B4">
              <w:rPr>
                <w:color w:val="000000"/>
                <w:sz w:val="16"/>
                <w:szCs w:val="16"/>
              </w:rPr>
              <w:t>2008.</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AB83F79" w14:textId="77777777"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967B9DC" w14:textId="77777777" w:rsidR="000A09B4" w:rsidRPr="000A09B4" w:rsidRDefault="000A09B4" w:rsidP="0025317F">
            <w:pPr>
              <w:spacing w:after="120"/>
              <w:jc w:val="right"/>
              <w:rPr>
                <w:color w:val="000000"/>
                <w:sz w:val="16"/>
                <w:szCs w:val="16"/>
              </w:rPr>
            </w:pPr>
            <w:r w:rsidRPr="000A09B4">
              <w:rPr>
                <w:color w:val="000000"/>
                <w:sz w:val="16"/>
                <w:szCs w:val="16"/>
              </w:rPr>
              <w:t>75</w:t>
            </w:r>
          </w:p>
        </w:tc>
        <w:tc>
          <w:tcPr>
            <w:tcW w:w="960" w:type="dxa"/>
            <w:tcBorders>
              <w:top w:val="nil"/>
              <w:left w:val="nil"/>
              <w:bottom w:val="single" w:sz="4" w:space="0" w:color="auto"/>
              <w:right w:val="single" w:sz="4" w:space="0" w:color="auto"/>
            </w:tcBorders>
            <w:shd w:val="clear" w:color="auto" w:fill="auto"/>
            <w:noWrap/>
            <w:vAlign w:val="bottom"/>
            <w:hideMark/>
          </w:tcPr>
          <w:p w14:paraId="0B51E98B" w14:textId="77777777" w:rsidR="000A09B4" w:rsidRPr="000A09B4" w:rsidRDefault="000A09B4" w:rsidP="0025317F">
            <w:pPr>
              <w:spacing w:after="120"/>
              <w:jc w:val="right"/>
              <w:rPr>
                <w:color w:val="000000"/>
                <w:sz w:val="16"/>
                <w:szCs w:val="16"/>
              </w:rPr>
            </w:pPr>
            <w:r w:rsidRPr="000A09B4">
              <w:rPr>
                <w:color w:val="000000"/>
                <w:sz w:val="16"/>
                <w:szCs w:val="16"/>
              </w:rPr>
              <w:t>52</w:t>
            </w:r>
          </w:p>
        </w:tc>
        <w:tc>
          <w:tcPr>
            <w:tcW w:w="960" w:type="dxa"/>
            <w:tcBorders>
              <w:top w:val="nil"/>
              <w:left w:val="nil"/>
              <w:bottom w:val="single" w:sz="4" w:space="0" w:color="auto"/>
              <w:right w:val="nil"/>
            </w:tcBorders>
            <w:shd w:val="clear" w:color="auto" w:fill="auto"/>
            <w:noWrap/>
            <w:vAlign w:val="bottom"/>
            <w:hideMark/>
          </w:tcPr>
          <w:p w14:paraId="60792AF2" w14:textId="77777777" w:rsidR="000A09B4" w:rsidRPr="000A09B4" w:rsidRDefault="000A09B4" w:rsidP="0025317F">
            <w:pPr>
              <w:spacing w:after="120"/>
              <w:jc w:val="right"/>
              <w:rPr>
                <w:color w:val="000000"/>
                <w:sz w:val="16"/>
                <w:szCs w:val="16"/>
              </w:rPr>
            </w:pPr>
            <w:r w:rsidRPr="000A09B4">
              <w:rPr>
                <w:color w:val="000000"/>
                <w:sz w:val="16"/>
                <w:szCs w:val="16"/>
              </w:rPr>
              <w:t>153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371819F"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54868654" w14:textId="77777777" w:rsidR="000A09B4" w:rsidRPr="000A09B4" w:rsidRDefault="000A09B4"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nil"/>
            </w:tcBorders>
            <w:shd w:val="clear" w:color="auto" w:fill="auto"/>
            <w:noWrap/>
            <w:vAlign w:val="bottom"/>
            <w:hideMark/>
          </w:tcPr>
          <w:p w14:paraId="47DC2EFD" w14:textId="77777777" w:rsidR="000A09B4" w:rsidRPr="000A09B4" w:rsidRDefault="000A09B4" w:rsidP="0025317F">
            <w:pPr>
              <w:spacing w:after="120"/>
              <w:jc w:val="right"/>
              <w:rPr>
                <w:color w:val="000000"/>
                <w:sz w:val="16"/>
                <w:szCs w:val="16"/>
              </w:rPr>
            </w:pPr>
            <w:r w:rsidRPr="000A09B4">
              <w:rPr>
                <w:color w:val="000000"/>
                <w:sz w:val="16"/>
                <w:szCs w:val="16"/>
              </w:rPr>
              <w:t>689</w:t>
            </w:r>
          </w:p>
        </w:tc>
        <w:tc>
          <w:tcPr>
            <w:tcW w:w="960" w:type="dxa"/>
            <w:tcBorders>
              <w:top w:val="nil"/>
              <w:left w:val="single" w:sz="4" w:space="0" w:color="auto"/>
              <w:bottom w:val="single" w:sz="4" w:space="0" w:color="auto"/>
              <w:right w:val="nil"/>
            </w:tcBorders>
            <w:shd w:val="clear" w:color="auto" w:fill="auto"/>
            <w:noWrap/>
            <w:vAlign w:val="bottom"/>
            <w:hideMark/>
          </w:tcPr>
          <w:p w14:paraId="65037E05" w14:textId="77777777" w:rsidR="000A09B4" w:rsidRPr="000A09B4" w:rsidRDefault="000A09B4" w:rsidP="0025317F">
            <w:pPr>
              <w:spacing w:after="120"/>
              <w:jc w:val="right"/>
              <w:rPr>
                <w:color w:val="000000"/>
                <w:sz w:val="16"/>
                <w:szCs w:val="16"/>
              </w:rPr>
            </w:pPr>
            <w:r w:rsidRPr="000A09B4">
              <w:rPr>
                <w:color w:val="000000"/>
                <w:sz w:val="16"/>
                <w:szCs w:val="16"/>
              </w:rPr>
              <w:t>674</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5206650D"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5F7864"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1B9A77E9"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F6E87C"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0E41916D"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474B4CE"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C48EAC7"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4C0F51EF"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584B4E86" w14:textId="77777777" w:rsidR="000A09B4" w:rsidRPr="000A09B4" w:rsidRDefault="000A09B4" w:rsidP="0025317F">
            <w:pPr>
              <w:spacing w:after="120"/>
              <w:rPr>
                <w:color w:val="000000"/>
                <w:sz w:val="16"/>
                <w:szCs w:val="16"/>
              </w:rPr>
            </w:pPr>
            <w:r w:rsidRPr="000A09B4">
              <w:rPr>
                <w:color w:val="000000"/>
                <w:sz w:val="16"/>
                <w:szCs w:val="16"/>
              </w:rPr>
              <w:t>2009.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104BEF"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83E072F" w14:textId="77777777" w:rsidR="000A09B4" w:rsidRPr="000A09B4" w:rsidRDefault="000A09B4"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4" w:space="0" w:color="auto"/>
            </w:tcBorders>
            <w:shd w:val="clear" w:color="auto" w:fill="auto"/>
            <w:noWrap/>
            <w:vAlign w:val="bottom"/>
            <w:hideMark/>
          </w:tcPr>
          <w:p w14:paraId="7EA67D79" w14:textId="77777777" w:rsidR="000A09B4" w:rsidRPr="000A09B4" w:rsidRDefault="000A09B4" w:rsidP="0025317F">
            <w:pPr>
              <w:spacing w:after="120"/>
              <w:jc w:val="right"/>
              <w:rPr>
                <w:color w:val="000000"/>
                <w:sz w:val="16"/>
                <w:szCs w:val="16"/>
              </w:rPr>
            </w:pPr>
            <w:r w:rsidRPr="000A09B4">
              <w:rPr>
                <w:color w:val="000000"/>
                <w:sz w:val="16"/>
                <w:szCs w:val="16"/>
              </w:rPr>
              <w:t>30</w:t>
            </w:r>
          </w:p>
        </w:tc>
        <w:tc>
          <w:tcPr>
            <w:tcW w:w="960" w:type="dxa"/>
            <w:tcBorders>
              <w:top w:val="nil"/>
              <w:left w:val="nil"/>
              <w:bottom w:val="single" w:sz="4" w:space="0" w:color="auto"/>
              <w:right w:val="nil"/>
            </w:tcBorders>
            <w:shd w:val="clear" w:color="auto" w:fill="auto"/>
            <w:noWrap/>
            <w:vAlign w:val="bottom"/>
            <w:hideMark/>
          </w:tcPr>
          <w:p w14:paraId="54287E45" w14:textId="77777777" w:rsidR="000A09B4" w:rsidRPr="000A09B4" w:rsidRDefault="000A09B4" w:rsidP="0025317F">
            <w:pPr>
              <w:spacing w:after="120"/>
              <w:jc w:val="right"/>
              <w:rPr>
                <w:color w:val="000000"/>
                <w:sz w:val="16"/>
                <w:szCs w:val="16"/>
              </w:rPr>
            </w:pPr>
            <w:r w:rsidRPr="000A09B4">
              <w:rPr>
                <w:color w:val="000000"/>
                <w:sz w:val="16"/>
                <w:szCs w:val="16"/>
              </w:rPr>
              <w:t>158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0810BE3"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61B1CFBD" w14:textId="77777777" w:rsidR="000A09B4" w:rsidRPr="000A09B4" w:rsidRDefault="000A09B4" w:rsidP="0025317F">
            <w:pPr>
              <w:spacing w:after="120"/>
              <w:jc w:val="right"/>
              <w:rPr>
                <w:color w:val="000000"/>
                <w:sz w:val="16"/>
                <w:szCs w:val="16"/>
              </w:rPr>
            </w:pPr>
            <w:r w:rsidRPr="000A09B4">
              <w:rPr>
                <w:color w:val="000000"/>
                <w:sz w:val="16"/>
                <w:szCs w:val="16"/>
              </w:rPr>
              <w:t>44</w:t>
            </w:r>
          </w:p>
        </w:tc>
        <w:tc>
          <w:tcPr>
            <w:tcW w:w="960" w:type="dxa"/>
            <w:tcBorders>
              <w:top w:val="nil"/>
              <w:left w:val="single" w:sz="8" w:space="0" w:color="auto"/>
              <w:bottom w:val="single" w:sz="4" w:space="0" w:color="auto"/>
              <w:right w:val="nil"/>
            </w:tcBorders>
            <w:shd w:val="clear" w:color="auto" w:fill="auto"/>
            <w:noWrap/>
            <w:vAlign w:val="bottom"/>
            <w:hideMark/>
          </w:tcPr>
          <w:p w14:paraId="7D7B826A" w14:textId="77777777" w:rsidR="000A09B4" w:rsidRPr="000A09B4" w:rsidRDefault="000A09B4" w:rsidP="0025317F">
            <w:pPr>
              <w:spacing w:after="120"/>
              <w:jc w:val="right"/>
              <w:rPr>
                <w:color w:val="000000"/>
                <w:sz w:val="16"/>
                <w:szCs w:val="16"/>
              </w:rPr>
            </w:pPr>
            <w:r w:rsidRPr="000A09B4">
              <w:rPr>
                <w:color w:val="000000"/>
                <w:sz w:val="16"/>
                <w:szCs w:val="16"/>
              </w:rPr>
              <w:t>551</w:t>
            </w:r>
          </w:p>
        </w:tc>
        <w:tc>
          <w:tcPr>
            <w:tcW w:w="960" w:type="dxa"/>
            <w:tcBorders>
              <w:top w:val="nil"/>
              <w:left w:val="single" w:sz="4" w:space="0" w:color="auto"/>
              <w:bottom w:val="single" w:sz="4" w:space="0" w:color="auto"/>
              <w:right w:val="nil"/>
            </w:tcBorders>
            <w:shd w:val="clear" w:color="auto" w:fill="auto"/>
            <w:noWrap/>
            <w:vAlign w:val="bottom"/>
            <w:hideMark/>
          </w:tcPr>
          <w:p w14:paraId="064706E9" w14:textId="77777777" w:rsidR="000A09B4" w:rsidRPr="000A09B4" w:rsidRDefault="000A09B4" w:rsidP="0025317F">
            <w:pPr>
              <w:spacing w:after="120"/>
              <w:jc w:val="right"/>
              <w:rPr>
                <w:color w:val="000000"/>
                <w:sz w:val="16"/>
                <w:szCs w:val="16"/>
              </w:rPr>
            </w:pPr>
            <w:r w:rsidRPr="000A09B4">
              <w:rPr>
                <w:color w:val="000000"/>
                <w:sz w:val="16"/>
                <w:szCs w:val="16"/>
              </w:rPr>
              <w:t>514</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6DE0C96C"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639C1796"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641D04C"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5E0E8A5"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049F7A8" w14:textId="77777777"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0AEA939"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79EA43B"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3B9841C6"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2C72A40" w14:textId="77777777" w:rsidR="000A09B4" w:rsidRPr="000A09B4" w:rsidRDefault="000A09B4" w:rsidP="0025317F">
            <w:pPr>
              <w:spacing w:after="120"/>
              <w:rPr>
                <w:color w:val="000000"/>
                <w:sz w:val="16"/>
                <w:szCs w:val="16"/>
              </w:rPr>
            </w:pPr>
            <w:r w:rsidRPr="000A09B4">
              <w:rPr>
                <w:color w:val="000000"/>
                <w:sz w:val="16"/>
                <w:szCs w:val="16"/>
              </w:rPr>
              <w:t>2010.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AC865C" w14:textId="77777777"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EAB383D" w14:textId="77777777" w:rsidR="000A09B4" w:rsidRPr="000A09B4" w:rsidRDefault="000A09B4" w:rsidP="0025317F">
            <w:pPr>
              <w:spacing w:after="120"/>
              <w:jc w:val="right"/>
              <w:rPr>
                <w:color w:val="000000"/>
                <w:sz w:val="16"/>
                <w:szCs w:val="16"/>
              </w:rPr>
            </w:pPr>
            <w:r w:rsidRPr="000A09B4">
              <w:rPr>
                <w:color w:val="000000"/>
                <w:sz w:val="16"/>
                <w:szCs w:val="16"/>
              </w:rPr>
              <w:t>80</w:t>
            </w:r>
          </w:p>
        </w:tc>
        <w:tc>
          <w:tcPr>
            <w:tcW w:w="960" w:type="dxa"/>
            <w:tcBorders>
              <w:top w:val="nil"/>
              <w:left w:val="nil"/>
              <w:bottom w:val="single" w:sz="4" w:space="0" w:color="auto"/>
              <w:right w:val="single" w:sz="4" w:space="0" w:color="auto"/>
            </w:tcBorders>
            <w:shd w:val="clear" w:color="auto" w:fill="auto"/>
            <w:noWrap/>
            <w:vAlign w:val="bottom"/>
            <w:hideMark/>
          </w:tcPr>
          <w:p w14:paraId="19994B36" w14:textId="77777777" w:rsidR="000A09B4" w:rsidRPr="000A09B4" w:rsidRDefault="000A09B4" w:rsidP="0025317F">
            <w:pPr>
              <w:spacing w:after="120"/>
              <w:jc w:val="right"/>
              <w:rPr>
                <w:color w:val="000000"/>
                <w:sz w:val="16"/>
                <w:szCs w:val="16"/>
              </w:rPr>
            </w:pPr>
            <w:r w:rsidRPr="000A09B4">
              <w:rPr>
                <w:color w:val="000000"/>
                <w:sz w:val="16"/>
                <w:szCs w:val="16"/>
              </w:rPr>
              <w:t>61</w:t>
            </w:r>
          </w:p>
        </w:tc>
        <w:tc>
          <w:tcPr>
            <w:tcW w:w="960" w:type="dxa"/>
            <w:tcBorders>
              <w:top w:val="nil"/>
              <w:left w:val="nil"/>
              <w:bottom w:val="single" w:sz="4" w:space="0" w:color="auto"/>
              <w:right w:val="nil"/>
            </w:tcBorders>
            <w:shd w:val="clear" w:color="auto" w:fill="auto"/>
            <w:noWrap/>
            <w:vAlign w:val="bottom"/>
            <w:hideMark/>
          </w:tcPr>
          <w:p w14:paraId="28E7224C" w14:textId="77777777" w:rsidR="000A09B4" w:rsidRPr="000A09B4" w:rsidRDefault="000A09B4" w:rsidP="0025317F">
            <w:pPr>
              <w:spacing w:after="120"/>
              <w:jc w:val="right"/>
              <w:rPr>
                <w:color w:val="000000"/>
                <w:sz w:val="16"/>
                <w:szCs w:val="16"/>
              </w:rPr>
            </w:pPr>
            <w:r w:rsidRPr="000A09B4">
              <w:rPr>
                <w:color w:val="000000"/>
                <w:sz w:val="16"/>
                <w:szCs w:val="16"/>
              </w:rPr>
              <w:t>337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61B829E"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286ECC67" w14:textId="77777777" w:rsidR="000A09B4" w:rsidRPr="000A09B4" w:rsidRDefault="000A09B4" w:rsidP="0025317F">
            <w:pPr>
              <w:spacing w:after="120"/>
              <w:jc w:val="right"/>
              <w:rPr>
                <w:color w:val="000000"/>
                <w:sz w:val="16"/>
                <w:szCs w:val="16"/>
              </w:rPr>
            </w:pPr>
            <w:r w:rsidRPr="000A09B4">
              <w:rPr>
                <w:color w:val="000000"/>
                <w:sz w:val="16"/>
                <w:szCs w:val="16"/>
              </w:rPr>
              <w:t>82</w:t>
            </w:r>
          </w:p>
        </w:tc>
        <w:tc>
          <w:tcPr>
            <w:tcW w:w="960" w:type="dxa"/>
            <w:tcBorders>
              <w:top w:val="nil"/>
              <w:left w:val="single" w:sz="8" w:space="0" w:color="auto"/>
              <w:bottom w:val="single" w:sz="4" w:space="0" w:color="auto"/>
              <w:right w:val="nil"/>
            </w:tcBorders>
            <w:shd w:val="clear" w:color="auto" w:fill="auto"/>
            <w:noWrap/>
            <w:vAlign w:val="bottom"/>
            <w:hideMark/>
          </w:tcPr>
          <w:p w14:paraId="3DA45F90" w14:textId="77777777" w:rsidR="000A09B4" w:rsidRPr="000A09B4" w:rsidRDefault="000A09B4" w:rsidP="0025317F">
            <w:pPr>
              <w:spacing w:after="120"/>
              <w:jc w:val="right"/>
              <w:rPr>
                <w:color w:val="000000"/>
                <w:sz w:val="16"/>
                <w:szCs w:val="16"/>
              </w:rPr>
            </w:pPr>
            <w:r w:rsidRPr="000A09B4">
              <w:rPr>
                <w:color w:val="000000"/>
                <w:sz w:val="16"/>
                <w:szCs w:val="16"/>
              </w:rPr>
              <w:t>1862</w:t>
            </w:r>
          </w:p>
        </w:tc>
        <w:tc>
          <w:tcPr>
            <w:tcW w:w="960" w:type="dxa"/>
            <w:tcBorders>
              <w:top w:val="nil"/>
              <w:left w:val="single" w:sz="4" w:space="0" w:color="auto"/>
              <w:bottom w:val="single" w:sz="4" w:space="0" w:color="auto"/>
              <w:right w:val="nil"/>
            </w:tcBorders>
            <w:shd w:val="clear" w:color="auto" w:fill="auto"/>
            <w:noWrap/>
            <w:vAlign w:val="bottom"/>
            <w:hideMark/>
          </w:tcPr>
          <w:p w14:paraId="65F2F07A" w14:textId="77777777" w:rsidR="000A09B4" w:rsidRPr="000A09B4" w:rsidRDefault="000A09B4" w:rsidP="0025317F">
            <w:pPr>
              <w:spacing w:after="120"/>
              <w:jc w:val="right"/>
              <w:rPr>
                <w:color w:val="000000"/>
                <w:sz w:val="16"/>
                <w:szCs w:val="16"/>
              </w:rPr>
            </w:pPr>
            <w:r w:rsidRPr="000A09B4">
              <w:rPr>
                <w:color w:val="000000"/>
                <w:sz w:val="16"/>
                <w:szCs w:val="16"/>
              </w:rPr>
              <w:t>1646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34005801" w14:textId="77777777"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C3CF67C"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19C8978A"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3F6A4E38"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6C477FF3"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E0483AB"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E3BEA4C"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3FE80F97"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5B200C70" w14:textId="77777777" w:rsidR="000A09B4" w:rsidRPr="000A09B4" w:rsidRDefault="000A09B4" w:rsidP="0025317F">
            <w:pPr>
              <w:spacing w:after="120"/>
              <w:rPr>
                <w:color w:val="000000"/>
                <w:sz w:val="16"/>
                <w:szCs w:val="16"/>
              </w:rPr>
            </w:pPr>
            <w:r w:rsidRPr="000A09B4">
              <w:rPr>
                <w:color w:val="000000"/>
                <w:sz w:val="16"/>
                <w:szCs w:val="16"/>
              </w:rPr>
              <w:t>2011.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78A17C6"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7BF0723" w14:textId="77777777" w:rsidR="000A09B4" w:rsidRPr="000A09B4" w:rsidRDefault="000A09B4" w:rsidP="0025317F">
            <w:pPr>
              <w:spacing w:after="120"/>
              <w:jc w:val="right"/>
              <w:rPr>
                <w:color w:val="000000"/>
                <w:sz w:val="16"/>
                <w:szCs w:val="16"/>
              </w:rPr>
            </w:pPr>
            <w:r w:rsidRPr="000A09B4">
              <w:rPr>
                <w:color w:val="000000"/>
                <w:sz w:val="16"/>
                <w:szCs w:val="16"/>
              </w:rPr>
              <w:t>122</w:t>
            </w:r>
          </w:p>
        </w:tc>
        <w:tc>
          <w:tcPr>
            <w:tcW w:w="960" w:type="dxa"/>
            <w:tcBorders>
              <w:top w:val="nil"/>
              <w:left w:val="nil"/>
              <w:bottom w:val="single" w:sz="4" w:space="0" w:color="auto"/>
              <w:right w:val="single" w:sz="4" w:space="0" w:color="auto"/>
            </w:tcBorders>
            <w:shd w:val="clear" w:color="auto" w:fill="auto"/>
            <w:noWrap/>
            <w:vAlign w:val="bottom"/>
            <w:hideMark/>
          </w:tcPr>
          <w:p w14:paraId="46817519" w14:textId="77777777" w:rsidR="000A09B4" w:rsidRPr="000A09B4" w:rsidRDefault="000A09B4" w:rsidP="0025317F">
            <w:pPr>
              <w:spacing w:after="120"/>
              <w:jc w:val="right"/>
              <w:rPr>
                <w:color w:val="000000"/>
                <w:sz w:val="16"/>
                <w:szCs w:val="16"/>
              </w:rPr>
            </w:pPr>
            <w:r w:rsidRPr="000A09B4">
              <w:rPr>
                <w:color w:val="000000"/>
                <w:sz w:val="16"/>
                <w:szCs w:val="16"/>
              </w:rPr>
              <w:t>87</w:t>
            </w:r>
          </w:p>
        </w:tc>
        <w:tc>
          <w:tcPr>
            <w:tcW w:w="960" w:type="dxa"/>
            <w:tcBorders>
              <w:top w:val="nil"/>
              <w:left w:val="nil"/>
              <w:bottom w:val="single" w:sz="4" w:space="0" w:color="auto"/>
              <w:right w:val="nil"/>
            </w:tcBorders>
            <w:shd w:val="clear" w:color="auto" w:fill="auto"/>
            <w:noWrap/>
            <w:vAlign w:val="bottom"/>
            <w:hideMark/>
          </w:tcPr>
          <w:p w14:paraId="6F762070" w14:textId="77777777" w:rsidR="000A09B4" w:rsidRPr="000A09B4" w:rsidRDefault="000A09B4" w:rsidP="0025317F">
            <w:pPr>
              <w:spacing w:after="120"/>
              <w:jc w:val="right"/>
              <w:rPr>
                <w:color w:val="000000"/>
                <w:sz w:val="16"/>
                <w:szCs w:val="16"/>
              </w:rPr>
            </w:pPr>
            <w:r w:rsidRPr="000A09B4">
              <w:rPr>
                <w:color w:val="000000"/>
                <w:sz w:val="16"/>
                <w:szCs w:val="16"/>
              </w:rPr>
              <w:t>237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1C75928"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77B41FBB" w14:textId="77777777" w:rsidR="000A09B4" w:rsidRPr="000A09B4" w:rsidRDefault="000A09B4" w:rsidP="0025317F">
            <w:pPr>
              <w:spacing w:after="120"/>
              <w:jc w:val="right"/>
              <w:rPr>
                <w:color w:val="000000"/>
                <w:sz w:val="16"/>
                <w:szCs w:val="16"/>
              </w:rPr>
            </w:pPr>
            <w:r w:rsidRPr="000A09B4">
              <w:rPr>
                <w:color w:val="000000"/>
                <w:sz w:val="16"/>
                <w:szCs w:val="16"/>
              </w:rPr>
              <w:t>122</w:t>
            </w:r>
          </w:p>
        </w:tc>
        <w:tc>
          <w:tcPr>
            <w:tcW w:w="960" w:type="dxa"/>
            <w:tcBorders>
              <w:top w:val="nil"/>
              <w:left w:val="single" w:sz="8" w:space="0" w:color="auto"/>
              <w:bottom w:val="single" w:sz="4" w:space="0" w:color="auto"/>
              <w:right w:val="nil"/>
            </w:tcBorders>
            <w:shd w:val="clear" w:color="auto" w:fill="auto"/>
            <w:noWrap/>
            <w:vAlign w:val="bottom"/>
            <w:hideMark/>
          </w:tcPr>
          <w:p w14:paraId="54323EB8" w14:textId="77777777" w:rsidR="000A09B4" w:rsidRPr="000A09B4" w:rsidRDefault="000A09B4" w:rsidP="0025317F">
            <w:pPr>
              <w:spacing w:after="120"/>
              <w:jc w:val="right"/>
              <w:rPr>
                <w:color w:val="000000"/>
                <w:sz w:val="16"/>
                <w:szCs w:val="16"/>
              </w:rPr>
            </w:pPr>
            <w:r w:rsidRPr="000A09B4">
              <w:rPr>
                <w:color w:val="000000"/>
                <w:sz w:val="16"/>
                <w:szCs w:val="16"/>
              </w:rPr>
              <w:t>1334</w:t>
            </w:r>
          </w:p>
        </w:tc>
        <w:tc>
          <w:tcPr>
            <w:tcW w:w="960" w:type="dxa"/>
            <w:tcBorders>
              <w:top w:val="nil"/>
              <w:left w:val="single" w:sz="4" w:space="0" w:color="auto"/>
              <w:bottom w:val="single" w:sz="4" w:space="0" w:color="auto"/>
              <w:right w:val="nil"/>
            </w:tcBorders>
            <w:shd w:val="clear" w:color="auto" w:fill="auto"/>
            <w:noWrap/>
            <w:vAlign w:val="bottom"/>
            <w:hideMark/>
          </w:tcPr>
          <w:p w14:paraId="269D075D" w14:textId="77777777" w:rsidR="000A09B4" w:rsidRPr="000A09B4" w:rsidRDefault="000A09B4" w:rsidP="0025317F">
            <w:pPr>
              <w:spacing w:after="120"/>
              <w:jc w:val="right"/>
              <w:rPr>
                <w:color w:val="000000"/>
                <w:sz w:val="16"/>
                <w:szCs w:val="16"/>
              </w:rPr>
            </w:pPr>
            <w:r w:rsidRPr="000A09B4">
              <w:rPr>
                <w:color w:val="000000"/>
                <w:sz w:val="16"/>
                <w:szCs w:val="16"/>
              </w:rPr>
              <w:t>1111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7130518D"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65B57519"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D5A290E"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6E5EA49"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D59B116"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34EB662B"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5BB5CE8" w14:textId="77777777" w:rsidR="000A09B4" w:rsidRPr="000A09B4" w:rsidRDefault="000A09B4" w:rsidP="0025317F">
            <w:pPr>
              <w:spacing w:after="120"/>
              <w:jc w:val="right"/>
              <w:rPr>
                <w:color w:val="000000"/>
                <w:sz w:val="16"/>
                <w:szCs w:val="16"/>
              </w:rPr>
            </w:pPr>
            <w:r w:rsidRPr="000A09B4">
              <w:rPr>
                <w:color w:val="000000"/>
                <w:sz w:val="16"/>
                <w:szCs w:val="16"/>
              </w:rPr>
              <w:t>1</w:t>
            </w:r>
          </w:p>
        </w:tc>
      </w:tr>
      <w:tr w:rsidR="000A09B4" w:rsidRPr="000A09B4" w14:paraId="40C4129A"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4AAEF7E" w14:textId="77777777" w:rsidR="000A09B4" w:rsidRPr="000A09B4" w:rsidRDefault="000A09B4" w:rsidP="0025317F">
            <w:pPr>
              <w:spacing w:after="120"/>
              <w:rPr>
                <w:color w:val="000000"/>
                <w:sz w:val="16"/>
                <w:szCs w:val="16"/>
              </w:rPr>
            </w:pPr>
            <w:r w:rsidRPr="000A09B4">
              <w:rPr>
                <w:color w:val="000000"/>
                <w:sz w:val="16"/>
                <w:szCs w:val="16"/>
              </w:rPr>
              <w:t>2012.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B2943B"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19ED8503" w14:textId="77777777" w:rsidR="000A09B4" w:rsidRPr="000A09B4" w:rsidRDefault="000A09B4" w:rsidP="0025317F">
            <w:pPr>
              <w:spacing w:after="120"/>
              <w:jc w:val="right"/>
              <w:rPr>
                <w:color w:val="000000"/>
                <w:sz w:val="16"/>
                <w:szCs w:val="16"/>
              </w:rPr>
            </w:pPr>
            <w:r w:rsidRPr="000A09B4">
              <w:rPr>
                <w:color w:val="000000"/>
                <w:sz w:val="16"/>
                <w:szCs w:val="16"/>
              </w:rPr>
              <w:t>109</w:t>
            </w:r>
          </w:p>
        </w:tc>
        <w:tc>
          <w:tcPr>
            <w:tcW w:w="960" w:type="dxa"/>
            <w:tcBorders>
              <w:top w:val="nil"/>
              <w:left w:val="nil"/>
              <w:bottom w:val="single" w:sz="4" w:space="0" w:color="auto"/>
              <w:right w:val="single" w:sz="4" w:space="0" w:color="auto"/>
            </w:tcBorders>
            <w:shd w:val="clear" w:color="auto" w:fill="auto"/>
            <w:noWrap/>
            <w:vAlign w:val="bottom"/>
            <w:hideMark/>
          </w:tcPr>
          <w:p w14:paraId="48147505" w14:textId="77777777" w:rsidR="000A09B4" w:rsidRPr="000A09B4" w:rsidRDefault="000A09B4" w:rsidP="0025317F">
            <w:pPr>
              <w:spacing w:after="120"/>
              <w:jc w:val="right"/>
              <w:rPr>
                <w:color w:val="000000"/>
                <w:sz w:val="16"/>
                <w:szCs w:val="16"/>
              </w:rPr>
            </w:pPr>
            <w:r w:rsidRPr="000A09B4">
              <w:rPr>
                <w:color w:val="000000"/>
                <w:sz w:val="16"/>
                <w:szCs w:val="16"/>
              </w:rPr>
              <w:t>82</w:t>
            </w:r>
          </w:p>
        </w:tc>
        <w:tc>
          <w:tcPr>
            <w:tcW w:w="960" w:type="dxa"/>
            <w:tcBorders>
              <w:top w:val="nil"/>
              <w:left w:val="nil"/>
              <w:bottom w:val="single" w:sz="4" w:space="0" w:color="auto"/>
              <w:right w:val="nil"/>
            </w:tcBorders>
            <w:shd w:val="clear" w:color="auto" w:fill="auto"/>
            <w:noWrap/>
            <w:vAlign w:val="bottom"/>
            <w:hideMark/>
          </w:tcPr>
          <w:p w14:paraId="53DA0BBE" w14:textId="77777777" w:rsidR="000A09B4" w:rsidRPr="000A09B4" w:rsidRDefault="000A09B4" w:rsidP="0025317F">
            <w:pPr>
              <w:spacing w:after="120"/>
              <w:jc w:val="right"/>
              <w:rPr>
                <w:color w:val="000000"/>
                <w:sz w:val="16"/>
                <w:szCs w:val="16"/>
              </w:rPr>
            </w:pPr>
            <w:r w:rsidRPr="000A09B4">
              <w:rPr>
                <w:color w:val="000000"/>
                <w:sz w:val="16"/>
                <w:szCs w:val="16"/>
              </w:rPr>
              <w:t>12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F016A70"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245D328A" w14:textId="77777777" w:rsidR="000A09B4" w:rsidRPr="000A09B4" w:rsidRDefault="000A09B4" w:rsidP="0025317F">
            <w:pPr>
              <w:spacing w:after="120"/>
              <w:jc w:val="right"/>
              <w:rPr>
                <w:color w:val="000000"/>
                <w:sz w:val="16"/>
                <w:szCs w:val="16"/>
              </w:rPr>
            </w:pPr>
            <w:r w:rsidRPr="000A09B4">
              <w:rPr>
                <w:color w:val="000000"/>
                <w:sz w:val="16"/>
                <w:szCs w:val="16"/>
              </w:rPr>
              <w:t>110</w:t>
            </w:r>
          </w:p>
        </w:tc>
        <w:tc>
          <w:tcPr>
            <w:tcW w:w="960" w:type="dxa"/>
            <w:tcBorders>
              <w:top w:val="nil"/>
              <w:left w:val="single" w:sz="8" w:space="0" w:color="auto"/>
              <w:bottom w:val="single" w:sz="4" w:space="0" w:color="auto"/>
              <w:right w:val="nil"/>
            </w:tcBorders>
            <w:shd w:val="clear" w:color="auto" w:fill="auto"/>
            <w:noWrap/>
            <w:vAlign w:val="bottom"/>
            <w:hideMark/>
          </w:tcPr>
          <w:p w14:paraId="2668A8AF" w14:textId="77777777" w:rsidR="000A09B4" w:rsidRPr="000A09B4" w:rsidRDefault="000A09B4" w:rsidP="0025317F">
            <w:pPr>
              <w:spacing w:after="120"/>
              <w:jc w:val="right"/>
              <w:rPr>
                <w:color w:val="000000"/>
                <w:sz w:val="16"/>
                <w:szCs w:val="16"/>
              </w:rPr>
            </w:pPr>
            <w:r w:rsidRPr="000A09B4">
              <w:rPr>
                <w:color w:val="000000"/>
                <w:sz w:val="16"/>
                <w:szCs w:val="16"/>
              </w:rPr>
              <w:t>636</w:t>
            </w:r>
          </w:p>
        </w:tc>
        <w:tc>
          <w:tcPr>
            <w:tcW w:w="960" w:type="dxa"/>
            <w:tcBorders>
              <w:top w:val="nil"/>
              <w:left w:val="single" w:sz="4" w:space="0" w:color="auto"/>
              <w:bottom w:val="single" w:sz="4" w:space="0" w:color="auto"/>
              <w:right w:val="nil"/>
            </w:tcBorders>
            <w:shd w:val="clear" w:color="auto" w:fill="auto"/>
            <w:noWrap/>
            <w:vAlign w:val="bottom"/>
            <w:hideMark/>
          </w:tcPr>
          <w:p w14:paraId="181BFF2B" w14:textId="77777777" w:rsidR="000A09B4" w:rsidRPr="000A09B4" w:rsidRDefault="000A09B4" w:rsidP="0025317F">
            <w:pPr>
              <w:spacing w:after="120"/>
              <w:jc w:val="right"/>
              <w:rPr>
                <w:color w:val="000000"/>
                <w:sz w:val="16"/>
                <w:szCs w:val="16"/>
              </w:rPr>
            </w:pPr>
            <w:r w:rsidRPr="000A09B4">
              <w:rPr>
                <w:color w:val="000000"/>
                <w:sz w:val="16"/>
                <w:szCs w:val="16"/>
              </w:rPr>
              <w:t>413</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518D3F0"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4876453"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9207839"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DB12C20"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0F6A68F"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1609B2F"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22E2EBF"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6819CBEA"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D0A8726" w14:textId="77777777" w:rsidR="000A09B4" w:rsidRPr="000A09B4" w:rsidRDefault="000A09B4" w:rsidP="0025317F">
            <w:pPr>
              <w:spacing w:after="120"/>
              <w:rPr>
                <w:color w:val="000000"/>
                <w:sz w:val="16"/>
                <w:szCs w:val="16"/>
              </w:rPr>
            </w:pPr>
            <w:r w:rsidRPr="000A09B4">
              <w:rPr>
                <w:color w:val="000000"/>
                <w:sz w:val="16"/>
                <w:szCs w:val="16"/>
              </w:rPr>
              <w:t>2013.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EF882E"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1B484293" w14:textId="77777777" w:rsidR="000A09B4" w:rsidRPr="000A09B4" w:rsidRDefault="000A09B4" w:rsidP="0025317F">
            <w:pPr>
              <w:spacing w:after="120"/>
              <w:jc w:val="right"/>
              <w:rPr>
                <w:color w:val="000000"/>
                <w:sz w:val="16"/>
                <w:szCs w:val="16"/>
              </w:rPr>
            </w:pPr>
            <w:r w:rsidRPr="000A09B4">
              <w:rPr>
                <w:color w:val="000000"/>
                <w:sz w:val="16"/>
                <w:szCs w:val="16"/>
              </w:rPr>
              <w:t>76</w:t>
            </w:r>
          </w:p>
        </w:tc>
        <w:tc>
          <w:tcPr>
            <w:tcW w:w="960" w:type="dxa"/>
            <w:tcBorders>
              <w:top w:val="nil"/>
              <w:left w:val="nil"/>
              <w:bottom w:val="single" w:sz="4" w:space="0" w:color="auto"/>
              <w:right w:val="single" w:sz="4" w:space="0" w:color="auto"/>
            </w:tcBorders>
            <w:shd w:val="clear" w:color="auto" w:fill="auto"/>
            <w:noWrap/>
            <w:vAlign w:val="bottom"/>
            <w:hideMark/>
          </w:tcPr>
          <w:p w14:paraId="3E2ED087" w14:textId="77777777" w:rsidR="000A09B4" w:rsidRPr="000A09B4" w:rsidRDefault="000A09B4" w:rsidP="0025317F">
            <w:pPr>
              <w:spacing w:after="120"/>
              <w:jc w:val="right"/>
              <w:rPr>
                <w:color w:val="000000"/>
                <w:sz w:val="16"/>
                <w:szCs w:val="16"/>
              </w:rPr>
            </w:pPr>
            <w:r w:rsidRPr="000A09B4">
              <w:rPr>
                <w:color w:val="000000"/>
                <w:sz w:val="16"/>
                <w:szCs w:val="16"/>
              </w:rPr>
              <w:t>59</w:t>
            </w:r>
          </w:p>
        </w:tc>
        <w:tc>
          <w:tcPr>
            <w:tcW w:w="960" w:type="dxa"/>
            <w:tcBorders>
              <w:top w:val="nil"/>
              <w:left w:val="nil"/>
              <w:bottom w:val="single" w:sz="4" w:space="0" w:color="auto"/>
              <w:right w:val="nil"/>
            </w:tcBorders>
            <w:shd w:val="clear" w:color="auto" w:fill="auto"/>
            <w:noWrap/>
            <w:vAlign w:val="bottom"/>
            <w:hideMark/>
          </w:tcPr>
          <w:p w14:paraId="25029DB1"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0685030"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6CD926D0" w14:textId="77777777" w:rsidR="000A09B4" w:rsidRPr="000A09B4" w:rsidRDefault="000A09B4"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nil"/>
            </w:tcBorders>
            <w:shd w:val="clear" w:color="auto" w:fill="auto"/>
            <w:noWrap/>
            <w:vAlign w:val="bottom"/>
            <w:hideMark/>
          </w:tcPr>
          <w:p w14:paraId="61B2F09F" w14:textId="77777777" w:rsidR="000A09B4" w:rsidRPr="000A09B4" w:rsidRDefault="000A09B4" w:rsidP="0025317F">
            <w:pPr>
              <w:spacing w:after="120"/>
              <w:jc w:val="right"/>
              <w:rPr>
                <w:color w:val="000000"/>
                <w:sz w:val="16"/>
                <w:szCs w:val="16"/>
              </w:rPr>
            </w:pPr>
            <w:r w:rsidRPr="000A09B4">
              <w:rPr>
                <w:color w:val="000000"/>
                <w:sz w:val="16"/>
                <w:szCs w:val="16"/>
              </w:rPr>
              <w:t>830</w:t>
            </w:r>
          </w:p>
        </w:tc>
        <w:tc>
          <w:tcPr>
            <w:tcW w:w="960" w:type="dxa"/>
            <w:tcBorders>
              <w:top w:val="nil"/>
              <w:left w:val="single" w:sz="4" w:space="0" w:color="auto"/>
              <w:bottom w:val="single" w:sz="4" w:space="0" w:color="auto"/>
              <w:right w:val="nil"/>
            </w:tcBorders>
            <w:shd w:val="clear" w:color="auto" w:fill="auto"/>
            <w:noWrap/>
            <w:vAlign w:val="bottom"/>
            <w:hideMark/>
          </w:tcPr>
          <w:p w14:paraId="28C5F5BB" w14:textId="77777777" w:rsidR="000A09B4" w:rsidRPr="000A09B4" w:rsidRDefault="000A09B4" w:rsidP="0025317F">
            <w:pPr>
              <w:spacing w:after="120"/>
              <w:jc w:val="right"/>
              <w:rPr>
                <w:color w:val="000000"/>
                <w:sz w:val="16"/>
                <w:szCs w:val="16"/>
              </w:rPr>
            </w:pPr>
            <w:r w:rsidRPr="000A09B4">
              <w:rPr>
                <w:color w:val="000000"/>
                <w:sz w:val="16"/>
                <w:szCs w:val="16"/>
              </w:rPr>
              <w:t>461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4D70C4F9"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7A416D94"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B15C0E6"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C961464"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34991C31"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0DB51CC"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8DE02AF"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0C728CD5" w14:textId="77777777"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0B0AFC4" w14:textId="77777777" w:rsidR="000A09B4" w:rsidRPr="000A09B4" w:rsidRDefault="000A09B4" w:rsidP="0025317F">
            <w:pPr>
              <w:spacing w:after="120"/>
              <w:rPr>
                <w:color w:val="000000"/>
                <w:sz w:val="16"/>
                <w:szCs w:val="16"/>
              </w:rPr>
            </w:pPr>
            <w:r w:rsidRPr="000A09B4">
              <w:rPr>
                <w:color w:val="000000"/>
                <w:sz w:val="16"/>
                <w:szCs w:val="16"/>
              </w:rPr>
              <w:t>2014.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553D149" w14:textId="77777777"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B90CA9E" w14:textId="77777777" w:rsidR="000A09B4" w:rsidRPr="000A09B4" w:rsidRDefault="000A09B4" w:rsidP="0025317F">
            <w:pPr>
              <w:spacing w:after="120"/>
              <w:jc w:val="right"/>
              <w:rPr>
                <w:color w:val="000000"/>
                <w:sz w:val="16"/>
                <w:szCs w:val="16"/>
              </w:rPr>
            </w:pPr>
            <w:r w:rsidRPr="000A09B4">
              <w:rPr>
                <w:color w:val="000000"/>
                <w:sz w:val="16"/>
                <w:szCs w:val="16"/>
              </w:rPr>
              <w:t>93</w:t>
            </w:r>
          </w:p>
        </w:tc>
        <w:tc>
          <w:tcPr>
            <w:tcW w:w="960" w:type="dxa"/>
            <w:tcBorders>
              <w:top w:val="nil"/>
              <w:left w:val="nil"/>
              <w:bottom w:val="single" w:sz="4" w:space="0" w:color="auto"/>
              <w:right w:val="single" w:sz="4" w:space="0" w:color="auto"/>
            </w:tcBorders>
            <w:shd w:val="clear" w:color="auto" w:fill="auto"/>
            <w:noWrap/>
            <w:vAlign w:val="bottom"/>
            <w:hideMark/>
          </w:tcPr>
          <w:p w14:paraId="4CB9D4DB" w14:textId="77777777" w:rsidR="000A09B4" w:rsidRPr="000A09B4" w:rsidRDefault="000A09B4" w:rsidP="0025317F">
            <w:pPr>
              <w:spacing w:after="120"/>
              <w:jc w:val="right"/>
              <w:rPr>
                <w:color w:val="000000"/>
                <w:sz w:val="16"/>
                <w:szCs w:val="16"/>
              </w:rPr>
            </w:pPr>
            <w:r w:rsidRPr="000A09B4">
              <w:rPr>
                <w:color w:val="000000"/>
                <w:sz w:val="16"/>
                <w:szCs w:val="16"/>
              </w:rPr>
              <w:t>67</w:t>
            </w:r>
          </w:p>
        </w:tc>
        <w:tc>
          <w:tcPr>
            <w:tcW w:w="960" w:type="dxa"/>
            <w:tcBorders>
              <w:top w:val="nil"/>
              <w:left w:val="nil"/>
              <w:bottom w:val="single" w:sz="4" w:space="0" w:color="auto"/>
              <w:right w:val="nil"/>
            </w:tcBorders>
            <w:shd w:val="clear" w:color="auto" w:fill="auto"/>
            <w:noWrap/>
            <w:vAlign w:val="bottom"/>
            <w:hideMark/>
          </w:tcPr>
          <w:p w14:paraId="1027BE03" w14:textId="77777777" w:rsidR="000A09B4" w:rsidRPr="000A09B4" w:rsidRDefault="000A09B4" w:rsidP="0025317F">
            <w:pPr>
              <w:spacing w:after="120"/>
              <w:jc w:val="right"/>
              <w:rPr>
                <w:color w:val="000000"/>
                <w:sz w:val="16"/>
                <w:szCs w:val="16"/>
              </w:rPr>
            </w:pPr>
            <w:r w:rsidRPr="000A09B4">
              <w:rPr>
                <w:color w:val="000000"/>
                <w:sz w:val="16"/>
                <w:szCs w:val="16"/>
              </w:rPr>
              <w:t>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FB13482"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14:paraId="2C383AA4" w14:textId="77777777" w:rsidR="000A09B4" w:rsidRPr="000A09B4" w:rsidRDefault="000A09B4" w:rsidP="0025317F">
            <w:pPr>
              <w:spacing w:after="120"/>
              <w:jc w:val="right"/>
              <w:rPr>
                <w:color w:val="000000"/>
                <w:sz w:val="16"/>
                <w:szCs w:val="16"/>
              </w:rPr>
            </w:pPr>
            <w:r w:rsidRPr="000A09B4">
              <w:rPr>
                <w:color w:val="000000"/>
                <w:sz w:val="16"/>
                <w:szCs w:val="16"/>
              </w:rPr>
              <w:t>94</w:t>
            </w:r>
          </w:p>
        </w:tc>
        <w:tc>
          <w:tcPr>
            <w:tcW w:w="960" w:type="dxa"/>
            <w:tcBorders>
              <w:top w:val="nil"/>
              <w:left w:val="single" w:sz="8" w:space="0" w:color="auto"/>
              <w:bottom w:val="single" w:sz="4" w:space="0" w:color="auto"/>
              <w:right w:val="nil"/>
            </w:tcBorders>
            <w:shd w:val="clear" w:color="auto" w:fill="auto"/>
            <w:noWrap/>
            <w:vAlign w:val="bottom"/>
            <w:hideMark/>
          </w:tcPr>
          <w:p w14:paraId="042E7023" w14:textId="77777777" w:rsidR="000A09B4" w:rsidRPr="000A09B4" w:rsidRDefault="000A09B4" w:rsidP="0025317F">
            <w:pPr>
              <w:spacing w:after="120"/>
              <w:jc w:val="right"/>
              <w:rPr>
                <w:color w:val="000000"/>
                <w:sz w:val="16"/>
                <w:szCs w:val="16"/>
              </w:rPr>
            </w:pPr>
            <w:r w:rsidRPr="000A09B4">
              <w:rPr>
                <w:color w:val="000000"/>
                <w:sz w:val="16"/>
                <w:szCs w:val="16"/>
              </w:rPr>
              <w:t>721</w:t>
            </w:r>
          </w:p>
        </w:tc>
        <w:tc>
          <w:tcPr>
            <w:tcW w:w="960" w:type="dxa"/>
            <w:tcBorders>
              <w:top w:val="nil"/>
              <w:left w:val="single" w:sz="4" w:space="0" w:color="auto"/>
              <w:bottom w:val="single" w:sz="4" w:space="0" w:color="auto"/>
              <w:right w:val="nil"/>
            </w:tcBorders>
            <w:shd w:val="clear" w:color="auto" w:fill="auto"/>
            <w:noWrap/>
            <w:vAlign w:val="bottom"/>
            <w:hideMark/>
          </w:tcPr>
          <w:p w14:paraId="049097EE" w14:textId="77777777" w:rsidR="000A09B4" w:rsidRPr="000A09B4" w:rsidRDefault="000A09B4" w:rsidP="0025317F">
            <w:pPr>
              <w:spacing w:after="120"/>
              <w:jc w:val="right"/>
              <w:rPr>
                <w:color w:val="000000"/>
                <w:sz w:val="16"/>
                <w:szCs w:val="16"/>
              </w:rPr>
            </w:pPr>
            <w:r w:rsidRPr="000A09B4">
              <w:rPr>
                <w:color w:val="000000"/>
                <w:sz w:val="16"/>
                <w:szCs w:val="16"/>
              </w:rPr>
              <w:t>468</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3A213531"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7026754"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242C2C8"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6372E25"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DF24A30"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314D9F3" w14:textId="77777777"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1F9EFD5" w14:textId="77777777"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14:paraId="179B56AB" w14:textId="77777777" w:rsidTr="000A09B4">
        <w:trPr>
          <w:trHeight w:val="300"/>
        </w:trPr>
        <w:tc>
          <w:tcPr>
            <w:tcW w:w="960" w:type="dxa"/>
            <w:tcBorders>
              <w:top w:val="nil"/>
              <w:left w:val="single" w:sz="4" w:space="0" w:color="auto"/>
              <w:bottom w:val="nil"/>
              <w:right w:val="nil"/>
            </w:tcBorders>
            <w:shd w:val="clear" w:color="auto" w:fill="auto"/>
            <w:noWrap/>
            <w:vAlign w:val="bottom"/>
            <w:hideMark/>
          </w:tcPr>
          <w:p w14:paraId="219181AD" w14:textId="77777777" w:rsidR="000A09B4" w:rsidRPr="000A09B4" w:rsidRDefault="000A09B4" w:rsidP="0025317F">
            <w:pPr>
              <w:spacing w:after="120"/>
              <w:rPr>
                <w:i/>
                <w:iCs/>
                <w:color w:val="000000"/>
                <w:sz w:val="16"/>
                <w:szCs w:val="16"/>
              </w:rPr>
            </w:pPr>
            <w:r w:rsidRPr="000A09B4">
              <w:rPr>
                <w:i/>
                <w:iCs/>
                <w:color w:val="000000"/>
                <w:sz w:val="16"/>
                <w:szCs w:val="16"/>
              </w:rPr>
              <w:t>Kopā</w:t>
            </w:r>
          </w:p>
        </w:tc>
        <w:tc>
          <w:tcPr>
            <w:tcW w:w="960" w:type="dxa"/>
            <w:tcBorders>
              <w:top w:val="nil"/>
              <w:left w:val="single" w:sz="8" w:space="0" w:color="auto"/>
              <w:bottom w:val="nil"/>
              <w:right w:val="nil"/>
            </w:tcBorders>
            <w:shd w:val="clear" w:color="auto" w:fill="auto"/>
            <w:noWrap/>
            <w:vAlign w:val="bottom"/>
            <w:hideMark/>
          </w:tcPr>
          <w:p w14:paraId="66288976" w14:textId="77777777" w:rsidR="000A09B4" w:rsidRPr="000A09B4" w:rsidRDefault="000A09B4" w:rsidP="0025317F">
            <w:pPr>
              <w:spacing w:after="120"/>
              <w:jc w:val="right"/>
              <w:rPr>
                <w:i/>
                <w:iCs/>
                <w:color w:val="000000"/>
                <w:sz w:val="16"/>
                <w:szCs w:val="16"/>
              </w:rPr>
            </w:pPr>
            <w:r w:rsidRPr="000A09B4">
              <w:rPr>
                <w:i/>
                <w:iCs/>
                <w:color w:val="000000"/>
                <w:sz w:val="16"/>
                <w:szCs w:val="16"/>
              </w:rPr>
              <w:t>7</w:t>
            </w:r>
          </w:p>
        </w:tc>
        <w:tc>
          <w:tcPr>
            <w:tcW w:w="960" w:type="dxa"/>
            <w:tcBorders>
              <w:top w:val="nil"/>
              <w:left w:val="nil"/>
              <w:bottom w:val="nil"/>
              <w:right w:val="nil"/>
            </w:tcBorders>
            <w:shd w:val="clear" w:color="auto" w:fill="auto"/>
            <w:noWrap/>
            <w:vAlign w:val="bottom"/>
            <w:hideMark/>
          </w:tcPr>
          <w:p w14:paraId="3C2E55E0" w14:textId="77777777" w:rsidR="000A09B4" w:rsidRPr="000A09B4" w:rsidRDefault="000A09B4" w:rsidP="0025317F">
            <w:pPr>
              <w:spacing w:after="120"/>
              <w:jc w:val="right"/>
              <w:rPr>
                <w:i/>
                <w:iCs/>
                <w:color w:val="000000"/>
                <w:sz w:val="16"/>
                <w:szCs w:val="16"/>
              </w:rPr>
            </w:pPr>
            <w:r w:rsidRPr="000A09B4">
              <w:rPr>
                <w:i/>
                <w:iCs/>
                <w:color w:val="000000"/>
                <w:sz w:val="16"/>
                <w:szCs w:val="16"/>
              </w:rPr>
              <w:t>599</w:t>
            </w:r>
          </w:p>
        </w:tc>
        <w:tc>
          <w:tcPr>
            <w:tcW w:w="960" w:type="dxa"/>
            <w:tcBorders>
              <w:top w:val="nil"/>
              <w:left w:val="nil"/>
              <w:bottom w:val="nil"/>
              <w:right w:val="nil"/>
            </w:tcBorders>
            <w:shd w:val="clear" w:color="auto" w:fill="auto"/>
            <w:noWrap/>
            <w:vAlign w:val="bottom"/>
            <w:hideMark/>
          </w:tcPr>
          <w:p w14:paraId="58A13C54" w14:textId="77777777" w:rsidR="000A09B4" w:rsidRPr="000A09B4" w:rsidRDefault="000A09B4" w:rsidP="0025317F">
            <w:pPr>
              <w:spacing w:after="120"/>
              <w:jc w:val="right"/>
              <w:rPr>
                <w:i/>
                <w:iCs/>
                <w:color w:val="000000"/>
                <w:sz w:val="16"/>
                <w:szCs w:val="16"/>
              </w:rPr>
            </w:pPr>
            <w:r w:rsidRPr="000A09B4">
              <w:rPr>
                <w:i/>
                <w:iCs/>
                <w:color w:val="000000"/>
                <w:sz w:val="16"/>
                <w:szCs w:val="16"/>
              </w:rPr>
              <w:t>438</w:t>
            </w:r>
          </w:p>
        </w:tc>
        <w:tc>
          <w:tcPr>
            <w:tcW w:w="960" w:type="dxa"/>
            <w:tcBorders>
              <w:top w:val="nil"/>
              <w:left w:val="nil"/>
              <w:bottom w:val="nil"/>
              <w:right w:val="nil"/>
            </w:tcBorders>
            <w:shd w:val="clear" w:color="auto" w:fill="auto"/>
            <w:noWrap/>
            <w:vAlign w:val="bottom"/>
            <w:hideMark/>
          </w:tcPr>
          <w:p w14:paraId="3C944712" w14:textId="77777777" w:rsidR="000A09B4" w:rsidRPr="000A09B4" w:rsidRDefault="000A09B4" w:rsidP="0025317F">
            <w:pPr>
              <w:spacing w:after="120"/>
              <w:jc w:val="right"/>
              <w:rPr>
                <w:i/>
                <w:iCs/>
                <w:color w:val="000000"/>
                <w:sz w:val="16"/>
                <w:szCs w:val="16"/>
              </w:rPr>
            </w:pPr>
            <w:r w:rsidRPr="000A09B4">
              <w:rPr>
                <w:i/>
                <w:iCs/>
                <w:color w:val="000000"/>
                <w:sz w:val="16"/>
                <w:szCs w:val="16"/>
              </w:rPr>
              <w:t>906</w:t>
            </w:r>
          </w:p>
        </w:tc>
        <w:tc>
          <w:tcPr>
            <w:tcW w:w="960" w:type="dxa"/>
            <w:tcBorders>
              <w:top w:val="nil"/>
              <w:left w:val="single" w:sz="8" w:space="0" w:color="auto"/>
              <w:bottom w:val="nil"/>
              <w:right w:val="single" w:sz="8" w:space="0" w:color="auto"/>
            </w:tcBorders>
            <w:shd w:val="clear" w:color="auto" w:fill="auto"/>
            <w:noWrap/>
            <w:vAlign w:val="bottom"/>
            <w:hideMark/>
          </w:tcPr>
          <w:p w14:paraId="1F774E3D" w14:textId="77777777"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nil"/>
              <w:right w:val="single" w:sz="8" w:space="0" w:color="auto"/>
            </w:tcBorders>
            <w:shd w:val="clear" w:color="auto" w:fill="auto"/>
            <w:noWrap/>
            <w:vAlign w:val="bottom"/>
            <w:hideMark/>
          </w:tcPr>
          <w:p w14:paraId="3F0145B0" w14:textId="77777777" w:rsidR="000A09B4" w:rsidRPr="000A09B4" w:rsidRDefault="000A09B4" w:rsidP="0025317F">
            <w:pPr>
              <w:spacing w:after="120"/>
              <w:jc w:val="right"/>
              <w:rPr>
                <w:i/>
                <w:iCs/>
                <w:color w:val="000000"/>
                <w:sz w:val="16"/>
                <w:szCs w:val="16"/>
              </w:rPr>
            </w:pPr>
            <w:r w:rsidRPr="000A09B4">
              <w:rPr>
                <w:i/>
                <w:iCs/>
                <w:color w:val="000000"/>
                <w:sz w:val="16"/>
                <w:szCs w:val="16"/>
              </w:rPr>
              <w:t>606</w:t>
            </w:r>
          </w:p>
        </w:tc>
        <w:tc>
          <w:tcPr>
            <w:tcW w:w="960" w:type="dxa"/>
            <w:tcBorders>
              <w:top w:val="nil"/>
              <w:left w:val="nil"/>
              <w:bottom w:val="single" w:sz="4" w:space="0" w:color="auto"/>
              <w:right w:val="single" w:sz="4" w:space="0" w:color="auto"/>
            </w:tcBorders>
            <w:shd w:val="clear" w:color="auto" w:fill="auto"/>
            <w:noWrap/>
            <w:vAlign w:val="bottom"/>
            <w:hideMark/>
          </w:tcPr>
          <w:p w14:paraId="2EDB4E60" w14:textId="77777777" w:rsidR="000A09B4" w:rsidRPr="000A09B4" w:rsidRDefault="000A09B4" w:rsidP="0025317F">
            <w:pPr>
              <w:spacing w:after="120"/>
              <w:jc w:val="right"/>
              <w:rPr>
                <w:i/>
                <w:iCs/>
                <w:color w:val="000000"/>
                <w:sz w:val="16"/>
                <w:szCs w:val="16"/>
              </w:rPr>
            </w:pPr>
            <w:r w:rsidRPr="000A09B4">
              <w:rPr>
                <w:i/>
                <w:iCs/>
                <w:color w:val="000000"/>
                <w:sz w:val="16"/>
                <w:szCs w:val="16"/>
              </w:rPr>
              <w:t>6623</w:t>
            </w:r>
          </w:p>
        </w:tc>
        <w:tc>
          <w:tcPr>
            <w:tcW w:w="960" w:type="dxa"/>
            <w:tcBorders>
              <w:top w:val="nil"/>
              <w:left w:val="nil"/>
              <w:bottom w:val="nil"/>
              <w:right w:val="nil"/>
            </w:tcBorders>
            <w:shd w:val="clear" w:color="auto" w:fill="auto"/>
            <w:noWrap/>
            <w:vAlign w:val="bottom"/>
            <w:hideMark/>
          </w:tcPr>
          <w:p w14:paraId="2E5A7FC2" w14:textId="77777777" w:rsidR="000A09B4" w:rsidRPr="000A09B4" w:rsidRDefault="000A09B4" w:rsidP="0025317F">
            <w:pPr>
              <w:spacing w:after="120"/>
              <w:jc w:val="right"/>
              <w:rPr>
                <w:i/>
                <w:iCs/>
                <w:color w:val="000000"/>
                <w:sz w:val="16"/>
                <w:szCs w:val="16"/>
              </w:rPr>
            </w:pPr>
            <w:r w:rsidRPr="000A09B4">
              <w:rPr>
                <w:i/>
                <w:iCs/>
                <w:color w:val="000000"/>
                <w:sz w:val="16"/>
                <w:szCs w:val="16"/>
              </w:rPr>
              <w:t>5287</w:t>
            </w:r>
          </w:p>
        </w:tc>
        <w:tc>
          <w:tcPr>
            <w:tcW w:w="1060" w:type="dxa"/>
            <w:tcBorders>
              <w:top w:val="nil"/>
              <w:left w:val="single" w:sz="8" w:space="0" w:color="auto"/>
              <w:bottom w:val="nil"/>
              <w:right w:val="single" w:sz="8" w:space="0" w:color="auto"/>
            </w:tcBorders>
            <w:shd w:val="clear" w:color="auto" w:fill="auto"/>
            <w:noWrap/>
            <w:vAlign w:val="bottom"/>
            <w:hideMark/>
          </w:tcPr>
          <w:p w14:paraId="60E408DF" w14:textId="77777777" w:rsidR="000A09B4" w:rsidRPr="000A09B4" w:rsidRDefault="000A09B4" w:rsidP="0025317F">
            <w:pPr>
              <w:spacing w:after="120"/>
              <w:jc w:val="right"/>
              <w:rPr>
                <w:i/>
                <w:iCs/>
                <w:color w:val="000000"/>
                <w:sz w:val="16"/>
                <w:szCs w:val="16"/>
              </w:rPr>
            </w:pPr>
            <w:r w:rsidRPr="000A09B4">
              <w:rPr>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14:paraId="27353339" w14:textId="77777777"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EFACDE0" w14:textId="77777777" w:rsidR="000A09B4" w:rsidRPr="000A09B4" w:rsidRDefault="000A09B4" w:rsidP="0025317F">
            <w:pPr>
              <w:spacing w:after="120"/>
              <w:jc w:val="right"/>
              <w:rPr>
                <w:b/>
                <w:bCs/>
                <w:i/>
                <w:iCs/>
                <w:color w:val="000000"/>
                <w:sz w:val="16"/>
                <w:szCs w:val="16"/>
              </w:rPr>
            </w:pPr>
            <w:r w:rsidRPr="000A09B4">
              <w:rPr>
                <w:b/>
                <w:bCs/>
                <w:i/>
                <w:iCs/>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36B8DEBF" w14:textId="77777777" w:rsidR="000A09B4" w:rsidRPr="000A09B4" w:rsidRDefault="000A09B4"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6D460D17" w14:textId="77777777" w:rsidR="000A09B4" w:rsidRPr="000A09B4" w:rsidRDefault="000A09B4" w:rsidP="0025317F">
            <w:pPr>
              <w:spacing w:after="120"/>
              <w:jc w:val="right"/>
              <w:rPr>
                <w:b/>
                <w:bCs/>
                <w:i/>
                <w:iCs/>
                <w:color w:val="000000"/>
                <w:sz w:val="16"/>
                <w:szCs w:val="16"/>
              </w:rPr>
            </w:pPr>
            <w:r w:rsidRPr="000A09B4">
              <w:rPr>
                <w:b/>
                <w:bCs/>
                <w:i/>
                <w:iCs/>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3371250A" w14:textId="77777777"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6A6C9E0" w14:textId="77777777" w:rsidR="000A09B4" w:rsidRPr="000A09B4" w:rsidRDefault="000A09B4" w:rsidP="0025317F">
            <w:pPr>
              <w:spacing w:after="120"/>
              <w:jc w:val="right"/>
              <w:rPr>
                <w:i/>
                <w:iCs/>
                <w:color w:val="000000"/>
                <w:sz w:val="16"/>
                <w:szCs w:val="16"/>
              </w:rPr>
            </w:pPr>
            <w:r w:rsidRPr="000A09B4">
              <w:rPr>
                <w:i/>
                <w:iCs/>
                <w:color w:val="000000"/>
                <w:sz w:val="16"/>
                <w:szCs w:val="16"/>
              </w:rPr>
              <w:t>1</w:t>
            </w:r>
          </w:p>
        </w:tc>
      </w:tr>
    </w:tbl>
    <w:p w14:paraId="11D4C667" w14:textId="77777777" w:rsidR="004546C7" w:rsidRPr="00327DAE" w:rsidRDefault="004546C7" w:rsidP="0025317F">
      <w:pPr>
        <w:spacing w:after="120"/>
        <w:rPr>
          <w:sz w:val="24"/>
          <w:szCs w:val="24"/>
        </w:rPr>
      </w:pPr>
    </w:p>
    <w:p w14:paraId="0CF5087E" w14:textId="77777777" w:rsidR="004F5934" w:rsidRDefault="004F5934">
      <w:pPr>
        <w:widowControl/>
        <w:adjustRightInd/>
        <w:spacing w:after="160" w:line="259" w:lineRule="auto"/>
        <w:jc w:val="left"/>
        <w:textAlignment w:val="auto"/>
        <w:rPr>
          <w:sz w:val="24"/>
          <w:szCs w:val="24"/>
        </w:rPr>
      </w:pPr>
      <w:r>
        <w:rPr>
          <w:sz w:val="24"/>
          <w:szCs w:val="24"/>
        </w:rPr>
        <w:br w:type="page"/>
      </w:r>
    </w:p>
    <w:p w14:paraId="2ACC0787" w14:textId="09E40DE0" w:rsidR="004546C7" w:rsidRPr="00327DAE" w:rsidRDefault="004546C7" w:rsidP="0025317F">
      <w:pPr>
        <w:spacing w:after="120"/>
        <w:ind w:firstLine="720"/>
        <w:rPr>
          <w:sz w:val="24"/>
          <w:szCs w:val="24"/>
        </w:rPr>
      </w:pPr>
      <w:r w:rsidRPr="00327DAE">
        <w:rPr>
          <w:sz w:val="24"/>
          <w:szCs w:val="24"/>
        </w:rPr>
        <w:lastRenderedPageBreak/>
        <w:t xml:space="preserve">Tiesnesis </w:t>
      </w:r>
      <w:r w:rsidR="00A77BA8">
        <w:rPr>
          <w:sz w:val="24"/>
          <w:szCs w:val="24"/>
        </w:rPr>
        <w:t>D. </w:t>
      </w:r>
      <w:r w:rsidRPr="00327DAE">
        <w:rPr>
          <w:sz w:val="24"/>
          <w:szCs w:val="24"/>
        </w:rPr>
        <w:t>Plaudis</w:t>
      </w:r>
    </w:p>
    <w:tbl>
      <w:tblPr>
        <w:tblW w:w="15426" w:type="dxa"/>
        <w:tblInd w:w="-926" w:type="dxa"/>
        <w:tblLook w:val="04A0" w:firstRow="1" w:lastRow="0" w:firstColumn="1" w:lastColumn="0" w:noHBand="0" w:noVBand="1"/>
      </w:tblPr>
      <w:tblGrid>
        <w:gridCol w:w="960"/>
        <w:gridCol w:w="960"/>
        <w:gridCol w:w="960"/>
        <w:gridCol w:w="960"/>
        <w:gridCol w:w="960"/>
        <w:gridCol w:w="960"/>
        <w:gridCol w:w="960"/>
        <w:gridCol w:w="960"/>
        <w:gridCol w:w="960"/>
        <w:gridCol w:w="1020"/>
        <w:gridCol w:w="960"/>
        <w:gridCol w:w="963"/>
        <w:gridCol w:w="960"/>
        <w:gridCol w:w="963"/>
        <w:gridCol w:w="960"/>
        <w:gridCol w:w="960"/>
      </w:tblGrid>
      <w:tr w:rsidR="004546C7" w:rsidRPr="000A09B4" w14:paraId="2A29D19C" w14:textId="77777777" w:rsidTr="000A09B4">
        <w:trPr>
          <w:trHeight w:val="300"/>
        </w:trPr>
        <w:tc>
          <w:tcPr>
            <w:tcW w:w="960" w:type="dxa"/>
            <w:tcBorders>
              <w:top w:val="nil"/>
              <w:left w:val="nil"/>
              <w:bottom w:val="nil"/>
              <w:right w:val="nil"/>
            </w:tcBorders>
            <w:shd w:val="clear" w:color="auto" w:fill="auto"/>
            <w:noWrap/>
            <w:vAlign w:val="bottom"/>
            <w:hideMark/>
          </w:tcPr>
          <w:p w14:paraId="7049A307" w14:textId="77777777" w:rsidR="004546C7" w:rsidRPr="000A09B4" w:rsidRDefault="004546C7" w:rsidP="0025317F">
            <w:pPr>
              <w:spacing w:after="120"/>
              <w:rPr>
                <w:sz w:val="16"/>
                <w:szCs w:val="16"/>
              </w:rPr>
            </w:pPr>
          </w:p>
        </w:tc>
        <w:tc>
          <w:tcPr>
            <w:tcW w:w="4800" w:type="dxa"/>
            <w:gridSpan w:val="5"/>
            <w:tcBorders>
              <w:top w:val="nil"/>
              <w:left w:val="nil"/>
              <w:bottom w:val="nil"/>
              <w:right w:val="nil"/>
            </w:tcBorders>
            <w:shd w:val="clear" w:color="auto" w:fill="auto"/>
            <w:noWrap/>
            <w:vAlign w:val="bottom"/>
            <w:hideMark/>
          </w:tcPr>
          <w:p w14:paraId="54002D57" w14:textId="77777777"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14:paraId="25D84EBB"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76511387" w14:textId="77777777"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14:paraId="1F6719B5" w14:textId="77777777" w:rsidR="004546C7" w:rsidRPr="000A09B4" w:rsidRDefault="004546C7" w:rsidP="0025317F">
            <w:pPr>
              <w:spacing w:after="120"/>
              <w:rPr>
                <w:sz w:val="16"/>
                <w:szCs w:val="16"/>
              </w:rPr>
            </w:pPr>
          </w:p>
        </w:tc>
        <w:tc>
          <w:tcPr>
            <w:tcW w:w="1020" w:type="dxa"/>
            <w:tcBorders>
              <w:top w:val="nil"/>
              <w:left w:val="nil"/>
              <w:bottom w:val="nil"/>
              <w:right w:val="nil"/>
            </w:tcBorders>
            <w:shd w:val="clear" w:color="auto" w:fill="auto"/>
            <w:noWrap/>
            <w:vAlign w:val="bottom"/>
            <w:hideMark/>
          </w:tcPr>
          <w:p w14:paraId="5151EB60" w14:textId="77777777" w:rsidR="004546C7" w:rsidRPr="000A09B4" w:rsidRDefault="004546C7" w:rsidP="0025317F">
            <w:pPr>
              <w:spacing w:after="120"/>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BFABAC" w14:textId="77777777" w:rsidR="004546C7" w:rsidRPr="000A09B4" w:rsidRDefault="004546C7"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4546C7" w:rsidRPr="000A09B4" w14:paraId="1B66FEAA" w14:textId="77777777" w:rsidTr="000A09B4">
        <w:trPr>
          <w:trHeight w:val="15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0545" w14:textId="77777777"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E5F95D" w14:textId="77777777"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9C41B3" w14:textId="77777777"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5912C80" w14:textId="77777777"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D64CE05" w14:textId="77777777"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0F40588A" w14:textId="77777777"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32915B98" w14:textId="77777777"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73B3EC" w14:textId="77777777"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ACA0A76" w14:textId="77777777"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0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4002906" w14:textId="77777777"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 civillietās</w:t>
            </w:r>
          </w:p>
        </w:tc>
        <w:tc>
          <w:tcPr>
            <w:tcW w:w="960" w:type="dxa"/>
            <w:tcBorders>
              <w:top w:val="nil"/>
              <w:left w:val="nil"/>
              <w:bottom w:val="nil"/>
              <w:right w:val="nil"/>
            </w:tcBorders>
            <w:shd w:val="clear" w:color="auto" w:fill="auto"/>
            <w:vAlign w:val="center"/>
            <w:hideMark/>
          </w:tcPr>
          <w:p w14:paraId="35328656" w14:textId="77777777"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14:paraId="6E586772" w14:textId="77777777" w:rsidR="004546C7" w:rsidRPr="000A09B4" w:rsidRDefault="004546C7" w:rsidP="0025317F">
            <w:pPr>
              <w:spacing w:after="120"/>
              <w:rPr>
                <w:color w:val="000000"/>
                <w:sz w:val="16"/>
                <w:szCs w:val="16"/>
              </w:rPr>
            </w:pPr>
            <w:r w:rsidRPr="000A09B4">
              <w:rPr>
                <w:color w:val="000000"/>
                <w:sz w:val="16"/>
                <w:szCs w:val="16"/>
              </w:rPr>
              <w:t>Spriedums atcelts pilnīgi</w:t>
            </w:r>
            <w:proofErr w:type="gramStart"/>
            <w:r w:rsidRPr="000A09B4">
              <w:rPr>
                <w:color w:val="000000"/>
                <w:sz w:val="16"/>
                <w:szCs w:val="16"/>
              </w:rPr>
              <w:t xml:space="preserve"> un</w:t>
            </w:r>
            <w:proofErr w:type="gramEnd"/>
            <w:r w:rsidRPr="000A09B4">
              <w:rPr>
                <w:color w:val="000000"/>
                <w:sz w:val="16"/>
                <w:szCs w:val="16"/>
              </w:rPr>
              <w:t xml:space="preserve"> lieta nosūtīta jaunai izskatīšanai</w:t>
            </w:r>
          </w:p>
        </w:tc>
        <w:tc>
          <w:tcPr>
            <w:tcW w:w="960" w:type="dxa"/>
            <w:tcBorders>
              <w:top w:val="nil"/>
              <w:left w:val="nil"/>
              <w:bottom w:val="nil"/>
              <w:right w:val="single" w:sz="4" w:space="0" w:color="auto"/>
            </w:tcBorders>
            <w:shd w:val="clear" w:color="auto" w:fill="auto"/>
            <w:vAlign w:val="center"/>
            <w:hideMark/>
          </w:tcPr>
          <w:p w14:paraId="50856C93" w14:textId="77777777"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14:paraId="29A311B4" w14:textId="77777777" w:rsidR="004546C7" w:rsidRPr="000A09B4" w:rsidRDefault="004546C7" w:rsidP="0025317F">
            <w:pPr>
              <w:spacing w:after="120"/>
              <w:rPr>
                <w:color w:val="000000"/>
                <w:sz w:val="16"/>
                <w:szCs w:val="16"/>
              </w:rPr>
            </w:pPr>
            <w:r w:rsidRPr="000A09B4">
              <w:rPr>
                <w:color w:val="000000"/>
                <w:sz w:val="16"/>
                <w:szCs w:val="16"/>
              </w:rPr>
              <w:t>Lēmums atcelts pilnīgi</w:t>
            </w:r>
            <w:proofErr w:type="gramStart"/>
            <w:r w:rsidRPr="000A09B4">
              <w:rPr>
                <w:color w:val="000000"/>
                <w:sz w:val="16"/>
                <w:szCs w:val="16"/>
              </w:rPr>
              <w:t xml:space="preserve"> un</w:t>
            </w:r>
            <w:proofErr w:type="gramEnd"/>
            <w:r w:rsidRPr="000A09B4">
              <w:rPr>
                <w:color w:val="000000"/>
                <w:sz w:val="16"/>
                <w:szCs w:val="16"/>
              </w:rPr>
              <w:t xml:space="preserve">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14:paraId="6FEAF91C" w14:textId="77777777"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14:paraId="24639565" w14:textId="77777777"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0A09B4" w14:paraId="1FB5D43A"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44715C" w14:textId="77777777"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nil"/>
              <w:bottom w:val="single" w:sz="4" w:space="0" w:color="auto"/>
              <w:right w:val="single" w:sz="4" w:space="0" w:color="auto"/>
            </w:tcBorders>
            <w:shd w:val="clear" w:color="auto" w:fill="auto"/>
            <w:noWrap/>
            <w:vAlign w:val="bottom"/>
            <w:hideMark/>
          </w:tcPr>
          <w:p w14:paraId="31BDB9B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689FBB7" w14:textId="77777777" w:rsidR="004546C7" w:rsidRPr="000A09B4" w:rsidRDefault="004546C7" w:rsidP="0025317F">
            <w:pPr>
              <w:spacing w:after="120"/>
              <w:jc w:val="right"/>
              <w:rPr>
                <w:color w:val="000000"/>
                <w:sz w:val="16"/>
                <w:szCs w:val="16"/>
              </w:rPr>
            </w:pPr>
            <w:r w:rsidRPr="000A09B4">
              <w:rPr>
                <w:color w:val="000000"/>
                <w:sz w:val="16"/>
                <w:szCs w:val="16"/>
              </w:rPr>
              <w:t>25</w:t>
            </w:r>
          </w:p>
        </w:tc>
        <w:tc>
          <w:tcPr>
            <w:tcW w:w="960" w:type="dxa"/>
            <w:tcBorders>
              <w:top w:val="nil"/>
              <w:left w:val="nil"/>
              <w:bottom w:val="single" w:sz="4" w:space="0" w:color="auto"/>
              <w:right w:val="single" w:sz="4" w:space="0" w:color="auto"/>
            </w:tcBorders>
            <w:shd w:val="clear" w:color="auto" w:fill="auto"/>
            <w:noWrap/>
            <w:vAlign w:val="bottom"/>
            <w:hideMark/>
          </w:tcPr>
          <w:p w14:paraId="068A86B5" w14:textId="77777777"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nil"/>
              <w:bottom w:val="single" w:sz="4" w:space="0" w:color="auto"/>
              <w:right w:val="single" w:sz="8" w:space="0" w:color="auto"/>
            </w:tcBorders>
            <w:shd w:val="clear" w:color="auto" w:fill="auto"/>
            <w:noWrap/>
            <w:vAlign w:val="bottom"/>
            <w:hideMark/>
          </w:tcPr>
          <w:p w14:paraId="0B5E7E76" w14:textId="77777777" w:rsidR="004546C7" w:rsidRPr="000A09B4" w:rsidRDefault="004546C7" w:rsidP="0025317F">
            <w:pPr>
              <w:spacing w:after="120"/>
              <w:jc w:val="right"/>
              <w:rPr>
                <w:color w:val="000000"/>
                <w:sz w:val="16"/>
                <w:szCs w:val="16"/>
              </w:rPr>
            </w:pPr>
            <w:r w:rsidRPr="000A09B4">
              <w:rPr>
                <w:color w:val="000000"/>
                <w:sz w:val="16"/>
                <w:szCs w:val="16"/>
              </w:rPr>
              <w:t>485</w:t>
            </w:r>
          </w:p>
        </w:tc>
        <w:tc>
          <w:tcPr>
            <w:tcW w:w="960" w:type="dxa"/>
            <w:tcBorders>
              <w:top w:val="nil"/>
              <w:left w:val="nil"/>
              <w:bottom w:val="single" w:sz="4" w:space="0" w:color="auto"/>
              <w:right w:val="single" w:sz="8" w:space="0" w:color="auto"/>
            </w:tcBorders>
            <w:shd w:val="clear" w:color="auto" w:fill="auto"/>
            <w:noWrap/>
            <w:vAlign w:val="bottom"/>
            <w:hideMark/>
          </w:tcPr>
          <w:p w14:paraId="43262AE4" w14:textId="77777777" w:rsidR="004546C7" w:rsidRPr="000A09B4" w:rsidRDefault="004546C7" w:rsidP="0025317F">
            <w:pPr>
              <w:spacing w:after="120"/>
              <w:jc w:val="right"/>
              <w:rPr>
                <w:color w:val="000000"/>
                <w:sz w:val="16"/>
                <w:szCs w:val="16"/>
              </w:rPr>
            </w:pPr>
            <w:r w:rsidRPr="000A09B4">
              <w:rPr>
                <w:color w:val="000000"/>
                <w:sz w:val="16"/>
                <w:szCs w:val="16"/>
              </w:rPr>
              <w:t>1009</w:t>
            </w:r>
          </w:p>
        </w:tc>
        <w:tc>
          <w:tcPr>
            <w:tcW w:w="960" w:type="dxa"/>
            <w:tcBorders>
              <w:top w:val="single" w:sz="4" w:space="0" w:color="auto"/>
              <w:left w:val="nil"/>
              <w:bottom w:val="single" w:sz="4" w:space="0" w:color="auto"/>
              <w:right w:val="nil"/>
            </w:tcBorders>
            <w:shd w:val="clear" w:color="auto" w:fill="auto"/>
            <w:noWrap/>
            <w:vAlign w:val="bottom"/>
            <w:hideMark/>
          </w:tcPr>
          <w:p w14:paraId="2A48453F" w14:textId="77777777" w:rsidR="004546C7" w:rsidRPr="000A09B4" w:rsidRDefault="004546C7" w:rsidP="0025317F">
            <w:pPr>
              <w:spacing w:after="120"/>
              <w:jc w:val="right"/>
              <w:rPr>
                <w:color w:val="000000"/>
                <w:sz w:val="16"/>
                <w:szCs w:val="16"/>
              </w:rPr>
            </w:pPr>
            <w:r w:rsidRPr="000A09B4">
              <w:rPr>
                <w:color w:val="000000"/>
                <w:sz w:val="16"/>
                <w:szCs w:val="16"/>
              </w:rPr>
              <w:t>1034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1954240" w14:textId="77777777" w:rsidR="004546C7" w:rsidRPr="000A09B4" w:rsidRDefault="004546C7" w:rsidP="0025317F">
            <w:pPr>
              <w:spacing w:after="120"/>
              <w:jc w:val="right"/>
              <w:rPr>
                <w:color w:val="000000"/>
                <w:sz w:val="16"/>
                <w:szCs w:val="16"/>
              </w:rPr>
            </w:pPr>
            <w:r w:rsidRPr="000A09B4">
              <w:rPr>
                <w:color w:val="000000"/>
                <w:sz w:val="16"/>
                <w:szCs w:val="16"/>
              </w:rPr>
              <w:t>2229</w:t>
            </w:r>
          </w:p>
        </w:tc>
        <w:tc>
          <w:tcPr>
            <w:tcW w:w="960" w:type="dxa"/>
            <w:tcBorders>
              <w:top w:val="nil"/>
              <w:left w:val="nil"/>
              <w:bottom w:val="single" w:sz="4" w:space="0" w:color="auto"/>
              <w:right w:val="nil"/>
            </w:tcBorders>
            <w:shd w:val="clear" w:color="auto" w:fill="auto"/>
            <w:noWrap/>
            <w:vAlign w:val="bottom"/>
            <w:hideMark/>
          </w:tcPr>
          <w:p w14:paraId="461B6C37" w14:textId="77777777" w:rsidR="004546C7" w:rsidRPr="000A09B4" w:rsidRDefault="004546C7" w:rsidP="0025317F">
            <w:pPr>
              <w:spacing w:after="120"/>
              <w:jc w:val="right"/>
              <w:rPr>
                <w:color w:val="000000"/>
                <w:sz w:val="16"/>
                <w:szCs w:val="16"/>
              </w:rPr>
            </w:pPr>
            <w:r w:rsidRPr="000A09B4">
              <w:rPr>
                <w:color w:val="000000"/>
                <w:sz w:val="16"/>
                <w:szCs w:val="16"/>
              </w:rPr>
              <w:t>1205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2513411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B4D14A"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29CDFE1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999C1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4605C8C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6F3D9B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3F38158"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5799D096"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9B84F2" w14:textId="77777777"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nil"/>
              <w:bottom w:val="single" w:sz="4" w:space="0" w:color="auto"/>
              <w:right w:val="single" w:sz="4" w:space="0" w:color="auto"/>
            </w:tcBorders>
            <w:shd w:val="clear" w:color="auto" w:fill="auto"/>
            <w:noWrap/>
            <w:vAlign w:val="bottom"/>
            <w:hideMark/>
          </w:tcPr>
          <w:p w14:paraId="7248038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FBBC35B" w14:textId="77777777" w:rsidR="004546C7" w:rsidRPr="000A09B4" w:rsidRDefault="004546C7" w:rsidP="0025317F">
            <w:pPr>
              <w:spacing w:after="120"/>
              <w:jc w:val="right"/>
              <w:rPr>
                <w:color w:val="000000"/>
                <w:sz w:val="16"/>
                <w:szCs w:val="16"/>
              </w:rPr>
            </w:pPr>
            <w:r w:rsidRPr="000A09B4">
              <w:rPr>
                <w:color w:val="000000"/>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14:paraId="7142632E" w14:textId="77777777" w:rsidR="004546C7" w:rsidRPr="000A09B4" w:rsidRDefault="004546C7" w:rsidP="0025317F">
            <w:pPr>
              <w:spacing w:after="120"/>
              <w:jc w:val="right"/>
              <w:rPr>
                <w:color w:val="000000"/>
                <w:sz w:val="16"/>
                <w:szCs w:val="16"/>
              </w:rPr>
            </w:pPr>
            <w:r w:rsidRPr="000A09B4">
              <w:rPr>
                <w:color w:val="000000"/>
                <w:sz w:val="16"/>
                <w:szCs w:val="16"/>
              </w:rPr>
              <w:t>13</w:t>
            </w:r>
          </w:p>
        </w:tc>
        <w:tc>
          <w:tcPr>
            <w:tcW w:w="960" w:type="dxa"/>
            <w:tcBorders>
              <w:top w:val="nil"/>
              <w:left w:val="nil"/>
              <w:bottom w:val="single" w:sz="4" w:space="0" w:color="auto"/>
              <w:right w:val="single" w:sz="8" w:space="0" w:color="auto"/>
            </w:tcBorders>
            <w:shd w:val="clear" w:color="auto" w:fill="auto"/>
            <w:noWrap/>
            <w:vAlign w:val="bottom"/>
            <w:hideMark/>
          </w:tcPr>
          <w:p w14:paraId="1AE3D5D9" w14:textId="77777777" w:rsidR="004546C7" w:rsidRPr="000A09B4" w:rsidRDefault="004546C7" w:rsidP="0025317F">
            <w:pPr>
              <w:spacing w:after="120"/>
              <w:jc w:val="right"/>
              <w:rPr>
                <w:color w:val="000000"/>
                <w:sz w:val="16"/>
                <w:szCs w:val="16"/>
              </w:rPr>
            </w:pPr>
            <w:r w:rsidRPr="000A09B4">
              <w:rPr>
                <w:color w:val="000000"/>
                <w:sz w:val="16"/>
                <w:szCs w:val="16"/>
              </w:rPr>
              <w:t>599</w:t>
            </w:r>
          </w:p>
        </w:tc>
        <w:tc>
          <w:tcPr>
            <w:tcW w:w="960" w:type="dxa"/>
            <w:tcBorders>
              <w:top w:val="nil"/>
              <w:left w:val="nil"/>
              <w:bottom w:val="single" w:sz="4" w:space="0" w:color="auto"/>
              <w:right w:val="single" w:sz="8" w:space="0" w:color="auto"/>
            </w:tcBorders>
            <w:shd w:val="clear" w:color="auto" w:fill="auto"/>
            <w:noWrap/>
            <w:vAlign w:val="bottom"/>
            <w:hideMark/>
          </w:tcPr>
          <w:p w14:paraId="318F9C4E" w14:textId="77777777" w:rsidR="004546C7" w:rsidRPr="000A09B4" w:rsidRDefault="004546C7" w:rsidP="0025317F">
            <w:pPr>
              <w:spacing w:after="120"/>
              <w:jc w:val="right"/>
              <w:rPr>
                <w:color w:val="000000"/>
                <w:sz w:val="16"/>
                <w:szCs w:val="16"/>
              </w:rPr>
            </w:pPr>
            <w:r w:rsidRPr="000A09B4">
              <w:rPr>
                <w:color w:val="000000"/>
                <w:sz w:val="16"/>
                <w:szCs w:val="16"/>
              </w:rPr>
              <w:t>948</w:t>
            </w:r>
          </w:p>
        </w:tc>
        <w:tc>
          <w:tcPr>
            <w:tcW w:w="960" w:type="dxa"/>
            <w:tcBorders>
              <w:top w:val="nil"/>
              <w:left w:val="nil"/>
              <w:bottom w:val="single" w:sz="4" w:space="0" w:color="auto"/>
              <w:right w:val="nil"/>
            </w:tcBorders>
            <w:shd w:val="clear" w:color="auto" w:fill="auto"/>
            <w:noWrap/>
            <w:vAlign w:val="bottom"/>
            <w:hideMark/>
          </w:tcPr>
          <w:p w14:paraId="6D6C3832" w14:textId="77777777" w:rsidR="004546C7" w:rsidRPr="000A09B4" w:rsidRDefault="004546C7" w:rsidP="0025317F">
            <w:pPr>
              <w:spacing w:after="120"/>
              <w:jc w:val="right"/>
              <w:rPr>
                <w:color w:val="000000"/>
                <w:sz w:val="16"/>
                <w:szCs w:val="16"/>
              </w:rPr>
            </w:pPr>
            <w:r w:rsidRPr="000A09B4">
              <w:rPr>
                <w:color w:val="000000"/>
                <w:sz w:val="16"/>
                <w:szCs w:val="16"/>
              </w:rPr>
              <w:t>970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B4CA86" w14:textId="77777777" w:rsidR="004546C7" w:rsidRPr="000A09B4" w:rsidRDefault="004546C7" w:rsidP="0025317F">
            <w:pPr>
              <w:spacing w:after="120"/>
              <w:jc w:val="right"/>
              <w:rPr>
                <w:color w:val="000000"/>
                <w:sz w:val="16"/>
                <w:szCs w:val="16"/>
              </w:rPr>
            </w:pPr>
            <w:r w:rsidRPr="000A09B4">
              <w:rPr>
                <w:color w:val="000000"/>
                <w:sz w:val="16"/>
                <w:szCs w:val="16"/>
              </w:rPr>
              <w:t>2500</w:t>
            </w:r>
          </w:p>
        </w:tc>
        <w:tc>
          <w:tcPr>
            <w:tcW w:w="960" w:type="dxa"/>
            <w:tcBorders>
              <w:top w:val="nil"/>
              <w:left w:val="nil"/>
              <w:bottom w:val="single" w:sz="4" w:space="0" w:color="auto"/>
              <w:right w:val="nil"/>
            </w:tcBorders>
            <w:shd w:val="clear" w:color="auto" w:fill="auto"/>
            <w:noWrap/>
            <w:vAlign w:val="bottom"/>
            <w:hideMark/>
          </w:tcPr>
          <w:p w14:paraId="11CA7A55" w14:textId="77777777" w:rsidR="004546C7" w:rsidRPr="000A09B4" w:rsidRDefault="004546C7" w:rsidP="0025317F">
            <w:pPr>
              <w:spacing w:after="120"/>
              <w:jc w:val="right"/>
              <w:rPr>
                <w:color w:val="000000"/>
                <w:sz w:val="16"/>
                <w:szCs w:val="16"/>
              </w:rPr>
            </w:pPr>
            <w:r w:rsidRPr="000A09B4">
              <w:rPr>
                <w:color w:val="000000"/>
                <w:sz w:val="16"/>
                <w:szCs w:val="16"/>
              </w:rPr>
              <w:t>1528</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1FC3C7E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4D8A529"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7644F13B"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DE74E6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DB6D97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AC0CE1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1AE5258"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25BB00D8"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3E36F" w14:textId="77777777"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B98E41A"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3739DEC" w14:textId="77777777" w:rsidR="004546C7" w:rsidRPr="000A09B4" w:rsidRDefault="004546C7" w:rsidP="0025317F">
            <w:pPr>
              <w:spacing w:after="120"/>
              <w:jc w:val="right"/>
              <w:rPr>
                <w:color w:val="000000"/>
                <w:sz w:val="16"/>
                <w:szCs w:val="16"/>
              </w:rPr>
            </w:pPr>
            <w:r w:rsidRPr="000A09B4">
              <w:rPr>
                <w:color w:val="000000"/>
                <w:sz w:val="16"/>
                <w:szCs w:val="16"/>
              </w:rPr>
              <w:t>96</w:t>
            </w:r>
          </w:p>
        </w:tc>
        <w:tc>
          <w:tcPr>
            <w:tcW w:w="960" w:type="dxa"/>
            <w:tcBorders>
              <w:top w:val="nil"/>
              <w:left w:val="nil"/>
              <w:bottom w:val="single" w:sz="4" w:space="0" w:color="auto"/>
              <w:right w:val="single" w:sz="4" w:space="0" w:color="auto"/>
            </w:tcBorders>
            <w:shd w:val="clear" w:color="auto" w:fill="auto"/>
            <w:noWrap/>
            <w:vAlign w:val="bottom"/>
            <w:hideMark/>
          </w:tcPr>
          <w:p w14:paraId="357E56D4" w14:textId="77777777" w:rsidR="004546C7" w:rsidRPr="000A09B4" w:rsidRDefault="004546C7" w:rsidP="0025317F">
            <w:pPr>
              <w:spacing w:after="120"/>
              <w:jc w:val="right"/>
              <w:rPr>
                <w:color w:val="000000"/>
                <w:sz w:val="16"/>
                <w:szCs w:val="16"/>
              </w:rPr>
            </w:pPr>
            <w:r w:rsidRPr="000A09B4">
              <w:rPr>
                <w:color w:val="000000"/>
                <w:sz w:val="16"/>
                <w:szCs w:val="16"/>
              </w:rPr>
              <w:t>57</w:t>
            </w:r>
          </w:p>
        </w:tc>
        <w:tc>
          <w:tcPr>
            <w:tcW w:w="960" w:type="dxa"/>
            <w:tcBorders>
              <w:top w:val="nil"/>
              <w:left w:val="nil"/>
              <w:bottom w:val="single" w:sz="4" w:space="0" w:color="auto"/>
              <w:right w:val="single" w:sz="8" w:space="0" w:color="auto"/>
            </w:tcBorders>
            <w:shd w:val="clear" w:color="auto" w:fill="auto"/>
            <w:noWrap/>
            <w:vAlign w:val="bottom"/>
            <w:hideMark/>
          </w:tcPr>
          <w:p w14:paraId="4AD5D2AA" w14:textId="77777777" w:rsidR="004546C7" w:rsidRPr="000A09B4" w:rsidRDefault="004546C7" w:rsidP="0025317F">
            <w:pPr>
              <w:spacing w:after="120"/>
              <w:jc w:val="right"/>
              <w:rPr>
                <w:color w:val="000000"/>
                <w:sz w:val="16"/>
                <w:szCs w:val="16"/>
              </w:rPr>
            </w:pPr>
            <w:r w:rsidRPr="000A09B4">
              <w:rPr>
                <w:color w:val="000000"/>
                <w:sz w:val="16"/>
                <w:szCs w:val="16"/>
              </w:rPr>
              <w:t>355</w:t>
            </w:r>
          </w:p>
        </w:tc>
        <w:tc>
          <w:tcPr>
            <w:tcW w:w="960" w:type="dxa"/>
            <w:tcBorders>
              <w:top w:val="nil"/>
              <w:left w:val="nil"/>
              <w:bottom w:val="single" w:sz="4" w:space="0" w:color="auto"/>
              <w:right w:val="single" w:sz="8" w:space="0" w:color="auto"/>
            </w:tcBorders>
            <w:shd w:val="clear" w:color="auto" w:fill="auto"/>
            <w:noWrap/>
            <w:vAlign w:val="bottom"/>
            <w:hideMark/>
          </w:tcPr>
          <w:p w14:paraId="07FFA0D3" w14:textId="77777777" w:rsidR="004546C7" w:rsidRPr="000A09B4" w:rsidRDefault="004546C7" w:rsidP="0025317F">
            <w:pPr>
              <w:spacing w:after="120"/>
              <w:jc w:val="right"/>
              <w:rPr>
                <w:color w:val="000000"/>
                <w:sz w:val="16"/>
                <w:szCs w:val="16"/>
              </w:rPr>
            </w:pPr>
            <w:r w:rsidRPr="000A09B4">
              <w:rPr>
                <w:color w:val="000000"/>
                <w:sz w:val="16"/>
                <w:szCs w:val="16"/>
              </w:rPr>
              <w:t>975</w:t>
            </w:r>
          </w:p>
        </w:tc>
        <w:tc>
          <w:tcPr>
            <w:tcW w:w="960" w:type="dxa"/>
            <w:tcBorders>
              <w:top w:val="nil"/>
              <w:left w:val="nil"/>
              <w:bottom w:val="single" w:sz="4" w:space="0" w:color="auto"/>
              <w:right w:val="nil"/>
            </w:tcBorders>
            <w:shd w:val="clear" w:color="auto" w:fill="auto"/>
            <w:noWrap/>
            <w:vAlign w:val="bottom"/>
            <w:hideMark/>
          </w:tcPr>
          <w:p w14:paraId="74C962B1" w14:textId="77777777" w:rsidR="004546C7" w:rsidRPr="000A09B4" w:rsidRDefault="004546C7" w:rsidP="0025317F">
            <w:pPr>
              <w:spacing w:after="120"/>
              <w:jc w:val="right"/>
              <w:rPr>
                <w:color w:val="000000"/>
                <w:sz w:val="16"/>
                <w:szCs w:val="16"/>
              </w:rPr>
            </w:pPr>
            <w:r w:rsidRPr="000A09B4">
              <w:rPr>
                <w:color w:val="000000"/>
                <w:sz w:val="16"/>
                <w:szCs w:val="16"/>
              </w:rPr>
              <w:t>1071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DC084D" w14:textId="77777777" w:rsidR="004546C7" w:rsidRPr="000A09B4" w:rsidRDefault="004546C7" w:rsidP="0025317F">
            <w:pPr>
              <w:spacing w:after="120"/>
              <w:jc w:val="right"/>
              <w:rPr>
                <w:color w:val="000000"/>
                <w:sz w:val="16"/>
                <w:szCs w:val="16"/>
              </w:rPr>
            </w:pPr>
            <w:r w:rsidRPr="000A09B4">
              <w:rPr>
                <w:color w:val="000000"/>
                <w:sz w:val="16"/>
                <w:szCs w:val="16"/>
              </w:rPr>
              <w:t>2411</w:t>
            </w:r>
          </w:p>
        </w:tc>
        <w:tc>
          <w:tcPr>
            <w:tcW w:w="960" w:type="dxa"/>
            <w:tcBorders>
              <w:top w:val="nil"/>
              <w:left w:val="nil"/>
              <w:bottom w:val="single" w:sz="4" w:space="0" w:color="auto"/>
              <w:right w:val="nil"/>
            </w:tcBorders>
            <w:shd w:val="clear" w:color="auto" w:fill="auto"/>
            <w:noWrap/>
            <w:vAlign w:val="bottom"/>
            <w:hideMark/>
          </w:tcPr>
          <w:p w14:paraId="5037504F" w14:textId="77777777" w:rsidR="004546C7" w:rsidRPr="000A09B4" w:rsidRDefault="004546C7" w:rsidP="0025317F">
            <w:pPr>
              <w:spacing w:after="120"/>
              <w:jc w:val="right"/>
              <w:rPr>
                <w:color w:val="000000"/>
                <w:sz w:val="16"/>
                <w:szCs w:val="16"/>
              </w:rPr>
            </w:pPr>
            <w:r w:rsidRPr="000A09B4">
              <w:rPr>
                <w:color w:val="000000"/>
                <w:sz w:val="16"/>
                <w:szCs w:val="16"/>
              </w:rPr>
              <w:t>1409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7510B48C" w14:textId="77777777" w:rsidR="004546C7" w:rsidRPr="000A09B4" w:rsidRDefault="004546C7" w:rsidP="0025317F">
            <w:pPr>
              <w:spacing w:after="120"/>
              <w:jc w:val="right"/>
              <w:rPr>
                <w:color w:val="000000"/>
                <w:sz w:val="16"/>
                <w:szCs w:val="16"/>
              </w:rPr>
            </w:pPr>
            <w:r w:rsidRPr="000A09B4">
              <w:rPr>
                <w:color w:val="000000"/>
                <w:sz w:val="16"/>
                <w:szCs w:val="16"/>
              </w:rPr>
              <w:t>6</w:t>
            </w:r>
          </w:p>
        </w:tc>
        <w:tc>
          <w:tcPr>
            <w:tcW w:w="960" w:type="dxa"/>
            <w:tcBorders>
              <w:top w:val="nil"/>
              <w:left w:val="nil"/>
              <w:bottom w:val="nil"/>
              <w:right w:val="single" w:sz="4" w:space="0" w:color="auto"/>
            </w:tcBorders>
            <w:shd w:val="clear" w:color="auto" w:fill="auto"/>
            <w:noWrap/>
            <w:vAlign w:val="bottom"/>
            <w:hideMark/>
          </w:tcPr>
          <w:p w14:paraId="1CEB5480"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14:paraId="0B156CDF"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FE6D98"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14:paraId="6EBF3E1A" w14:textId="77777777"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39BE5C2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6E18BBF"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54C0F2DB"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C2BDF" w14:textId="77777777"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5DCBD5D6"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FD76C0C" w14:textId="77777777" w:rsidR="004546C7" w:rsidRPr="000A09B4" w:rsidRDefault="004546C7" w:rsidP="0025317F">
            <w:pPr>
              <w:spacing w:after="120"/>
              <w:jc w:val="right"/>
              <w:rPr>
                <w:color w:val="000000"/>
                <w:sz w:val="16"/>
                <w:szCs w:val="16"/>
              </w:rPr>
            </w:pPr>
            <w:r w:rsidRPr="000A09B4">
              <w:rPr>
                <w:color w:val="000000"/>
                <w:sz w:val="16"/>
                <w:szCs w:val="16"/>
              </w:rPr>
              <w:t>159</w:t>
            </w:r>
          </w:p>
        </w:tc>
        <w:tc>
          <w:tcPr>
            <w:tcW w:w="960" w:type="dxa"/>
            <w:tcBorders>
              <w:top w:val="nil"/>
              <w:left w:val="nil"/>
              <w:bottom w:val="single" w:sz="4" w:space="0" w:color="auto"/>
              <w:right w:val="single" w:sz="4" w:space="0" w:color="auto"/>
            </w:tcBorders>
            <w:shd w:val="clear" w:color="auto" w:fill="auto"/>
            <w:noWrap/>
            <w:vAlign w:val="bottom"/>
            <w:hideMark/>
          </w:tcPr>
          <w:p w14:paraId="36590B7C" w14:textId="77777777" w:rsidR="004546C7" w:rsidRPr="000A09B4" w:rsidRDefault="004546C7" w:rsidP="0025317F">
            <w:pPr>
              <w:spacing w:after="120"/>
              <w:jc w:val="right"/>
              <w:rPr>
                <w:color w:val="000000"/>
                <w:sz w:val="16"/>
                <w:szCs w:val="16"/>
              </w:rPr>
            </w:pPr>
            <w:r w:rsidRPr="000A09B4">
              <w:rPr>
                <w:color w:val="000000"/>
                <w:sz w:val="16"/>
                <w:szCs w:val="16"/>
              </w:rPr>
              <w:t>114</w:t>
            </w:r>
          </w:p>
        </w:tc>
        <w:tc>
          <w:tcPr>
            <w:tcW w:w="960" w:type="dxa"/>
            <w:tcBorders>
              <w:top w:val="nil"/>
              <w:left w:val="nil"/>
              <w:bottom w:val="single" w:sz="4" w:space="0" w:color="auto"/>
              <w:right w:val="single" w:sz="8" w:space="0" w:color="auto"/>
            </w:tcBorders>
            <w:shd w:val="clear" w:color="auto" w:fill="auto"/>
            <w:noWrap/>
            <w:vAlign w:val="bottom"/>
            <w:hideMark/>
          </w:tcPr>
          <w:p w14:paraId="111A6918" w14:textId="77777777" w:rsidR="004546C7" w:rsidRPr="000A09B4" w:rsidRDefault="004546C7" w:rsidP="0025317F">
            <w:pPr>
              <w:spacing w:after="120"/>
              <w:jc w:val="right"/>
              <w:rPr>
                <w:color w:val="000000"/>
                <w:sz w:val="16"/>
                <w:szCs w:val="16"/>
              </w:rPr>
            </w:pPr>
            <w:r w:rsidRPr="000A09B4">
              <w:rPr>
                <w:color w:val="000000"/>
                <w:sz w:val="16"/>
                <w:szCs w:val="16"/>
              </w:rPr>
              <w:t>45</w:t>
            </w:r>
          </w:p>
        </w:tc>
        <w:tc>
          <w:tcPr>
            <w:tcW w:w="960" w:type="dxa"/>
            <w:tcBorders>
              <w:top w:val="nil"/>
              <w:left w:val="nil"/>
              <w:bottom w:val="single" w:sz="4" w:space="0" w:color="auto"/>
              <w:right w:val="single" w:sz="8" w:space="0" w:color="auto"/>
            </w:tcBorders>
            <w:shd w:val="clear" w:color="auto" w:fill="auto"/>
            <w:noWrap/>
            <w:vAlign w:val="bottom"/>
            <w:hideMark/>
          </w:tcPr>
          <w:p w14:paraId="3D3E776A" w14:textId="77777777" w:rsidR="004546C7" w:rsidRPr="000A09B4" w:rsidRDefault="004546C7" w:rsidP="0025317F">
            <w:pPr>
              <w:spacing w:after="120"/>
              <w:jc w:val="right"/>
              <w:rPr>
                <w:color w:val="000000"/>
                <w:sz w:val="16"/>
                <w:szCs w:val="16"/>
              </w:rPr>
            </w:pPr>
            <w:r w:rsidRPr="000A09B4">
              <w:rPr>
                <w:color w:val="000000"/>
                <w:sz w:val="16"/>
                <w:szCs w:val="16"/>
              </w:rPr>
              <w:t>1040</w:t>
            </w:r>
          </w:p>
        </w:tc>
        <w:tc>
          <w:tcPr>
            <w:tcW w:w="960" w:type="dxa"/>
            <w:tcBorders>
              <w:top w:val="nil"/>
              <w:left w:val="nil"/>
              <w:bottom w:val="single" w:sz="4" w:space="0" w:color="auto"/>
              <w:right w:val="nil"/>
            </w:tcBorders>
            <w:shd w:val="clear" w:color="auto" w:fill="auto"/>
            <w:noWrap/>
            <w:vAlign w:val="bottom"/>
            <w:hideMark/>
          </w:tcPr>
          <w:p w14:paraId="2077F21B" w14:textId="77777777" w:rsidR="004546C7" w:rsidRPr="000A09B4" w:rsidRDefault="004546C7" w:rsidP="0025317F">
            <w:pPr>
              <w:spacing w:after="120"/>
              <w:jc w:val="right"/>
              <w:rPr>
                <w:color w:val="000000"/>
                <w:sz w:val="16"/>
                <w:szCs w:val="16"/>
              </w:rPr>
            </w:pPr>
            <w:r w:rsidRPr="000A09B4">
              <w:rPr>
                <w:color w:val="000000"/>
                <w:sz w:val="16"/>
                <w:szCs w:val="16"/>
              </w:rPr>
              <w:t>1199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48FAC0F" w14:textId="77777777" w:rsidR="004546C7" w:rsidRPr="000A09B4" w:rsidRDefault="004546C7" w:rsidP="0025317F">
            <w:pPr>
              <w:spacing w:after="120"/>
              <w:jc w:val="right"/>
              <w:rPr>
                <w:color w:val="000000"/>
                <w:sz w:val="16"/>
                <w:szCs w:val="16"/>
              </w:rPr>
            </w:pPr>
            <w:r w:rsidRPr="000A09B4">
              <w:rPr>
                <w:color w:val="000000"/>
                <w:sz w:val="16"/>
                <w:szCs w:val="16"/>
              </w:rPr>
              <w:t>2072</w:t>
            </w:r>
          </w:p>
        </w:tc>
        <w:tc>
          <w:tcPr>
            <w:tcW w:w="960" w:type="dxa"/>
            <w:tcBorders>
              <w:top w:val="nil"/>
              <w:left w:val="nil"/>
              <w:bottom w:val="single" w:sz="4" w:space="0" w:color="auto"/>
              <w:right w:val="nil"/>
            </w:tcBorders>
            <w:shd w:val="clear" w:color="auto" w:fill="auto"/>
            <w:noWrap/>
            <w:vAlign w:val="bottom"/>
            <w:hideMark/>
          </w:tcPr>
          <w:p w14:paraId="06C88269" w14:textId="77777777" w:rsidR="004546C7" w:rsidRPr="000A09B4" w:rsidRDefault="004546C7" w:rsidP="0025317F">
            <w:pPr>
              <w:spacing w:after="120"/>
              <w:jc w:val="right"/>
              <w:rPr>
                <w:color w:val="000000"/>
                <w:sz w:val="16"/>
                <w:szCs w:val="16"/>
              </w:rPr>
            </w:pPr>
            <w:r w:rsidRPr="000A09B4">
              <w:rPr>
                <w:color w:val="000000"/>
                <w:sz w:val="16"/>
                <w:szCs w:val="16"/>
              </w:rPr>
              <w:t>1000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553FAA2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6F2988"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719902F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612F52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7052A629"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DBD756C"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84E73E5"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6072EC0D"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18D29" w14:textId="77777777"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4D0109F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BE7A7FD" w14:textId="77777777" w:rsidR="004546C7" w:rsidRPr="000A09B4" w:rsidRDefault="004546C7" w:rsidP="0025317F">
            <w:pPr>
              <w:spacing w:after="120"/>
              <w:jc w:val="right"/>
              <w:rPr>
                <w:color w:val="000000"/>
                <w:sz w:val="16"/>
                <w:szCs w:val="16"/>
              </w:rPr>
            </w:pPr>
            <w:r w:rsidRPr="000A09B4">
              <w:rPr>
                <w:color w:val="000000"/>
                <w:sz w:val="16"/>
                <w:szCs w:val="16"/>
              </w:rPr>
              <w:t>233</w:t>
            </w:r>
          </w:p>
        </w:tc>
        <w:tc>
          <w:tcPr>
            <w:tcW w:w="960" w:type="dxa"/>
            <w:tcBorders>
              <w:top w:val="nil"/>
              <w:left w:val="nil"/>
              <w:bottom w:val="single" w:sz="4" w:space="0" w:color="auto"/>
              <w:right w:val="single" w:sz="4" w:space="0" w:color="auto"/>
            </w:tcBorders>
            <w:shd w:val="clear" w:color="auto" w:fill="auto"/>
            <w:noWrap/>
            <w:vAlign w:val="bottom"/>
            <w:hideMark/>
          </w:tcPr>
          <w:p w14:paraId="4124604A" w14:textId="77777777" w:rsidR="004546C7" w:rsidRPr="000A09B4" w:rsidRDefault="004546C7" w:rsidP="0025317F">
            <w:pPr>
              <w:spacing w:after="120"/>
              <w:jc w:val="right"/>
              <w:rPr>
                <w:color w:val="000000"/>
                <w:sz w:val="16"/>
                <w:szCs w:val="16"/>
              </w:rPr>
            </w:pPr>
            <w:r w:rsidRPr="000A09B4">
              <w:rPr>
                <w:color w:val="000000"/>
                <w:sz w:val="16"/>
                <w:szCs w:val="16"/>
              </w:rPr>
              <w:t>179</w:t>
            </w:r>
          </w:p>
        </w:tc>
        <w:tc>
          <w:tcPr>
            <w:tcW w:w="960" w:type="dxa"/>
            <w:tcBorders>
              <w:top w:val="nil"/>
              <w:left w:val="nil"/>
              <w:bottom w:val="single" w:sz="4" w:space="0" w:color="auto"/>
              <w:right w:val="single" w:sz="8" w:space="0" w:color="auto"/>
            </w:tcBorders>
            <w:shd w:val="clear" w:color="auto" w:fill="auto"/>
            <w:noWrap/>
            <w:vAlign w:val="bottom"/>
            <w:hideMark/>
          </w:tcPr>
          <w:p w14:paraId="2B8EC662" w14:textId="77777777" w:rsidR="004546C7" w:rsidRPr="000A09B4" w:rsidRDefault="004546C7" w:rsidP="0025317F">
            <w:pPr>
              <w:spacing w:after="120"/>
              <w:jc w:val="right"/>
              <w:rPr>
                <w:color w:val="000000"/>
                <w:sz w:val="16"/>
                <w:szCs w:val="16"/>
              </w:rPr>
            </w:pPr>
            <w:r w:rsidRPr="000A09B4">
              <w:rPr>
                <w:color w:val="000000"/>
                <w:sz w:val="16"/>
                <w:szCs w:val="16"/>
              </w:rPr>
              <w:t>37</w:t>
            </w:r>
          </w:p>
        </w:tc>
        <w:tc>
          <w:tcPr>
            <w:tcW w:w="960" w:type="dxa"/>
            <w:tcBorders>
              <w:top w:val="nil"/>
              <w:left w:val="nil"/>
              <w:bottom w:val="single" w:sz="4" w:space="0" w:color="auto"/>
              <w:right w:val="single" w:sz="8" w:space="0" w:color="auto"/>
            </w:tcBorders>
            <w:shd w:val="clear" w:color="auto" w:fill="auto"/>
            <w:noWrap/>
            <w:vAlign w:val="bottom"/>
            <w:hideMark/>
          </w:tcPr>
          <w:p w14:paraId="1F5D6CBA" w14:textId="77777777" w:rsidR="004546C7" w:rsidRPr="000A09B4" w:rsidRDefault="004546C7" w:rsidP="0025317F">
            <w:pPr>
              <w:spacing w:after="120"/>
              <w:jc w:val="right"/>
              <w:rPr>
                <w:color w:val="000000"/>
                <w:sz w:val="16"/>
                <w:szCs w:val="16"/>
              </w:rPr>
            </w:pPr>
            <w:r w:rsidRPr="000A09B4">
              <w:rPr>
                <w:color w:val="000000"/>
                <w:sz w:val="16"/>
                <w:szCs w:val="16"/>
              </w:rPr>
              <w:t>261</w:t>
            </w:r>
          </w:p>
        </w:tc>
        <w:tc>
          <w:tcPr>
            <w:tcW w:w="960" w:type="dxa"/>
            <w:tcBorders>
              <w:top w:val="nil"/>
              <w:left w:val="nil"/>
              <w:bottom w:val="single" w:sz="4" w:space="0" w:color="auto"/>
              <w:right w:val="nil"/>
            </w:tcBorders>
            <w:shd w:val="clear" w:color="auto" w:fill="auto"/>
            <w:noWrap/>
            <w:vAlign w:val="bottom"/>
            <w:hideMark/>
          </w:tcPr>
          <w:p w14:paraId="5E20EE37" w14:textId="77777777" w:rsidR="004546C7" w:rsidRPr="000A09B4" w:rsidRDefault="004546C7" w:rsidP="0025317F">
            <w:pPr>
              <w:spacing w:after="120"/>
              <w:jc w:val="right"/>
              <w:rPr>
                <w:color w:val="000000"/>
                <w:sz w:val="16"/>
                <w:szCs w:val="16"/>
              </w:rPr>
            </w:pPr>
            <w:r w:rsidRPr="000A09B4">
              <w:rPr>
                <w:color w:val="000000"/>
                <w:sz w:val="16"/>
                <w:szCs w:val="16"/>
              </w:rPr>
              <w:t>494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05F9B3C" w14:textId="77777777" w:rsidR="004546C7" w:rsidRPr="000A09B4" w:rsidRDefault="004546C7" w:rsidP="0025317F">
            <w:pPr>
              <w:spacing w:after="120"/>
              <w:jc w:val="right"/>
              <w:rPr>
                <w:color w:val="000000"/>
                <w:sz w:val="16"/>
                <w:szCs w:val="16"/>
              </w:rPr>
            </w:pPr>
            <w:r w:rsidRPr="000A09B4">
              <w:rPr>
                <w:color w:val="000000"/>
                <w:sz w:val="16"/>
                <w:szCs w:val="16"/>
              </w:rPr>
              <w:t>1830</w:t>
            </w:r>
          </w:p>
        </w:tc>
        <w:tc>
          <w:tcPr>
            <w:tcW w:w="960" w:type="dxa"/>
            <w:tcBorders>
              <w:top w:val="nil"/>
              <w:left w:val="nil"/>
              <w:bottom w:val="single" w:sz="4" w:space="0" w:color="auto"/>
              <w:right w:val="nil"/>
            </w:tcBorders>
            <w:shd w:val="clear" w:color="auto" w:fill="auto"/>
            <w:noWrap/>
            <w:vAlign w:val="bottom"/>
            <w:hideMark/>
          </w:tcPr>
          <w:p w14:paraId="5ED30BCF" w14:textId="77777777" w:rsidR="004546C7" w:rsidRPr="000A09B4" w:rsidRDefault="004546C7" w:rsidP="0025317F">
            <w:pPr>
              <w:spacing w:after="120"/>
              <w:jc w:val="right"/>
              <w:rPr>
                <w:color w:val="000000"/>
                <w:sz w:val="16"/>
                <w:szCs w:val="16"/>
              </w:rPr>
            </w:pPr>
            <w:r w:rsidRPr="000A09B4">
              <w:rPr>
                <w:color w:val="000000"/>
                <w:sz w:val="16"/>
                <w:szCs w:val="16"/>
              </w:rPr>
              <w:t>1310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6178FB2F"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794924FE"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061D2C32"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83540D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1E049D25"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20D5AA7"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55B73B6"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016A3B52"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D68DE2" w14:textId="77777777"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490DE4CD"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50F742D" w14:textId="77777777" w:rsidR="004546C7" w:rsidRPr="000A09B4" w:rsidRDefault="004546C7" w:rsidP="0025317F">
            <w:pPr>
              <w:spacing w:after="120"/>
              <w:jc w:val="right"/>
              <w:rPr>
                <w:color w:val="000000"/>
                <w:sz w:val="16"/>
                <w:szCs w:val="16"/>
              </w:rPr>
            </w:pPr>
            <w:r w:rsidRPr="000A09B4">
              <w:rPr>
                <w:color w:val="000000"/>
                <w:sz w:val="16"/>
                <w:szCs w:val="16"/>
              </w:rPr>
              <w:t>217</w:t>
            </w:r>
          </w:p>
        </w:tc>
        <w:tc>
          <w:tcPr>
            <w:tcW w:w="960" w:type="dxa"/>
            <w:tcBorders>
              <w:top w:val="nil"/>
              <w:left w:val="nil"/>
              <w:bottom w:val="single" w:sz="4" w:space="0" w:color="auto"/>
              <w:right w:val="single" w:sz="4" w:space="0" w:color="auto"/>
            </w:tcBorders>
            <w:shd w:val="clear" w:color="auto" w:fill="auto"/>
            <w:noWrap/>
            <w:vAlign w:val="bottom"/>
            <w:hideMark/>
          </w:tcPr>
          <w:p w14:paraId="2CE8A4CF" w14:textId="77777777" w:rsidR="004546C7" w:rsidRPr="000A09B4" w:rsidRDefault="004546C7" w:rsidP="0025317F">
            <w:pPr>
              <w:spacing w:after="120"/>
              <w:jc w:val="right"/>
              <w:rPr>
                <w:color w:val="000000"/>
                <w:sz w:val="16"/>
                <w:szCs w:val="16"/>
              </w:rPr>
            </w:pPr>
            <w:r w:rsidRPr="000A09B4">
              <w:rPr>
                <w:color w:val="000000"/>
                <w:sz w:val="16"/>
                <w:szCs w:val="16"/>
              </w:rPr>
              <w:t>168</w:t>
            </w:r>
          </w:p>
        </w:tc>
        <w:tc>
          <w:tcPr>
            <w:tcW w:w="960" w:type="dxa"/>
            <w:tcBorders>
              <w:top w:val="nil"/>
              <w:left w:val="nil"/>
              <w:bottom w:val="single" w:sz="4" w:space="0" w:color="auto"/>
              <w:right w:val="single" w:sz="8" w:space="0" w:color="auto"/>
            </w:tcBorders>
            <w:shd w:val="clear" w:color="auto" w:fill="auto"/>
            <w:noWrap/>
            <w:vAlign w:val="bottom"/>
            <w:hideMark/>
          </w:tcPr>
          <w:p w14:paraId="74077775" w14:textId="77777777" w:rsidR="004546C7" w:rsidRPr="000A09B4" w:rsidRDefault="004546C7" w:rsidP="0025317F">
            <w:pPr>
              <w:spacing w:after="120"/>
              <w:jc w:val="right"/>
              <w:rPr>
                <w:color w:val="000000"/>
                <w:sz w:val="16"/>
                <w:szCs w:val="16"/>
              </w:rPr>
            </w:pPr>
            <w:r w:rsidRPr="000A09B4">
              <w:rPr>
                <w:color w:val="000000"/>
                <w:sz w:val="16"/>
                <w:szCs w:val="16"/>
              </w:rPr>
              <w:t>10</w:t>
            </w:r>
          </w:p>
        </w:tc>
        <w:tc>
          <w:tcPr>
            <w:tcW w:w="960" w:type="dxa"/>
            <w:tcBorders>
              <w:top w:val="nil"/>
              <w:left w:val="nil"/>
              <w:bottom w:val="single" w:sz="4" w:space="0" w:color="auto"/>
              <w:right w:val="single" w:sz="8" w:space="0" w:color="auto"/>
            </w:tcBorders>
            <w:shd w:val="clear" w:color="auto" w:fill="auto"/>
            <w:noWrap/>
            <w:vAlign w:val="bottom"/>
            <w:hideMark/>
          </w:tcPr>
          <w:p w14:paraId="5D7EB0AC" w14:textId="77777777" w:rsidR="004546C7" w:rsidRPr="000A09B4" w:rsidRDefault="004546C7" w:rsidP="0025317F">
            <w:pPr>
              <w:spacing w:after="120"/>
              <w:jc w:val="right"/>
              <w:rPr>
                <w:color w:val="000000"/>
                <w:sz w:val="16"/>
                <w:szCs w:val="16"/>
              </w:rPr>
            </w:pPr>
            <w:r w:rsidRPr="000A09B4">
              <w:rPr>
                <w:color w:val="000000"/>
                <w:sz w:val="16"/>
                <w:szCs w:val="16"/>
              </w:rPr>
              <w:t>150</w:t>
            </w:r>
          </w:p>
        </w:tc>
        <w:tc>
          <w:tcPr>
            <w:tcW w:w="960" w:type="dxa"/>
            <w:tcBorders>
              <w:top w:val="nil"/>
              <w:left w:val="nil"/>
              <w:bottom w:val="single" w:sz="4" w:space="0" w:color="auto"/>
              <w:right w:val="nil"/>
            </w:tcBorders>
            <w:shd w:val="clear" w:color="auto" w:fill="auto"/>
            <w:noWrap/>
            <w:vAlign w:val="bottom"/>
            <w:hideMark/>
          </w:tcPr>
          <w:p w14:paraId="604CA959" w14:textId="77777777" w:rsidR="004546C7" w:rsidRPr="000A09B4" w:rsidRDefault="004546C7" w:rsidP="0025317F">
            <w:pPr>
              <w:spacing w:after="120"/>
              <w:jc w:val="right"/>
              <w:rPr>
                <w:color w:val="000000"/>
                <w:sz w:val="16"/>
                <w:szCs w:val="16"/>
              </w:rPr>
            </w:pPr>
            <w:r w:rsidRPr="000A09B4">
              <w:rPr>
                <w:color w:val="000000"/>
                <w:sz w:val="16"/>
                <w:szCs w:val="16"/>
              </w:rPr>
              <w:t>367</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09A6A0" w14:textId="77777777" w:rsidR="004546C7" w:rsidRPr="000A09B4" w:rsidRDefault="004546C7" w:rsidP="0025317F">
            <w:pPr>
              <w:spacing w:after="120"/>
              <w:jc w:val="right"/>
              <w:rPr>
                <w:color w:val="000000"/>
                <w:sz w:val="16"/>
                <w:szCs w:val="16"/>
              </w:rPr>
            </w:pPr>
            <w:r w:rsidRPr="000A09B4">
              <w:rPr>
                <w:color w:val="000000"/>
                <w:sz w:val="16"/>
                <w:szCs w:val="16"/>
              </w:rPr>
              <w:t>1772</w:t>
            </w:r>
          </w:p>
        </w:tc>
        <w:tc>
          <w:tcPr>
            <w:tcW w:w="960" w:type="dxa"/>
            <w:tcBorders>
              <w:top w:val="nil"/>
              <w:left w:val="nil"/>
              <w:bottom w:val="single" w:sz="4" w:space="0" w:color="auto"/>
              <w:right w:val="nil"/>
            </w:tcBorders>
            <w:shd w:val="clear" w:color="auto" w:fill="auto"/>
            <w:noWrap/>
            <w:vAlign w:val="bottom"/>
            <w:hideMark/>
          </w:tcPr>
          <w:p w14:paraId="254A4C86" w14:textId="77777777" w:rsidR="004546C7" w:rsidRPr="000A09B4" w:rsidRDefault="004546C7" w:rsidP="0025317F">
            <w:pPr>
              <w:spacing w:after="120"/>
              <w:jc w:val="right"/>
              <w:rPr>
                <w:color w:val="000000"/>
                <w:sz w:val="16"/>
                <w:szCs w:val="16"/>
              </w:rPr>
            </w:pPr>
            <w:r w:rsidRPr="000A09B4">
              <w:rPr>
                <w:color w:val="000000"/>
                <w:sz w:val="16"/>
                <w:szCs w:val="16"/>
              </w:rPr>
              <w:t>1473</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2E668906"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2EA3649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4D563A7C"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00E9426"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14:paraId="4A5614E6" w14:textId="77777777"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636CA401"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9DCA9C8"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6783302E" w14:textId="77777777"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726E36" w14:textId="77777777"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7FAFB04"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27C8EE3" w14:textId="77777777" w:rsidR="004546C7" w:rsidRPr="000A09B4" w:rsidRDefault="004546C7" w:rsidP="0025317F">
            <w:pPr>
              <w:spacing w:after="120"/>
              <w:jc w:val="right"/>
              <w:rPr>
                <w:color w:val="000000"/>
                <w:sz w:val="16"/>
                <w:szCs w:val="16"/>
              </w:rPr>
            </w:pPr>
            <w:r w:rsidRPr="000A09B4">
              <w:rPr>
                <w:color w:val="000000"/>
                <w:sz w:val="16"/>
                <w:szCs w:val="16"/>
              </w:rPr>
              <w:t>311</w:t>
            </w:r>
          </w:p>
        </w:tc>
        <w:tc>
          <w:tcPr>
            <w:tcW w:w="960" w:type="dxa"/>
            <w:tcBorders>
              <w:top w:val="nil"/>
              <w:left w:val="nil"/>
              <w:bottom w:val="single" w:sz="4" w:space="0" w:color="auto"/>
              <w:right w:val="single" w:sz="4" w:space="0" w:color="auto"/>
            </w:tcBorders>
            <w:shd w:val="clear" w:color="auto" w:fill="auto"/>
            <w:noWrap/>
            <w:vAlign w:val="bottom"/>
            <w:hideMark/>
          </w:tcPr>
          <w:p w14:paraId="6F826A69" w14:textId="77777777" w:rsidR="004546C7" w:rsidRPr="000A09B4" w:rsidRDefault="004546C7" w:rsidP="0025317F">
            <w:pPr>
              <w:spacing w:after="120"/>
              <w:jc w:val="right"/>
              <w:rPr>
                <w:color w:val="000000"/>
                <w:sz w:val="16"/>
                <w:szCs w:val="16"/>
              </w:rPr>
            </w:pPr>
            <w:r w:rsidRPr="000A09B4">
              <w:rPr>
                <w:color w:val="000000"/>
                <w:sz w:val="16"/>
                <w:szCs w:val="16"/>
              </w:rPr>
              <w:t>209</w:t>
            </w:r>
          </w:p>
        </w:tc>
        <w:tc>
          <w:tcPr>
            <w:tcW w:w="960" w:type="dxa"/>
            <w:tcBorders>
              <w:top w:val="nil"/>
              <w:left w:val="nil"/>
              <w:bottom w:val="single" w:sz="4" w:space="0" w:color="auto"/>
              <w:right w:val="single" w:sz="8" w:space="0" w:color="auto"/>
            </w:tcBorders>
            <w:shd w:val="clear" w:color="auto" w:fill="auto"/>
            <w:noWrap/>
            <w:vAlign w:val="bottom"/>
            <w:hideMark/>
          </w:tcPr>
          <w:p w14:paraId="79393713" w14:textId="77777777" w:rsidR="004546C7" w:rsidRPr="000A09B4" w:rsidRDefault="004546C7" w:rsidP="0025317F">
            <w:pPr>
              <w:spacing w:after="120"/>
              <w:jc w:val="right"/>
              <w:rPr>
                <w:color w:val="000000"/>
                <w:sz w:val="16"/>
                <w:szCs w:val="16"/>
              </w:rPr>
            </w:pPr>
            <w:r w:rsidRPr="000A09B4">
              <w:rPr>
                <w:color w:val="000000"/>
                <w:sz w:val="16"/>
                <w:szCs w:val="16"/>
              </w:rPr>
              <w:t>24</w:t>
            </w:r>
          </w:p>
        </w:tc>
        <w:tc>
          <w:tcPr>
            <w:tcW w:w="960" w:type="dxa"/>
            <w:tcBorders>
              <w:top w:val="nil"/>
              <w:left w:val="nil"/>
              <w:bottom w:val="single" w:sz="4" w:space="0" w:color="auto"/>
              <w:right w:val="single" w:sz="8" w:space="0" w:color="auto"/>
            </w:tcBorders>
            <w:shd w:val="clear" w:color="auto" w:fill="auto"/>
            <w:noWrap/>
            <w:vAlign w:val="bottom"/>
            <w:hideMark/>
          </w:tcPr>
          <w:p w14:paraId="2302DAB3" w14:textId="77777777"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nil"/>
              <w:bottom w:val="single" w:sz="4" w:space="0" w:color="auto"/>
              <w:right w:val="nil"/>
            </w:tcBorders>
            <w:shd w:val="clear" w:color="auto" w:fill="auto"/>
            <w:noWrap/>
            <w:vAlign w:val="bottom"/>
            <w:hideMark/>
          </w:tcPr>
          <w:p w14:paraId="3F8CD62D" w14:textId="77777777" w:rsidR="004546C7" w:rsidRPr="000A09B4" w:rsidRDefault="004546C7" w:rsidP="0025317F">
            <w:pPr>
              <w:spacing w:after="120"/>
              <w:jc w:val="right"/>
              <w:rPr>
                <w:color w:val="000000"/>
                <w:sz w:val="16"/>
                <w:szCs w:val="16"/>
              </w:rPr>
            </w:pPr>
            <w:r w:rsidRPr="000A09B4">
              <w:rPr>
                <w:color w:val="000000"/>
                <w:sz w:val="16"/>
                <w:szCs w:val="16"/>
              </w:rPr>
              <w:t>319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014B53" w14:textId="77777777" w:rsidR="004546C7" w:rsidRPr="000A09B4" w:rsidRDefault="004546C7" w:rsidP="0025317F">
            <w:pPr>
              <w:spacing w:after="120"/>
              <w:jc w:val="right"/>
              <w:rPr>
                <w:color w:val="000000"/>
                <w:sz w:val="16"/>
                <w:szCs w:val="16"/>
              </w:rPr>
            </w:pPr>
            <w:r w:rsidRPr="000A09B4">
              <w:rPr>
                <w:color w:val="000000"/>
                <w:sz w:val="16"/>
                <w:szCs w:val="16"/>
              </w:rPr>
              <w:t>2038</w:t>
            </w:r>
          </w:p>
        </w:tc>
        <w:tc>
          <w:tcPr>
            <w:tcW w:w="960" w:type="dxa"/>
            <w:tcBorders>
              <w:top w:val="nil"/>
              <w:left w:val="nil"/>
              <w:bottom w:val="single" w:sz="4" w:space="0" w:color="auto"/>
              <w:right w:val="nil"/>
            </w:tcBorders>
            <w:shd w:val="clear" w:color="auto" w:fill="auto"/>
            <w:noWrap/>
            <w:vAlign w:val="bottom"/>
            <w:hideMark/>
          </w:tcPr>
          <w:p w14:paraId="61B373DC" w14:textId="77777777" w:rsidR="004546C7" w:rsidRPr="000A09B4" w:rsidRDefault="004546C7" w:rsidP="0025317F">
            <w:pPr>
              <w:spacing w:after="120"/>
              <w:jc w:val="right"/>
              <w:rPr>
                <w:color w:val="000000"/>
                <w:sz w:val="16"/>
                <w:szCs w:val="16"/>
              </w:rPr>
            </w:pPr>
            <w:r w:rsidRPr="000A09B4">
              <w:rPr>
                <w:color w:val="000000"/>
                <w:sz w:val="16"/>
                <w:szCs w:val="16"/>
              </w:rPr>
              <w:t>1952</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14:paraId="3C70AE6A"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9DFFD23"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30FEFF6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1981A02"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14:paraId="032A9C8A"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4C41D7F" w14:textId="77777777"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2AC4FEE" w14:textId="77777777"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14:paraId="417730CE" w14:textId="77777777" w:rsidTr="000A09B4">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2EDC42EF" w14:textId="77777777"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nil"/>
              <w:bottom w:val="nil"/>
              <w:right w:val="nil"/>
            </w:tcBorders>
            <w:shd w:val="clear" w:color="auto" w:fill="auto"/>
            <w:noWrap/>
            <w:vAlign w:val="bottom"/>
            <w:hideMark/>
          </w:tcPr>
          <w:p w14:paraId="530085B8"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nil"/>
              <w:right w:val="nil"/>
            </w:tcBorders>
            <w:shd w:val="clear" w:color="auto" w:fill="auto"/>
            <w:noWrap/>
            <w:vAlign w:val="bottom"/>
            <w:hideMark/>
          </w:tcPr>
          <w:p w14:paraId="5616B4D7" w14:textId="77777777" w:rsidR="004546C7" w:rsidRPr="000A09B4" w:rsidRDefault="004546C7" w:rsidP="0025317F">
            <w:pPr>
              <w:spacing w:after="120"/>
              <w:jc w:val="right"/>
              <w:rPr>
                <w:i/>
                <w:iCs/>
                <w:color w:val="000000"/>
                <w:sz w:val="16"/>
                <w:szCs w:val="16"/>
              </w:rPr>
            </w:pPr>
            <w:r w:rsidRPr="000A09B4">
              <w:rPr>
                <w:i/>
                <w:iCs/>
                <w:color w:val="000000"/>
                <w:sz w:val="16"/>
                <w:szCs w:val="16"/>
              </w:rPr>
              <w:t>1063</w:t>
            </w:r>
          </w:p>
        </w:tc>
        <w:tc>
          <w:tcPr>
            <w:tcW w:w="960" w:type="dxa"/>
            <w:tcBorders>
              <w:top w:val="nil"/>
              <w:left w:val="nil"/>
              <w:bottom w:val="nil"/>
              <w:right w:val="nil"/>
            </w:tcBorders>
            <w:shd w:val="clear" w:color="auto" w:fill="auto"/>
            <w:noWrap/>
            <w:vAlign w:val="bottom"/>
            <w:hideMark/>
          </w:tcPr>
          <w:p w14:paraId="40248382" w14:textId="77777777" w:rsidR="004546C7" w:rsidRPr="000A09B4" w:rsidRDefault="004546C7" w:rsidP="0025317F">
            <w:pPr>
              <w:spacing w:after="120"/>
              <w:jc w:val="right"/>
              <w:rPr>
                <w:i/>
                <w:iCs/>
                <w:color w:val="000000"/>
                <w:sz w:val="16"/>
                <w:szCs w:val="16"/>
              </w:rPr>
            </w:pPr>
            <w:r w:rsidRPr="000A09B4">
              <w:rPr>
                <w:i/>
                <w:iCs/>
                <w:color w:val="000000"/>
                <w:sz w:val="16"/>
                <w:szCs w:val="16"/>
              </w:rPr>
              <w:t>749</w:t>
            </w:r>
          </w:p>
        </w:tc>
        <w:tc>
          <w:tcPr>
            <w:tcW w:w="960" w:type="dxa"/>
            <w:tcBorders>
              <w:top w:val="nil"/>
              <w:left w:val="nil"/>
              <w:bottom w:val="nil"/>
              <w:right w:val="single" w:sz="8" w:space="0" w:color="auto"/>
            </w:tcBorders>
            <w:shd w:val="clear" w:color="auto" w:fill="auto"/>
            <w:noWrap/>
            <w:vAlign w:val="bottom"/>
            <w:hideMark/>
          </w:tcPr>
          <w:p w14:paraId="53D5DF2D" w14:textId="77777777" w:rsidR="004546C7" w:rsidRPr="000A09B4" w:rsidRDefault="004546C7" w:rsidP="0025317F">
            <w:pPr>
              <w:spacing w:after="120"/>
              <w:jc w:val="right"/>
              <w:rPr>
                <w:i/>
                <w:iCs/>
                <w:color w:val="000000"/>
                <w:sz w:val="16"/>
                <w:szCs w:val="16"/>
              </w:rPr>
            </w:pPr>
            <w:r w:rsidRPr="000A09B4">
              <w:rPr>
                <w:i/>
                <w:iCs/>
                <w:color w:val="000000"/>
                <w:sz w:val="16"/>
                <w:szCs w:val="16"/>
              </w:rPr>
              <w:t>1555</w:t>
            </w:r>
          </w:p>
        </w:tc>
        <w:tc>
          <w:tcPr>
            <w:tcW w:w="960" w:type="dxa"/>
            <w:tcBorders>
              <w:top w:val="nil"/>
              <w:left w:val="nil"/>
              <w:bottom w:val="nil"/>
              <w:right w:val="single" w:sz="8" w:space="0" w:color="auto"/>
            </w:tcBorders>
            <w:shd w:val="clear" w:color="auto" w:fill="auto"/>
            <w:noWrap/>
            <w:vAlign w:val="bottom"/>
            <w:hideMark/>
          </w:tcPr>
          <w:p w14:paraId="4EDFB017" w14:textId="77777777" w:rsidR="004546C7" w:rsidRPr="000A09B4" w:rsidRDefault="004546C7" w:rsidP="0025317F">
            <w:pPr>
              <w:spacing w:after="120"/>
              <w:jc w:val="right"/>
              <w:rPr>
                <w:i/>
                <w:iCs/>
                <w:color w:val="000000"/>
                <w:sz w:val="16"/>
                <w:szCs w:val="16"/>
              </w:rPr>
            </w:pPr>
            <w:r w:rsidRPr="000A09B4">
              <w:rPr>
                <w:i/>
                <w:iCs/>
                <w:color w:val="000000"/>
                <w:sz w:val="16"/>
                <w:szCs w:val="16"/>
              </w:rPr>
              <w:t>4391</w:t>
            </w:r>
          </w:p>
        </w:tc>
        <w:tc>
          <w:tcPr>
            <w:tcW w:w="960" w:type="dxa"/>
            <w:tcBorders>
              <w:top w:val="nil"/>
              <w:left w:val="nil"/>
              <w:bottom w:val="single" w:sz="4" w:space="0" w:color="auto"/>
              <w:right w:val="nil"/>
            </w:tcBorders>
            <w:shd w:val="clear" w:color="auto" w:fill="auto"/>
            <w:noWrap/>
            <w:vAlign w:val="bottom"/>
            <w:hideMark/>
          </w:tcPr>
          <w:p w14:paraId="76734E06" w14:textId="77777777" w:rsidR="004546C7" w:rsidRPr="000A09B4" w:rsidRDefault="004546C7" w:rsidP="0025317F">
            <w:pPr>
              <w:spacing w:after="120"/>
              <w:jc w:val="right"/>
              <w:rPr>
                <w:i/>
                <w:iCs/>
                <w:color w:val="000000"/>
                <w:sz w:val="16"/>
                <w:szCs w:val="16"/>
              </w:rPr>
            </w:pPr>
            <w:r w:rsidRPr="000A09B4">
              <w:rPr>
                <w:i/>
                <w:iCs/>
                <w:color w:val="000000"/>
                <w:sz w:val="16"/>
                <w:szCs w:val="16"/>
              </w:rPr>
              <w:t>5454</w:t>
            </w:r>
          </w:p>
        </w:tc>
        <w:tc>
          <w:tcPr>
            <w:tcW w:w="960" w:type="dxa"/>
            <w:tcBorders>
              <w:top w:val="nil"/>
              <w:left w:val="single" w:sz="8" w:space="0" w:color="auto"/>
              <w:bottom w:val="nil"/>
              <w:right w:val="nil"/>
            </w:tcBorders>
            <w:shd w:val="clear" w:color="auto" w:fill="auto"/>
            <w:noWrap/>
            <w:vAlign w:val="bottom"/>
            <w:hideMark/>
          </w:tcPr>
          <w:p w14:paraId="40853D0E" w14:textId="77777777" w:rsidR="004546C7" w:rsidRPr="000A09B4" w:rsidRDefault="004546C7" w:rsidP="0025317F">
            <w:pPr>
              <w:spacing w:after="120"/>
              <w:jc w:val="right"/>
              <w:rPr>
                <w:i/>
                <w:iCs/>
                <w:color w:val="000000"/>
                <w:sz w:val="16"/>
                <w:szCs w:val="16"/>
              </w:rPr>
            </w:pPr>
            <w:r w:rsidRPr="000A09B4">
              <w:rPr>
                <w:i/>
                <w:iCs/>
                <w:color w:val="000000"/>
                <w:sz w:val="16"/>
                <w:szCs w:val="16"/>
              </w:rPr>
              <w:t>14852</w:t>
            </w:r>
          </w:p>
        </w:tc>
        <w:tc>
          <w:tcPr>
            <w:tcW w:w="960" w:type="dxa"/>
            <w:tcBorders>
              <w:top w:val="nil"/>
              <w:left w:val="single" w:sz="4" w:space="0" w:color="auto"/>
              <w:bottom w:val="single" w:sz="4" w:space="0" w:color="auto"/>
              <w:right w:val="nil"/>
            </w:tcBorders>
            <w:shd w:val="clear" w:color="auto" w:fill="auto"/>
            <w:noWrap/>
            <w:vAlign w:val="bottom"/>
            <w:hideMark/>
          </w:tcPr>
          <w:p w14:paraId="52842C1C" w14:textId="77777777" w:rsidR="004546C7" w:rsidRPr="000A09B4" w:rsidRDefault="004546C7" w:rsidP="0025317F">
            <w:pPr>
              <w:spacing w:after="120"/>
              <w:jc w:val="right"/>
              <w:rPr>
                <w:i/>
                <w:iCs/>
                <w:color w:val="000000"/>
                <w:sz w:val="16"/>
                <w:szCs w:val="16"/>
              </w:rPr>
            </w:pPr>
            <w:r w:rsidRPr="000A09B4">
              <w:rPr>
                <w:i/>
                <w:iCs/>
                <w:color w:val="000000"/>
                <w:sz w:val="16"/>
                <w:szCs w:val="16"/>
              </w:rPr>
              <w:t>9877</w:t>
            </w:r>
          </w:p>
        </w:tc>
        <w:tc>
          <w:tcPr>
            <w:tcW w:w="1020" w:type="dxa"/>
            <w:tcBorders>
              <w:top w:val="nil"/>
              <w:left w:val="single" w:sz="8" w:space="0" w:color="auto"/>
              <w:bottom w:val="nil"/>
              <w:right w:val="single" w:sz="8" w:space="0" w:color="auto"/>
            </w:tcBorders>
            <w:shd w:val="clear" w:color="auto" w:fill="auto"/>
            <w:noWrap/>
            <w:vAlign w:val="bottom"/>
            <w:hideMark/>
          </w:tcPr>
          <w:p w14:paraId="339D08D6" w14:textId="77777777" w:rsidR="004546C7" w:rsidRPr="000A09B4" w:rsidRDefault="004546C7" w:rsidP="0025317F">
            <w:pPr>
              <w:spacing w:after="120"/>
              <w:jc w:val="right"/>
              <w:rPr>
                <w:i/>
                <w:iCs/>
                <w:color w:val="000000"/>
                <w:sz w:val="16"/>
                <w:szCs w:val="16"/>
              </w:rPr>
            </w:pPr>
            <w:r w:rsidRPr="000A09B4">
              <w:rPr>
                <w:i/>
                <w:iCs/>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14:paraId="2A68CB57" w14:textId="77777777"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14:paraId="114D9B08"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69412DE3"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14:paraId="048A4F36" w14:textId="77777777" w:rsidR="004546C7" w:rsidRPr="000A09B4" w:rsidRDefault="004546C7" w:rsidP="0025317F">
            <w:pPr>
              <w:spacing w:after="120"/>
              <w:jc w:val="right"/>
              <w:rPr>
                <w:b/>
                <w:bCs/>
                <w:i/>
                <w:iCs/>
                <w:color w:val="000000"/>
                <w:sz w:val="16"/>
                <w:szCs w:val="16"/>
              </w:rPr>
            </w:pPr>
            <w:r w:rsidRPr="000A09B4">
              <w:rPr>
                <w:b/>
                <w:bCs/>
                <w:i/>
                <w:iCs/>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14:paraId="490D73C1"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41E823D" w14:textId="77777777" w:rsidR="004546C7" w:rsidRPr="000A09B4" w:rsidRDefault="004546C7" w:rsidP="0025317F">
            <w:pPr>
              <w:spacing w:after="120"/>
              <w:jc w:val="right"/>
              <w:rPr>
                <w:i/>
                <w:iCs/>
                <w:color w:val="000000"/>
                <w:sz w:val="16"/>
                <w:szCs w:val="16"/>
              </w:rPr>
            </w:pPr>
            <w:r w:rsidRPr="000A09B4">
              <w:rPr>
                <w:i/>
                <w:iCs/>
                <w:color w:val="000000"/>
                <w:sz w:val="16"/>
                <w:szCs w:val="16"/>
              </w:rPr>
              <w:t>0</w:t>
            </w:r>
          </w:p>
        </w:tc>
      </w:tr>
    </w:tbl>
    <w:p w14:paraId="14983617" w14:textId="77777777" w:rsidR="004546C7" w:rsidRPr="00327DAE" w:rsidRDefault="004546C7" w:rsidP="0025317F">
      <w:pPr>
        <w:spacing w:after="120"/>
        <w:rPr>
          <w:sz w:val="24"/>
          <w:szCs w:val="24"/>
        </w:rPr>
      </w:pPr>
    </w:p>
    <w:p w14:paraId="2E5FCF5F" w14:textId="77777777" w:rsidR="004546C7" w:rsidRPr="00327DAE" w:rsidRDefault="004546C7" w:rsidP="0025317F">
      <w:pPr>
        <w:spacing w:after="120"/>
        <w:rPr>
          <w:sz w:val="24"/>
          <w:szCs w:val="24"/>
        </w:rPr>
      </w:pPr>
    </w:p>
    <w:p w14:paraId="344E8B83" w14:textId="77777777" w:rsidR="004F5934" w:rsidRDefault="004F5934">
      <w:pPr>
        <w:widowControl/>
        <w:adjustRightInd/>
        <w:spacing w:after="160" w:line="259" w:lineRule="auto"/>
        <w:jc w:val="left"/>
        <w:textAlignment w:val="auto"/>
        <w:rPr>
          <w:sz w:val="24"/>
          <w:szCs w:val="24"/>
        </w:rPr>
      </w:pPr>
      <w:r>
        <w:rPr>
          <w:sz w:val="24"/>
          <w:szCs w:val="24"/>
        </w:rPr>
        <w:br w:type="page"/>
      </w:r>
    </w:p>
    <w:p w14:paraId="2CA34023" w14:textId="2F539381" w:rsidR="004546C7" w:rsidRDefault="004546C7" w:rsidP="0025317F">
      <w:pPr>
        <w:spacing w:after="120"/>
        <w:ind w:firstLine="720"/>
        <w:rPr>
          <w:sz w:val="24"/>
          <w:szCs w:val="24"/>
        </w:rPr>
      </w:pPr>
      <w:r w:rsidRPr="00327DAE">
        <w:rPr>
          <w:sz w:val="24"/>
          <w:szCs w:val="24"/>
        </w:rPr>
        <w:lastRenderedPageBreak/>
        <w:t xml:space="preserve">Tiesnese </w:t>
      </w:r>
      <w:r w:rsidR="00A77BA8">
        <w:rPr>
          <w:sz w:val="24"/>
          <w:szCs w:val="24"/>
        </w:rPr>
        <w:t>J. </w:t>
      </w:r>
      <w:proofErr w:type="spellStart"/>
      <w:r w:rsidRPr="00327DAE">
        <w:rPr>
          <w:sz w:val="24"/>
          <w:szCs w:val="24"/>
        </w:rPr>
        <w:t>Zaškina</w:t>
      </w:r>
      <w:proofErr w:type="spellEnd"/>
    </w:p>
    <w:p w14:paraId="3071359E" w14:textId="77777777" w:rsidR="008A7DC2" w:rsidRPr="00327DAE" w:rsidRDefault="008A7DC2" w:rsidP="0025317F">
      <w:pPr>
        <w:spacing w:after="120"/>
        <w:ind w:firstLine="720"/>
        <w:rPr>
          <w:sz w:val="24"/>
          <w:szCs w:val="24"/>
        </w:rPr>
      </w:pPr>
    </w:p>
    <w:tbl>
      <w:tblPr>
        <w:tblW w:w="15875" w:type="dxa"/>
        <w:tblInd w:w="-993" w:type="dxa"/>
        <w:tblLook w:val="04A0" w:firstRow="1" w:lastRow="0" w:firstColumn="1" w:lastColumn="0" w:noHBand="0" w:noVBand="1"/>
      </w:tblPr>
      <w:tblGrid>
        <w:gridCol w:w="960"/>
        <w:gridCol w:w="440"/>
        <w:gridCol w:w="915"/>
        <w:gridCol w:w="679"/>
        <w:gridCol w:w="915"/>
        <w:gridCol w:w="955"/>
        <w:gridCol w:w="769"/>
        <w:gridCol w:w="960"/>
        <w:gridCol w:w="897"/>
        <w:gridCol w:w="934"/>
        <w:gridCol w:w="1076"/>
        <w:gridCol w:w="905"/>
        <w:gridCol w:w="955"/>
        <w:gridCol w:w="833"/>
        <w:gridCol w:w="955"/>
        <w:gridCol w:w="955"/>
        <w:gridCol w:w="890"/>
        <w:gridCol w:w="882"/>
      </w:tblGrid>
      <w:tr w:rsidR="008A7DC2" w:rsidRPr="008A7DC2" w14:paraId="249BA586" w14:textId="77777777" w:rsidTr="008A7DC2">
        <w:trPr>
          <w:trHeight w:val="315"/>
        </w:trPr>
        <w:tc>
          <w:tcPr>
            <w:tcW w:w="960" w:type="dxa"/>
            <w:tcBorders>
              <w:top w:val="nil"/>
              <w:left w:val="nil"/>
              <w:bottom w:val="nil"/>
              <w:right w:val="nil"/>
            </w:tcBorders>
            <w:shd w:val="clear" w:color="auto" w:fill="auto"/>
            <w:noWrap/>
            <w:vAlign w:val="bottom"/>
            <w:hideMark/>
          </w:tcPr>
          <w:p w14:paraId="2565941E" w14:textId="77777777" w:rsidR="008A7DC2" w:rsidRPr="008A7DC2" w:rsidRDefault="008A7DC2" w:rsidP="008A7DC2">
            <w:pPr>
              <w:widowControl/>
              <w:adjustRightInd/>
              <w:jc w:val="left"/>
              <w:textAlignment w:val="auto"/>
              <w:rPr>
                <w:sz w:val="24"/>
                <w:szCs w:val="24"/>
              </w:rPr>
            </w:pPr>
          </w:p>
        </w:tc>
        <w:tc>
          <w:tcPr>
            <w:tcW w:w="4673" w:type="dxa"/>
            <w:gridSpan w:val="6"/>
            <w:tcBorders>
              <w:top w:val="nil"/>
              <w:left w:val="nil"/>
              <w:bottom w:val="nil"/>
              <w:right w:val="nil"/>
            </w:tcBorders>
            <w:shd w:val="clear" w:color="auto" w:fill="auto"/>
            <w:noWrap/>
            <w:vAlign w:val="bottom"/>
            <w:hideMark/>
          </w:tcPr>
          <w:p w14:paraId="44EFFD1E" w14:textId="77777777" w:rsidR="008A7DC2" w:rsidRPr="008A7DC2" w:rsidRDefault="008A7DC2" w:rsidP="008A7DC2">
            <w:pPr>
              <w:widowControl/>
              <w:adjustRightInd/>
              <w:jc w:val="left"/>
              <w:textAlignment w:val="auto"/>
            </w:pPr>
          </w:p>
        </w:tc>
        <w:tc>
          <w:tcPr>
            <w:tcW w:w="960" w:type="dxa"/>
            <w:tcBorders>
              <w:top w:val="nil"/>
              <w:left w:val="nil"/>
              <w:bottom w:val="nil"/>
              <w:right w:val="nil"/>
            </w:tcBorders>
            <w:shd w:val="clear" w:color="auto" w:fill="auto"/>
            <w:noWrap/>
            <w:vAlign w:val="bottom"/>
            <w:hideMark/>
          </w:tcPr>
          <w:p w14:paraId="45CE46E8" w14:textId="77777777" w:rsidR="008A7DC2" w:rsidRPr="008A7DC2" w:rsidRDefault="008A7DC2" w:rsidP="008A7DC2">
            <w:pPr>
              <w:widowControl/>
              <w:adjustRightInd/>
              <w:jc w:val="center"/>
              <w:textAlignment w:val="auto"/>
            </w:pPr>
          </w:p>
        </w:tc>
        <w:tc>
          <w:tcPr>
            <w:tcW w:w="897" w:type="dxa"/>
            <w:tcBorders>
              <w:top w:val="nil"/>
              <w:left w:val="nil"/>
              <w:bottom w:val="nil"/>
              <w:right w:val="nil"/>
            </w:tcBorders>
            <w:shd w:val="clear" w:color="auto" w:fill="auto"/>
            <w:noWrap/>
            <w:vAlign w:val="bottom"/>
            <w:hideMark/>
          </w:tcPr>
          <w:p w14:paraId="15831869" w14:textId="77777777" w:rsidR="008A7DC2" w:rsidRPr="008A7DC2" w:rsidRDefault="008A7DC2" w:rsidP="008A7DC2">
            <w:pPr>
              <w:widowControl/>
              <w:adjustRightInd/>
              <w:jc w:val="center"/>
              <w:textAlignment w:val="auto"/>
            </w:pPr>
          </w:p>
        </w:tc>
        <w:tc>
          <w:tcPr>
            <w:tcW w:w="934" w:type="dxa"/>
            <w:tcBorders>
              <w:top w:val="nil"/>
              <w:left w:val="nil"/>
              <w:bottom w:val="nil"/>
              <w:right w:val="nil"/>
            </w:tcBorders>
            <w:shd w:val="clear" w:color="auto" w:fill="auto"/>
            <w:vAlign w:val="center"/>
            <w:hideMark/>
          </w:tcPr>
          <w:p w14:paraId="614C3DB9" w14:textId="77777777" w:rsidR="008A7DC2" w:rsidRPr="008A7DC2" w:rsidRDefault="008A7DC2" w:rsidP="008A7DC2">
            <w:pPr>
              <w:widowControl/>
              <w:adjustRightInd/>
              <w:jc w:val="center"/>
              <w:textAlignment w:val="auto"/>
            </w:pPr>
          </w:p>
        </w:tc>
        <w:tc>
          <w:tcPr>
            <w:tcW w:w="1076" w:type="dxa"/>
            <w:tcBorders>
              <w:top w:val="nil"/>
              <w:left w:val="nil"/>
              <w:bottom w:val="nil"/>
              <w:right w:val="nil"/>
            </w:tcBorders>
            <w:shd w:val="clear" w:color="auto" w:fill="auto"/>
            <w:vAlign w:val="center"/>
            <w:hideMark/>
          </w:tcPr>
          <w:p w14:paraId="44E8CA48" w14:textId="77777777" w:rsidR="008A7DC2" w:rsidRPr="008A7DC2" w:rsidRDefault="008A7DC2" w:rsidP="008A7DC2">
            <w:pPr>
              <w:widowControl/>
              <w:adjustRightInd/>
              <w:jc w:val="center"/>
              <w:textAlignment w:val="auto"/>
            </w:pPr>
          </w:p>
        </w:tc>
        <w:tc>
          <w:tcPr>
            <w:tcW w:w="637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1A51176" w14:textId="77777777"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Nolēmumu izskatīšanas rezultāti kasācijas instancē civillietās</w:t>
            </w:r>
          </w:p>
        </w:tc>
      </w:tr>
      <w:tr w:rsidR="008A7DC2" w:rsidRPr="008A7DC2" w14:paraId="59D60F4E" w14:textId="77777777" w:rsidTr="008A7DC2">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0229CE5D"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Gads</w:t>
            </w:r>
          </w:p>
        </w:tc>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DE809B" w14:textId="77777777" w:rsidR="008A7DC2" w:rsidRPr="008A7DC2" w:rsidRDefault="008A7DC2" w:rsidP="008A7DC2">
            <w:pPr>
              <w:widowControl/>
              <w:adjustRightInd/>
              <w:jc w:val="center"/>
              <w:textAlignment w:val="auto"/>
              <w:rPr>
                <w:rFonts w:ascii="Calibri" w:hAnsi="Calibri" w:cs="Calibri"/>
                <w:color w:val="000000"/>
                <w:sz w:val="22"/>
                <w:szCs w:val="22"/>
              </w:rPr>
            </w:pPr>
            <w:r w:rsidRPr="008A7DC2">
              <w:rPr>
                <w:rFonts w:ascii="Calibri" w:hAnsi="Calibri" w:cs="Calibri"/>
                <w:color w:val="000000"/>
                <w:sz w:val="22"/>
                <w:szCs w:val="22"/>
              </w:rPr>
              <w:t>KL</w:t>
            </w:r>
          </w:p>
        </w:tc>
        <w:tc>
          <w:tcPr>
            <w:tcW w:w="915" w:type="dxa"/>
            <w:tcBorders>
              <w:top w:val="single" w:sz="4" w:space="0" w:color="auto"/>
              <w:left w:val="nil"/>
              <w:bottom w:val="single" w:sz="4" w:space="0" w:color="auto"/>
              <w:right w:val="single" w:sz="8" w:space="0" w:color="auto"/>
            </w:tcBorders>
            <w:shd w:val="clear" w:color="auto" w:fill="auto"/>
            <w:vAlign w:val="center"/>
            <w:hideMark/>
          </w:tcPr>
          <w:p w14:paraId="2AF88457"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KL ar spriedumu</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1AF9D9C5" w14:textId="77777777" w:rsidR="008A7DC2" w:rsidRPr="008A7DC2" w:rsidRDefault="008A7DC2" w:rsidP="008A7DC2">
            <w:pPr>
              <w:widowControl/>
              <w:adjustRightInd/>
              <w:jc w:val="center"/>
              <w:textAlignment w:val="auto"/>
              <w:rPr>
                <w:rFonts w:ascii="Calibri" w:hAnsi="Calibri" w:cs="Calibri"/>
                <w:color w:val="000000"/>
                <w:sz w:val="22"/>
                <w:szCs w:val="22"/>
              </w:rPr>
            </w:pPr>
            <w:r w:rsidRPr="008A7DC2">
              <w:rPr>
                <w:rFonts w:ascii="Calibri" w:hAnsi="Calibri" w:cs="Calibri"/>
                <w:color w:val="000000"/>
                <w:sz w:val="22"/>
                <w:szCs w:val="22"/>
              </w:rPr>
              <w:t>CL</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7E241E13"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CL ar spriedumu</w:t>
            </w:r>
          </w:p>
        </w:tc>
        <w:tc>
          <w:tcPr>
            <w:tcW w:w="955" w:type="dxa"/>
            <w:tcBorders>
              <w:top w:val="single" w:sz="4" w:space="0" w:color="auto"/>
              <w:left w:val="nil"/>
              <w:bottom w:val="single" w:sz="4" w:space="0" w:color="auto"/>
              <w:right w:val="nil"/>
            </w:tcBorders>
            <w:shd w:val="clear" w:color="auto" w:fill="auto"/>
            <w:vAlign w:val="center"/>
            <w:hideMark/>
          </w:tcPr>
          <w:p w14:paraId="4AA2B1FE"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Ārpus tiesas sēdes materiāli CL</w:t>
            </w:r>
          </w:p>
        </w:tc>
        <w:tc>
          <w:tcPr>
            <w:tcW w:w="7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E93371C"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APK lietas kopā</w:t>
            </w:r>
          </w:p>
        </w:tc>
        <w:tc>
          <w:tcPr>
            <w:tcW w:w="960" w:type="dxa"/>
            <w:tcBorders>
              <w:top w:val="single" w:sz="4" w:space="0" w:color="auto"/>
              <w:left w:val="nil"/>
              <w:bottom w:val="single" w:sz="4" w:space="0" w:color="auto"/>
              <w:right w:val="nil"/>
            </w:tcBorders>
            <w:shd w:val="clear" w:color="auto" w:fill="auto"/>
            <w:vAlign w:val="center"/>
            <w:hideMark/>
          </w:tcPr>
          <w:p w14:paraId="50B62535"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Lietas kopā</w:t>
            </w:r>
          </w:p>
        </w:tc>
        <w:tc>
          <w:tcPr>
            <w:tcW w:w="897" w:type="dxa"/>
            <w:tcBorders>
              <w:top w:val="single" w:sz="4" w:space="0" w:color="auto"/>
              <w:left w:val="single" w:sz="8" w:space="0" w:color="auto"/>
              <w:bottom w:val="single" w:sz="4" w:space="0" w:color="auto"/>
              <w:right w:val="nil"/>
            </w:tcBorders>
            <w:shd w:val="clear" w:color="auto" w:fill="auto"/>
            <w:vAlign w:val="center"/>
            <w:hideMark/>
          </w:tcPr>
          <w:p w14:paraId="76BE3BA4"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Nolēmumi (kopā)</w:t>
            </w:r>
          </w:p>
        </w:tc>
        <w:tc>
          <w:tcPr>
            <w:tcW w:w="93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B02F72A"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nolēmumi civillietās</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3BD0F860"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instancē saņemto pārsūdzēto noprotestēto nolēmumu skaits civillietās*</w:t>
            </w:r>
          </w:p>
        </w:tc>
        <w:tc>
          <w:tcPr>
            <w:tcW w:w="905" w:type="dxa"/>
            <w:tcBorders>
              <w:top w:val="nil"/>
              <w:left w:val="single" w:sz="8" w:space="0" w:color="auto"/>
              <w:bottom w:val="nil"/>
              <w:right w:val="nil"/>
            </w:tcBorders>
            <w:shd w:val="clear" w:color="auto" w:fill="auto"/>
            <w:vAlign w:val="center"/>
            <w:hideMark/>
          </w:tcPr>
          <w:p w14:paraId="5AD546ED"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atstāts negrozīts</w:t>
            </w:r>
          </w:p>
        </w:tc>
        <w:tc>
          <w:tcPr>
            <w:tcW w:w="955" w:type="dxa"/>
            <w:tcBorders>
              <w:top w:val="nil"/>
              <w:left w:val="single" w:sz="4" w:space="0" w:color="auto"/>
              <w:bottom w:val="single" w:sz="4" w:space="0" w:color="auto"/>
              <w:right w:val="single" w:sz="4" w:space="0" w:color="auto"/>
            </w:tcBorders>
            <w:shd w:val="clear" w:color="000000" w:fill="FFFF00"/>
            <w:vAlign w:val="center"/>
            <w:hideMark/>
          </w:tcPr>
          <w:p w14:paraId="430ED9F3"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atcelts pilnīgi</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lieta nosūtīta jaunai izskatīšanai</w:t>
            </w:r>
          </w:p>
        </w:tc>
        <w:tc>
          <w:tcPr>
            <w:tcW w:w="833" w:type="dxa"/>
            <w:tcBorders>
              <w:top w:val="nil"/>
              <w:left w:val="nil"/>
              <w:bottom w:val="nil"/>
              <w:right w:val="single" w:sz="4" w:space="0" w:color="auto"/>
            </w:tcBorders>
            <w:shd w:val="clear" w:color="auto" w:fill="auto"/>
            <w:vAlign w:val="center"/>
            <w:hideMark/>
          </w:tcPr>
          <w:p w14:paraId="2BCC0FAD"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atstāt lēmumu negrozītu</w:t>
            </w:r>
          </w:p>
        </w:tc>
        <w:tc>
          <w:tcPr>
            <w:tcW w:w="955" w:type="dxa"/>
            <w:tcBorders>
              <w:top w:val="nil"/>
              <w:left w:val="nil"/>
              <w:bottom w:val="nil"/>
              <w:right w:val="single" w:sz="4" w:space="0" w:color="auto"/>
            </w:tcBorders>
            <w:shd w:val="clear" w:color="000000" w:fill="FFFFFF"/>
            <w:vAlign w:val="center"/>
            <w:hideMark/>
          </w:tcPr>
          <w:p w14:paraId="4E8235DD"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atcelts daļā</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jautājums nodots jaunai izskatīšanai </w:t>
            </w:r>
          </w:p>
        </w:tc>
        <w:tc>
          <w:tcPr>
            <w:tcW w:w="955" w:type="dxa"/>
            <w:tcBorders>
              <w:top w:val="nil"/>
              <w:left w:val="nil"/>
              <w:bottom w:val="nil"/>
              <w:right w:val="single" w:sz="4" w:space="0" w:color="auto"/>
            </w:tcBorders>
            <w:shd w:val="clear" w:color="000000" w:fill="FFFF00"/>
            <w:vAlign w:val="center"/>
            <w:hideMark/>
          </w:tcPr>
          <w:p w14:paraId="74594D34"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atcelts pilnīgi</w:t>
            </w:r>
            <w:proofErr w:type="gramStart"/>
            <w:r w:rsidRPr="008A7DC2">
              <w:rPr>
                <w:rFonts w:ascii="Calibri" w:hAnsi="Calibri" w:cs="Calibri"/>
                <w:color w:val="000000"/>
                <w:sz w:val="16"/>
                <w:szCs w:val="16"/>
              </w:rPr>
              <w:t xml:space="preserve"> un</w:t>
            </w:r>
            <w:proofErr w:type="gramEnd"/>
            <w:r w:rsidRPr="008A7DC2">
              <w:rPr>
                <w:rFonts w:ascii="Calibri" w:hAnsi="Calibri" w:cs="Calibri"/>
                <w:color w:val="000000"/>
                <w:sz w:val="16"/>
                <w:szCs w:val="16"/>
              </w:rPr>
              <w:t xml:space="preserve"> jautājums nodots jaunai izskatīšanai </w:t>
            </w:r>
          </w:p>
        </w:tc>
        <w:tc>
          <w:tcPr>
            <w:tcW w:w="890" w:type="dxa"/>
            <w:tcBorders>
              <w:top w:val="nil"/>
              <w:left w:val="nil"/>
              <w:bottom w:val="single" w:sz="4" w:space="0" w:color="auto"/>
              <w:right w:val="single" w:sz="4" w:space="0" w:color="auto"/>
            </w:tcBorders>
            <w:shd w:val="clear" w:color="auto" w:fill="auto"/>
            <w:vAlign w:val="center"/>
            <w:hideMark/>
          </w:tcPr>
          <w:p w14:paraId="20F3AFA4"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Atteikts ierosināt kasācijas tiesvedību</w:t>
            </w:r>
          </w:p>
        </w:tc>
        <w:tc>
          <w:tcPr>
            <w:tcW w:w="882" w:type="dxa"/>
            <w:tcBorders>
              <w:top w:val="nil"/>
              <w:left w:val="nil"/>
              <w:bottom w:val="single" w:sz="4" w:space="0" w:color="auto"/>
              <w:right w:val="single" w:sz="4" w:space="0" w:color="auto"/>
            </w:tcBorders>
            <w:shd w:val="clear" w:color="auto" w:fill="auto"/>
            <w:vAlign w:val="center"/>
            <w:hideMark/>
          </w:tcPr>
          <w:p w14:paraId="3FA5E1D9" w14:textId="77777777"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tiesvedība izbeigta</w:t>
            </w:r>
          </w:p>
        </w:tc>
      </w:tr>
      <w:tr w:rsidR="008A7DC2" w:rsidRPr="008A7DC2" w14:paraId="66C5BC3C"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4161C80"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2008.</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F5002F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15" w:type="dxa"/>
            <w:tcBorders>
              <w:top w:val="nil"/>
              <w:left w:val="nil"/>
              <w:bottom w:val="single" w:sz="4" w:space="0" w:color="auto"/>
              <w:right w:val="single" w:sz="8" w:space="0" w:color="auto"/>
            </w:tcBorders>
            <w:shd w:val="clear" w:color="auto" w:fill="auto"/>
            <w:noWrap/>
            <w:vAlign w:val="bottom"/>
            <w:hideMark/>
          </w:tcPr>
          <w:p w14:paraId="1B8E748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679" w:type="dxa"/>
            <w:tcBorders>
              <w:top w:val="nil"/>
              <w:left w:val="nil"/>
              <w:bottom w:val="single" w:sz="4" w:space="0" w:color="auto"/>
              <w:right w:val="single" w:sz="4" w:space="0" w:color="auto"/>
            </w:tcBorders>
            <w:shd w:val="clear" w:color="auto" w:fill="auto"/>
            <w:noWrap/>
            <w:vAlign w:val="bottom"/>
            <w:hideMark/>
          </w:tcPr>
          <w:p w14:paraId="43184A3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262</w:t>
            </w:r>
          </w:p>
        </w:tc>
        <w:tc>
          <w:tcPr>
            <w:tcW w:w="915" w:type="dxa"/>
            <w:tcBorders>
              <w:top w:val="nil"/>
              <w:left w:val="nil"/>
              <w:bottom w:val="single" w:sz="4" w:space="0" w:color="auto"/>
              <w:right w:val="single" w:sz="4" w:space="0" w:color="auto"/>
            </w:tcBorders>
            <w:shd w:val="clear" w:color="auto" w:fill="auto"/>
            <w:noWrap/>
            <w:vAlign w:val="bottom"/>
            <w:hideMark/>
          </w:tcPr>
          <w:p w14:paraId="15E4C3A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209</w:t>
            </w:r>
          </w:p>
        </w:tc>
        <w:tc>
          <w:tcPr>
            <w:tcW w:w="955" w:type="dxa"/>
            <w:tcBorders>
              <w:top w:val="nil"/>
              <w:left w:val="nil"/>
              <w:bottom w:val="single" w:sz="4" w:space="0" w:color="auto"/>
              <w:right w:val="nil"/>
            </w:tcBorders>
            <w:shd w:val="clear" w:color="auto" w:fill="auto"/>
            <w:noWrap/>
            <w:vAlign w:val="bottom"/>
            <w:hideMark/>
          </w:tcPr>
          <w:p w14:paraId="0433A29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457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4BF0123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140</w:t>
            </w:r>
          </w:p>
        </w:tc>
        <w:tc>
          <w:tcPr>
            <w:tcW w:w="960" w:type="dxa"/>
            <w:tcBorders>
              <w:top w:val="nil"/>
              <w:left w:val="nil"/>
              <w:bottom w:val="single" w:sz="4" w:space="0" w:color="auto"/>
              <w:right w:val="nil"/>
            </w:tcBorders>
            <w:shd w:val="clear" w:color="auto" w:fill="auto"/>
            <w:noWrap/>
            <w:vAlign w:val="bottom"/>
            <w:hideMark/>
          </w:tcPr>
          <w:p w14:paraId="53F72EF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407</w:t>
            </w:r>
          </w:p>
        </w:tc>
        <w:tc>
          <w:tcPr>
            <w:tcW w:w="897" w:type="dxa"/>
            <w:tcBorders>
              <w:top w:val="nil"/>
              <w:left w:val="single" w:sz="8" w:space="0" w:color="auto"/>
              <w:bottom w:val="single" w:sz="4" w:space="0" w:color="auto"/>
              <w:right w:val="nil"/>
            </w:tcBorders>
            <w:shd w:val="clear" w:color="auto" w:fill="auto"/>
            <w:noWrap/>
            <w:vAlign w:val="bottom"/>
            <w:hideMark/>
          </w:tcPr>
          <w:p w14:paraId="4CD12D3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2489</w:t>
            </w:r>
          </w:p>
        </w:tc>
        <w:tc>
          <w:tcPr>
            <w:tcW w:w="934" w:type="dxa"/>
            <w:tcBorders>
              <w:top w:val="nil"/>
              <w:left w:val="single" w:sz="4" w:space="0" w:color="auto"/>
              <w:bottom w:val="single" w:sz="4" w:space="0" w:color="auto"/>
              <w:right w:val="nil"/>
            </w:tcBorders>
            <w:shd w:val="clear" w:color="auto" w:fill="auto"/>
            <w:noWrap/>
            <w:vAlign w:val="bottom"/>
            <w:hideMark/>
          </w:tcPr>
          <w:p w14:paraId="0FC08A6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2324</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68892DD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1B1387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36D054D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53C90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6549E6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single" w:sz="4" w:space="0" w:color="auto"/>
              <w:left w:val="nil"/>
              <w:bottom w:val="single" w:sz="4" w:space="0" w:color="auto"/>
              <w:right w:val="single" w:sz="4" w:space="0" w:color="auto"/>
            </w:tcBorders>
            <w:shd w:val="clear" w:color="000000" w:fill="FFFF00"/>
            <w:noWrap/>
            <w:vAlign w:val="bottom"/>
            <w:hideMark/>
          </w:tcPr>
          <w:p w14:paraId="674D0B5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14:paraId="11B7E39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56A3D8E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03B0DAC0"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AD33638"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2009.</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3D3D5D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15" w:type="dxa"/>
            <w:tcBorders>
              <w:top w:val="nil"/>
              <w:left w:val="nil"/>
              <w:bottom w:val="single" w:sz="4" w:space="0" w:color="auto"/>
              <w:right w:val="single" w:sz="8" w:space="0" w:color="auto"/>
            </w:tcBorders>
            <w:shd w:val="clear" w:color="auto" w:fill="auto"/>
            <w:noWrap/>
            <w:vAlign w:val="bottom"/>
            <w:hideMark/>
          </w:tcPr>
          <w:p w14:paraId="10BE73B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679" w:type="dxa"/>
            <w:tcBorders>
              <w:top w:val="nil"/>
              <w:left w:val="nil"/>
              <w:bottom w:val="single" w:sz="4" w:space="0" w:color="auto"/>
              <w:right w:val="single" w:sz="4" w:space="0" w:color="auto"/>
            </w:tcBorders>
            <w:shd w:val="clear" w:color="auto" w:fill="auto"/>
            <w:noWrap/>
            <w:vAlign w:val="bottom"/>
            <w:hideMark/>
          </w:tcPr>
          <w:p w14:paraId="756AF81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258</w:t>
            </w:r>
          </w:p>
        </w:tc>
        <w:tc>
          <w:tcPr>
            <w:tcW w:w="915" w:type="dxa"/>
            <w:tcBorders>
              <w:top w:val="nil"/>
              <w:left w:val="nil"/>
              <w:bottom w:val="single" w:sz="4" w:space="0" w:color="auto"/>
              <w:right w:val="single" w:sz="4" w:space="0" w:color="auto"/>
            </w:tcBorders>
            <w:shd w:val="clear" w:color="auto" w:fill="auto"/>
            <w:noWrap/>
            <w:vAlign w:val="bottom"/>
            <w:hideMark/>
          </w:tcPr>
          <w:p w14:paraId="23BB9F4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166</w:t>
            </w:r>
          </w:p>
        </w:tc>
        <w:tc>
          <w:tcPr>
            <w:tcW w:w="955" w:type="dxa"/>
            <w:tcBorders>
              <w:top w:val="nil"/>
              <w:left w:val="nil"/>
              <w:bottom w:val="single" w:sz="4" w:space="0" w:color="auto"/>
              <w:right w:val="nil"/>
            </w:tcBorders>
            <w:shd w:val="clear" w:color="auto" w:fill="auto"/>
            <w:noWrap/>
            <w:vAlign w:val="bottom"/>
            <w:hideMark/>
          </w:tcPr>
          <w:p w14:paraId="6FDA77C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737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2B31F95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111</w:t>
            </w:r>
          </w:p>
        </w:tc>
        <w:tc>
          <w:tcPr>
            <w:tcW w:w="960" w:type="dxa"/>
            <w:tcBorders>
              <w:top w:val="nil"/>
              <w:left w:val="nil"/>
              <w:bottom w:val="single" w:sz="4" w:space="0" w:color="auto"/>
              <w:right w:val="nil"/>
            </w:tcBorders>
            <w:shd w:val="clear" w:color="auto" w:fill="auto"/>
            <w:noWrap/>
            <w:vAlign w:val="bottom"/>
            <w:hideMark/>
          </w:tcPr>
          <w:p w14:paraId="373755B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372</w:t>
            </w:r>
          </w:p>
        </w:tc>
        <w:tc>
          <w:tcPr>
            <w:tcW w:w="897" w:type="dxa"/>
            <w:tcBorders>
              <w:top w:val="nil"/>
              <w:left w:val="single" w:sz="8" w:space="0" w:color="auto"/>
              <w:bottom w:val="single" w:sz="4" w:space="0" w:color="auto"/>
              <w:right w:val="nil"/>
            </w:tcBorders>
            <w:shd w:val="clear" w:color="auto" w:fill="auto"/>
            <w:noWrap/>
            <w:vAlign w:val="bottom"/>
            <w:hideMark/>
          </w:tcPr>
          <w:p w14:paraId="60E163B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3007</w:t>
            </w:r>
          </w:p>
        </w:tc>
        <w:tc>
          <w:tcPr>
            <w:tcW w:w="934" w:type="dxa"/>
            <w:tcBorders>
              <w:top w:val="nil"/>
              <w:left w:val="single" w:sz="4" w:space="0" w:color="auto"/>
              <w:bottom w:val="single" w:sz="4" w:space="0" w:color="auto"/>
              <w:right w:val="nil"/>
            </w:tcBorders>
            <w:shd w:val="clear" w:color="auto" w:fill="auto"/>
            <w:noWrap/>
            <w:vAlign w:val="bottom"/>
            <w:hideMark/>
          </w:tcPr>
          <w:p w14:paraId="41BC445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2882</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6E95BE8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05" w:type="dxa"/>
            <w:tcBorders>
              <w:top w:val="nil"/>
              <w:left w:val="nil"/>
              <w:bottom w:val="single" w:sz="4" w:space="0" w:color="auto"/>
              <w:right w:val="single" w:sz="4" w:space="0" w:color="auto"/>
            </w:tcBorders>
            <w:shd w:val="clear" w:color="auto" w:fill="auto"/>
            <w:noWrap/>
            <w:vAlign w:val="bottom"/>
            <w:hideMark/>
          </w:tcPr>
          <w:p w14:paraId="01BB187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01A725F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nil"/>
              <w:left w:val="nil"/>
              <w:bottom w:val="single" w:sz="4" w:space="0" w:color="auto"/>
              <w:right w:val="single" w:sz="4" w:space="0" w:color="auto"/>
            </w:tcBorders>
            <w:shd w:val="clear" w:color="auto" w:fill="auto"/>
            <w:noWrap/>
            <w:vAlign w:val="bottom"/>
            <w:hideMark/>
          </w:tcPr>
          <w:p w14:paraId="046925B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50D7CC6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01C9D26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90" w:type="dxa"/>
            <w:tcBorders>
              <w:top w:val="nil"/>
              <w:left w:val="nil"/>
              <w:bottom w:val="single" w:sz="4" w:space="0" w:color="auto"/>
              <w:right w:val="single" w:sz="4" w:space="0" w:color="auto"/>
            </w:tcBorders>
            <w:shd w:val="clear" w:color="auto" w:fill="auto"/>
            <w:noWrap/>
            <w:vAlign w:val="bottom"/>
            <w:hideMark/>
          </w:tcPr>
          <w:p w14:paraId="3699D24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46248FE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155F5C78"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32C49EB7"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2010.</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C09975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15" w:type="dxa"/>
            <w:tcBorders>
              <w:top w:val="nil"/>
              <w:left w:val="nil"/>
              <w:bottom w:val="single" w:sz="4" w:space="0" w:color="auto"/>
              <w:right w:val="single" w:sz="8" w:space="0" w:color="auto"/>
            </w:tcBorders>
            <w:shd w:val="clear" w:color="auto" w:fill="auto"/>
            <w:noWrap/>
            <w:vAlign w:val="bottom"/>
            <w:hideMark/>
          </w:tcPr>
          <w:p w14:paraId="56FFBBA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679" w:type="dxa"/>
            <w:tcBorders>
              <w:top w:val="nil"/>
              <w:left w:val="nil"/>
              <w:bottom w:val="single" w:sz="4" w:space="0" w:color="auto"/>
              <w:right w:val="single" w:sz="4" w:space="0" w:color="auto"/>
            </w:tcBorders>
            <w:shd w:val="clear" w:color="auto" w:fill="auto"/>
            <w:noWrap/>
            <w:vAlign w:val="bottom"/>
            <w:hideMark/>
          </w:tcPr>
          <w:p w14:paraId="2BCF91D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287</w:t>
            </w:r>
          </w:p>
        </w:tc>
        <w:tc>
          <w:tcPr>
            <w:tcW w:w="915" w:type="dxa"/>
            <w:tcBorders>
              <w:top w:val="nil"/>
              <w:left w:val="nil"/>
              <w:bottom w:val="single" w:sz="4" w:space="0" w:color="auto"/>
              <w:right w:val="single" w:sz="4" w:space="0" w:color="auto"/>
            </w:tcBorders>
            <w:shd w:val="clear" w:color="auto" w:fill="auto"/>
            <w:noWrap/>
            <w:vAlign w:val="bottom"/>
            <w:hideMark/>
          </w:tcPr>
          <w:p w14:paraId="551BF06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399</w:t>
            </w:r>
          </w:p>
        </w:tc>
        <w:tc>
          <w:tcPr>
            <w:tcW w:w="955" w:type="dxa"/>
            <w:tcBorders>
              <w:top w:val="nil"/>
              <w:left w:val="nil"/>
              <w:bottom w:val="single" w:sz="4" w:space="0" w:color="auto"/>
              <w:right w:val="nil"/>
            </w:tcBorders>
            <w:shd w:val="clear" w:color="auto" w:fill="auto"/>
            <w:noWrap/>
            <w:vAlign w:val="bottom"/>
            <w:hideMark/>
          </w:tcPr>
          <w:p w14:paraId="2BE36C5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790</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4EBF871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105</w:t>
            </w:r>
          </w:p>
        </w:tc>
        <w:tc>
          <w:tcPr>
            <w:tcW w:w="960" w:type="dxa"/>
            <w:tcBorders>
              <w:top w:val="nil"/>
              <w:left w:val="nil"/>
              <w:bottom w:val="single" w:sz="4" w:space="0" w:color="auto"/>
              <w:right w:val="nil"/>
            </w:tcBorders>
            <w:shd w:val="clear" w:color="auto" w:fill="auto"/>
            <w:noWrap/>
            <w:vAlign w:val="bottom"/>
            <w:hideMark/>
          </w:tcPr>
          <w:p w14:paraId="24AF510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397</w:t>
            </w:r>
          </w:p>
        </w:tc>
        <w:tc>
          <w:tcPr>
            <w:tcW w:w="897" w:type="dxa"/>
            <w:tcBorders>
              <w:top w:val="nil"/>
              <w:left w:val="single" w:sz="8" w:space="0" w:color="auto"/>
              <w:bottom w:val="single" w:sz="4" w:space="0" w:color="auto"/>
              <w:right w:val="nil"/>
            </w:tcBorders>
            <w:shd w:val="clear" w:color="auto" w:fill="auto"/>
            <w:noWrap/>
            <w:vAlign w:val="bottom"/>
            <w:hideMark/>
          </w:tcPr>
          <w:p w14:paraId="74C37BA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3423</w:t>
            </w:r>
          </w:p>
        </w:tc>
        <w:tc>
          <w:tcPr>
            <w:tcW w:w="934" w:type="dxa"/>
            <w:tcBorders>
              <w:top w:val="nil"/>
              <w:left w:val="single" w:sz="4" w:space="0" w:color="auto"/>
              <w:bottom w:val="single" w:sz="4" w:space="0" w:color="auto"/>
              <w:right w:val="nil"/>
            </w:tcBorders>
            <w:shd w:val="clear" w:color="auto" w:fill="auto"/>
            <w:noWrap/>
            <w:vAlign w:val="bottom"/>
            <w:hideMark/>
          </w:tcPr>
          <w:p w14:paraId="0A6BFC9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3297</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6BC683A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905" w:type="dxa"/>
            <w:tcBorders>
              <w:top w:val="nil"/>
              <w:left w:val="nil"/>
              <w:bottom w:val="single" w:sz="4" w:space="0" w:color="auto"/>
              <w:right w:val="single" w:sz="4" w:space="0" w:color="auto"/>
            </w:tcBorders>
            <w:shd w:val="clear" w:color="auto" w:fill="auto"/>
            <w:noWrap/>
            <w:vAlign w:val="bottom"/>
            <w:hideMark/>
          </w:tcPr>
          <w:p w14:paraId="39B6549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22D92A6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14:paraId="003CBF0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35797B4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107B702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890" w:type="dxa"/>
            <w:tcBorders>
              <w:top w:val="nil"/>
              <w:left w:val="nil"/>
              <w:bottom w:val="single" w:sz="4" w:space="0" w:color="auto"/>
              <w:right w:val="single" w:sz="4" w:space="0" w:color="auto"/>
            </w:tcBorders>
            <w:shd w:val="clear" w:color="auto" w:fill="auto"/>
            <w:noWrap/>
            <w:vAlign w:val="bottom"/>
            <w:hideMark/>
          </w:tcPr>
          <w:p w14:paraId="6A8A0E6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4D56C8B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6336D212"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66B135B"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2011.</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4D2408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14:paraId="21027D4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nil"/>
              <w:bottom w:val="single" w:sz="4" w:space="0" w:color="auto"/>
              <w:right w:val="single" w:sz="4" w:space="0" w:color="auto"/>
            </w:tcBorders>
            <w:shd w:val="clear" w:color="auto" w:fill="auto"/>
            <w:noWrap/>
            <w:vAlign w:val="bottom"/>
            <w:hideMark/>
          </w:tcPr>
          <w:p w14:paraId="778C8E10"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287</w:t>
            </w:r>
          </w:p>
        </w:tc>
        <w:tc>
          <w:tcPr>
            <w:tcW w:w="915" w:type="dxa"/>
            <w:tcBorders>
              <w:top w:val="nil"/>
              <w:left w:val="nil"/>
              <w:bottom w:val="single" w:sz="4" w:space="0" w:color="auto"/>
              <w:right w:val="single" w:sz="4" w:space="0" w:color="auto"/>
            </w:tcBorders>
            <w:shd w:val="clear" w:color="auto" w:fill="auto"/>
            <w:noWrap/>
            <w:vAlign w:val="bottom"/>
            <w:hideMark/>
          </w:tcPr>
          <w:p w14:paraId="6632FF6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297</w:t>
            </w:r>
          </w:p>
        </w:tc>
        <w:tc>
          <w:tcPr>
            <w:tcW w:w="955" w:type="dxa"/>
            <w:tcBorders>
              <w:top w:val="nil"/>
              <w:left w:val="nil"/>
              <w:bottom w:val="single" w:sz="4" w:space="0" w:color="auto"/>
              <w:right w:val="nil"/>
            </w:tcBorders>
            <w:shd w:val="clear" w:color="auto" w:fill="auto"/>
            <w:noWrap/>
            <w:vAlign w:val="bottom"/>
            <w:hideMark/>
          </w:tcPr>
          <w:p w14:paraId="4D7C514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549</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3547FD1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134</w:t>
            </w:r>
          </w:p>
        </w:tc>
        <w:tc>
          <w:tcPr>
            <w:tcW w:w="960" w:type="dxa"/>
            <w:tcBorders>
              <w:top w:val="nil"/>
              <w:left w:val="nil"/>
              <w:bottom w:val="single" w:sz="4" w:space="0" w:color="auto"/>
              <w:right w:val="nil"/>
            </w:tcBorders>
            <w:shd w:val="clear" w:color="auto" w:fill="auto"/>
            <w:noWrap/>
            <w:vAlign w:val="bottom"/>
            <w:hideMark/>
          </w:tcPr>
          <w:p w14:paraId="25C560C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421</w:t>
            </w:r>
          </w:p>
        </w:tc>
        <w:tc>
          <w:tcPr>
            <w:tcW w:w="897" w:type="dxa"/>
            <w:tcBorders>
              <w:top w:val="nil"/>
              <w:left w:val="single" w:sz="8" w:space="0" w:color="auto"/>
              <w:bottom w:val="single" w:sz="4" w:space="0" w:color="auto"/>
              <w:right w:val="nil"/>
            </w:tcBorders>
            <w:shd w:val="clear" w:color="auto" w:fill="auto"/>
            <w:noWrap/>
            <w:vAlign w:val="bottom"/>
            <w:hideMark/>
          </w:tcPr>
          <w:p w14:paraId="201F859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2862</w:t>
            </w:r>
          </w:p>
        </w:tc>
        <w:tc>
          <w:tcPr>
            <w:tcW w:w="934" w:type="dxa"/>
            <w:tcBorders>
              <w:top w:val="nil"/>
              <w:left w:val="single" w:sz="4" w:space="0" w:color="auto"/>
              <w:bottom w:val="single" w:sz="4" w:space="0" w:color="auto"/>
              <w:right w:val="nil"/>
            </w:tcBorders>
            <w:shd w:val="clear" w:color="auto" w:fill="auto"/>
            <w:noWrap/>
            <w:vAlign w:val="bottom"/>
            <w:hideMark/>
          </w:tcPr>
          <w:p w14:paraId="7453F77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2719</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544AAB9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05" w:type="dxa"/>
            <w:tcBorders>
              <w:top w:val="nil"/>
              <w:left w:val="nil"/>
              <w:bottom w:val="single" w:sz="4" w:space="0" w:color="auto"/>
              <w:right w:val="single" w:sz="4" w:space="0" w:color="auto"/>
            </w:tcBorders>
            <w:shd w:val="clear" w:color="auto" w:fill="auto"/>
            <w:noWrap/>
            <w:vAlign w:val="bottom"/>
            <w:hideMark/>
          </w:tcPr>
          <w:p w14:paraId="4FA57B6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14:paraId="1A7CC79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nil"/>
              <w:left w:val="nil"/>
              <w:bottom w:val="single" w:sz="4" w:space="0" w:color="auto"/>
              <w:right w:val="single" w:sz="4" w:space="0" w:color="auto"/>
            </w:tcBorders>
            <w:shd w:val="clear" w:color="auto" w:fill="auto"/>
            <w:noWrap/>
            <w:vAlign w:val="bottom"/>
            <w:hideMark/>
          </w:tcPr>
          <w:p w14:paraId="400187CE"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15C3BA2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14:paraId="10C985F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14:paraId="1E24609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749A6C3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2E1B6E9E"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4925F70C"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2012.</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083608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15" w:type="dxa"/>
            <w:tcBorders>
              <w:top w:val="nil"/>
              <w:left w:val="nil"/>
              <w:bottom w:val="single" w:sz="4" w:space="0" w:color="auto"/>
              <w:right w:val="single" w:sz="8" w:space="0" w:color="auto"/>
            </w:tcBorders>
            <w:shd w:val="clear" w:color="auto" w:fill="auto"/>
            <w:noWrap/>
            <w:vAlign w:val="bottom"/>
            <w:hideMark/>
          </w:tcPr>
          <w:p w14:paraId="5B1AD45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679" w:type="dxa"/>
            <w:tcBorders>
              <w:top w:val="nil"/>
              <w:left w:val="nil"/>
              <w:bottom w:val="single" w:sz="4" w:space="0" w:color="auto"/>
              <w:right w:val="single" w:sz="4" w:space="0" w:color="auto"/>
            </w:tcBorders>
            <w:shd w:val="clear" w:color="auto" w:fill="auto"/>
            <w:noWrap/>
            <w:vAlign w:val="bottom"/>
            <w:hideMark/>
          </w:tcPr>
          <w:p w14:paraId="2F51CBE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382</w:t>
            </w:r>
          </w:p>
        </w:tc>
        <w:tc>
          <w:tcPr>
            <w:tcW w:w="915" w:type="dxa"/>
            <w:tcBorders>
              <w:top w:val="nil"/>
              <w:left w:val="nil"/>
              <w:bottom w:val="single" w:sz="4" w:space="0" w:color="auto"/>
              <w:right w:val="single" w:sz="4" w:space="0" w:color="auto"/>
            </w:tcBorders>
            <w:shd w:val="clear" w:color="auto" w:fill="auto"/>
            <w:noWrap/>
            <w:vAlign w:val="bottom"/>
            <w:hideMark/>
          </w:tcPr>
          <w:p w14:paraId="700827C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232</w:t>
            </w:r>
          </w:p>
        </w:tc>
        <w:tc>
          <w:tcPr>
            <w:tcW w:w="955" w:type="dxa"/>
            <w:tcBorders>
              <w:top w:val="nil"/>
              <w:left w:val="nil"/>
              <w:bottom w:val="single" w:sz="4" w:space="0" w:color="auto"/>
              <w:right w:val="nil"/>
            </w:tcBorders>
            <w:shd w:val="clear" w:color="auto" w:fill="auto"/>
            <w:noWrap/>
            <w:vAlign w:val="bottom"/>
            <w:hideMark/>
          </w:tcPr>
          <w:p w14:paraId="03EA9C0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46</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5A700B3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55</w:t>
            </w:r>
          </w:p>
        </w:tc>
        <w:tc>
          <w:tcPr>
            <w:tcW w:w="960" w:type="dxa"/>
            <w:tcBorders>
              <w:top w:val="nil"/>
              <w:left w:val="nil"/>
              <w:bottom w:val="single" w:sz="4" w:space="0" w:color="auto"/>
              <w:right w:val="nil"/>
            </w:tcBorders>
            <w:shd w:val="clear" w:color="auto" w:fill="auto"/>
            <w:noWrap/>
            <w:vAlign w:val="bottom"/>
            <w:hideMark/>
          </w:tcPr>
          <w:p w14:paraId="176AF49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439</w:t>
            </w:r>
          </w:p>
        </w:tc>
        <w:tc>
          <w:tcPr>
            <w:tcW w:w="897" w:type="dxa"/>
            <w:tcBorders>
              <w:top w:val="nil"/>
              <w:left w:val="single" w:sz="8" w:space="0" w:color="auto"/>
              <w:bottom w:val="single" w:sz="4" w:space="0" w:color="auto"/>
              <w:right w:val="nil"/>
            </w:tcBorders>
            <w:shd w:val="clear" w:color="auto" w:fill="auto"/>
            <w:noWrap/>
            <w:vAlign w:val="bottom"/>
            <w:hideMark/>
          </w:tcPr>
          <w:p w14:paraId="7D35A30F"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1505</w:t>
            </w:r>
          </w:p>
        </w:tc>
        <w:tc>
          <w:tcPr>
            <w:tcW w:w="934" w:type="dxa"/>
            <w:tcBorders>
              <w:top w:val="nil"/>
              <w:left w:val="single" w:sz="4" w:space="0" w:color="auto"/>
              <w:bottom w:val="single" w:sz="4" w:space="0" w:color="auto"/>
              <w:right w:val="nil"/>
            </w:tcBorders>
            <w:shd w:val="clear" w:color="auto" w:fill="auto"/>
            <w:noWrap/>
            <w:vAlign w:val="bottom"/>
            <w:hideMark/>
          </w:tcPr>
          <w:p w14:paraId="0DBD79B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1410</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38F3910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05" w:type="dxa"/>
            <w:tcBorders>
              <w:top w:val="nil"/>
              <w:left w:val="nil"/>
              <w:bottom w:val="single" w:sz="4" w:space="0" w:color="auto"/>
              <w:right w:val="single" w:sz="4" w:space="0" w:color="auto"/>
            </w:tcBorders>
            <w:shd w:val="clear" w:color="auto" w:fill="auto"/>
            <w:noWrap/>
            <w:vAlign w:val="bottom"/>
            <w:hideMark/>
          </w:tcPr>
          <w:p w14:paraId="730FF68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4670DD2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14:paraId="72E1DC3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5DCB08A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51177EC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14:paraId="0D67742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54DFF08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r>
      <w:tr w:rsidR="008A7DC2" w:rsidRPr="008A7DC2" w14:paraId="4B68A4B3"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6D6F7BBD"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2013.</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68EAE16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14:paraId="15D6A51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6688D17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443</w:t>
            </w:r>
          </w:p>
        </w:tc>
        <w:tc>
          <w:tcPr>
            <w:tcW w:w="915" w:type="dxa"/>
            <w:tcBorders>
              <w:top w:val="nil"/>
              <w:left w:val="nil"/>
              <w:bottom w:val="single" w:sz="4" w:space="0" w:color="auto"/>
              <w:right w:val="single" w:sz="4" w:space="0" w:color="auto"/>
            </w:tcBorders>
            <w:shd w:val="clear" w:color="auto" w:fill="auto"/>
            <w:noWrap/>
            <w:vAlign w:val="bottom"/>
            <w:hideMark/>
          </w:tcPr>
          <w:p w14:paraId="29D918E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352</w:t>
            </w:r>
          </w:p>
        </w:tc>
        <w:tc>
          <w:tcPr>
            <w:tcW w:w="955" w:type="dxa"/>
            <w:tcBorders>
              <w:top w:val="nil"/>
              <w:left w:val="nil"/>
              <w:bottom w:val="single" w:sz="4" w:space="0" w:color="auto"/>
              <w:right w:val="nil"/>
            </w:tcBorders>
            <w:shd w:val="clear" w:color="auto" w:fill="auto"/>
            <w:noWrap/>
            <w:vAlign w:val="bottom"/>
            <w:hideMark/>
          </w:tcPr>
          <w:p w14:paraId="089D18C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0DCB7ED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26</w:t>
            </w:r>
          </w:p>
        </w:tc>
        <w:tc>
          <w:tcPr>
            <w:tcW w:w="960" w:type="dxa"/>
            <w:tcBorders>
              <w:top w:val="nil"/>
              <w:left w:val="nil"/>
              <w:bottom w:val="single" w:sz="4" w:space="0" w:color="auto"/>
              <w:right w:val="nil"/>
            </w:tcBorders>
            <w:shd w:val="clear" w:color="auto" w:fill="auto"/>
            <w:noWrap/>
            <w:vAlign w:val="bottom"/>
            <w:hideMark/>
          </w:tcPr>
          <w:p w14:paraId="52CE49C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469</w:t>
            </w:r>
          </w:p>
        </w:tc>
        <w:tc>
          <w:tcPr>
            <w:tcW w:w="897" w:type="dxa"/>
            <w:tcBorders>
              <w:top w:val="nil"/>
              <w:left w:val="single" w:sz="8" w:space="0" w:color="auto"/>
              <w:bottom w:val="single" w:sz="4" w:space="0" w:color="auto"/>
              <w:right w:val="nil"/>
            </w:tcBorders>
            <w:shd w:val="clear" w:color="auto" w:fill="auto"/>
            <w:noWrap/>
            <w:vAlign w:val="bottom"/>
            <w:hideMark/>
          </w:tcPr>
          <w:p w14:paraId="4EF08C2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1977</w:t>
            </w:r>
          </w:p>
        </w:tc>
        <w:tc>
          <w:tcPr>
            <w:tcW w:w="934" w:type="dxa"/>
            <w:tcBorders>
              <w:top w:val="nil"/>
              <w:left w:val="single" w:sz="4" w:space="0" w:color="auto"/>
              <w:bottom w:val="single" w:sz="4" w:space="0" w:color="auto"/>
              <w:right w:val="nil"/>
            </w:tcBorders>
            <w:shd w:val="clear" w:color="auto" w:fill="auto"/>
            <w:noWrap/>
            <w:vAlign w:val="bottom"/>
            <w:hideMark/>
          </w:tcPr>
          <w:p w14:paraId="7D3D13CC"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1945</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2B2D675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05" w:type="dxa"/>
            <w:tcBorders>
              <w:top w:val="nil"/>
              <w:left w:val="nil"/>
              <w:bottom w:val="single" w:sz="4" w:space="0" w:color="auto"/>
              <w:right w:val="single" w:sz="4" w:space="0" w:color="auto"/>
            </w:tcBorders>
            <w:shd w:val="clear" w:color="auto" w:fill="auto"/>
            <w:noWrap/>
            <w:vAlign w:val="bottom"/>
            <w:hideMark/>
          </w:tcPr>
          <w:p w14:paraId="07E1E2D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7FC876C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14:paraId="4882536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4AC5F0B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26B101C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14:paraId="6F9D68C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04C9C3C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6856D0FC" w14:textId="77777777"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14:paraId="08834717"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2014.</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F4AEB9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14:paraId="683CB61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nil"/>
              <w:bottom w:val="single" w:sz="4" w:space="0" w:color="auto"/>
              <w:right w:val="single" w:sz="4" w:space="0" w:color="auto"/>
            </w:tcBorders>
            <w:shd w:val="clear" w:color="auto" w:fill="auto"/>
            <w:noWrap/>
            <w:vAlign w:val="bottom"/>
            <w:hideMark/>
          </w:tcPr>
          <w:p w14:paraId="7C22F0C3"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237</w:t>
            </w:r>
          </w:p>
        </w:tc>
        <w:tc>
          <w:tcPr>
            <w:tcW w:w="915" w:type="dxa"/>
            <w:tcBorders>
              <w:top w:val="nil"/>
              <w:left w:val="nil"/>
              <w:bottom w:val="single" w:sz="4" w:space="0" w:color="auto"/>
              <w:right w:val="single" w:sz="4" w:space="0" w:color="auto"/>
            </w:tcBorders>
            <w:shd w:val="clear" w:color="auto" w:fill="auto"/>
            <w:noWrap/>
            <w:vAlign w:val="bottom"/>
            <w:hideMark/>
          </w:tcPr>
          <w:p w14:paraId="637B6991"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129</w:t>
            </w:r>
          </w:p>
        </w:tc>
        <w:tc>
          <w:tcPr>
            <w:tcW w:w="955" w:type="dxa"/>
            <w:tcBorders>
              <w:top w:val="nil"/>
              <w:left w:val="nil"/>
              <w:bottom w:val="single" w:sz="4" w:space="0" w:color="auto"/>
              <w:right w:val="nil"/>
            </w:tcBorders>
            <w:shd w:val="clear" w:color="auto" w:fill="auto"/>
            <w:noWrap/>
            <w:vAlign w:val="bottom"/>
            <w:hideMark/>
          </w:tcPr>
          <w:p w14:paraId="108DBBE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286ECA7D"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60" w:type="dxa"/>
            <w:tcBorders>
              <w:top w:val="nil"/>
              <w:left w:val="nil"/>
              <w:bottom w:val="single" w:sz="4" w:space="0" w:color="auto"/>
              <w:right w:val="nil"/>
            </w:tcBorders>
            <w:shd w:val="clear" w:color="auto" w:fill="auto"/>
            <w:noWrap/>
            <w:vAlign w:val="bottom"/>
            <w:hideMark/>
          </w:tcPr>
          <w:p w14:paraId="3D5AE60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237</w:t>
            </w:r>
          </w:p>
        </w:tc>
        <w:tc>
          <w:tcPr>
            <w:tcW w:w="897" w:type="dxa"/>
            <w:tcBorders>
              <w:top w:val="nil"/>
              <w:left w:val="single" w:sz="8" w:space="0" w:color="auto"/>
              <w:bottom w:val="single" w:sz="4" w:space="0" w:color="auto"/>
              <w:right w:val="nil"/>
            </w:tcBorders>
            <w:shd w:val="clear" w:color="auto" w:fill="auto"/>
            <w:noWrap/>
            <w:vAlign w:val="bottom"/>
            <w:hideMark/>
          </w:tcPr>
          <w:p w14:paraId="633701AA"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1739</w:t>
            </w:r>
          </w:p>
        </w:tc>
        <w:tc>
          <w:tcPr>
            <w:tcW w:w="934" w:type="dxa"/>
            <w:tcBorders>
              <w:top w:val="nil"/>
              <w:left w:val="single" w:sz="4" w:space="0" w:color="auto"/>
              <w:bottom w:val="single" w:sz="4" w:space="0" w:color="auto"/>
              <w:right w:val="nil"/>
            </w:tcBorders>
            <w:shd w:val="clear" w:color="auto" w:fill="auto"/>
            <w:noWrap/>
            <w:vAlign w:val="bottom"/>
            <w:hideMark/>
          </w:tcPr>
          <w:p w14:paraId="5047CB45"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1727</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14:paraId="6D4E0136"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05" w:type="dxa"/>
            <w:tcBorders>
              <w:top w:val="nil"/>
              <w:left w:val="nil"/>
              <w:bottom w:val="single" w:sz="4" w:space="0" w:color="auto"/>
              <w:right w:val="single" w:sz="4" w:space="0" w:color="auto"/>
            </w:tcBorders>
            <w:shd w:val="clear" w:color="auto" w:fill="auto"/>
            <w:noWrap/>
            <w:vAlign w:val="bottom"/>
            <w:hideMark/>
          </w:tcPr>
          <w:p w14:paraId="64916B1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39C5BED9"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14:paraId="723769D7"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52E4433B"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14:paraId="19F41E74"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90" w:type="dxa"/>
            <w:tcBorders>
              <w:top w:val="nil"/>
              <w:left w:val="nil"/>
              <w:bottom w:val="single" w:sz="4" w:space="0" w:color="auto"/>
              <w:right w:val="single" w:sz="4" w:space="0" w:color="auto"/>
            </w:tcBorders>
            <w:shd w:val="clear" w:color="auto" w:fill="auto"/>
            <w:noWrap/>
            <w:vAlign w:val="bottom"/>
            <w:hideMark/>
          </w:tcPr>
          <w:p w14:paraId="454110D2"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6C2F2978" w14:textId="77777777"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14:paraId="3A1DDF4C" w14:textId="77777777" w:rsidTr="008A7DC2">
        <w:trPr>
          <w:trHeight w:val="300"/>
        </w:trPr>
        <w:tc>
          <w:tcPr>
            <w:tcW w:w="960" w:type="dxa"/>
            <w:tcBorders>
              <w:top w:val="nil"/>
              <w:left w:val="single" w:sz="4" w:space="0" w:color="auto"/>
              <w:bottom w:val="nil"/>
              <w:right w:val="nil"/>
            </w:tcBorders>
            <w:shd w:val="clear" w:color="auto" w:fill="auto"/>
            <w:noWrap/>
            <w:vAlign w:val="bottom"/>
            <w:hideMark/>
          </w:tcPr>
          <w:p w14:paraId="659C3F11" w14:textId="77777777"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Kopā</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62C621E"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15</w:t>
            </w:r>
          </w:p>
        </w:tc>
        <w:tc>
          <w:tcPr>
            <w:tcW w:w="915" w:type="dxa"/>
            <w:tcBorders>
              <w:top w:val="nil"/>
              <w:left w:val="nil"/>
              <w:bottom w:val="single" w:sz="4" w:space="0" w:color="auto"/>
              <w:right w:val="single" w:sz="8" w:space="0" w:color="auto"/>
            </w:tcBorders>
            <w:shd w:val="clear" w:color="auto" w:fill="auto"/>
            <w:noWrap/>
            <w:vAlign w:val="bottom"/>
            <w:hideMark/>
          </w:tcPr>
          <w:p w14:paraId="5FBCE4CD"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14</w:t>
            </w:r>
          </w:p>
        </w:tc>
        <w:tc>
          <w:tcPr>
            <w:tcW w:w="679" w:type="dxa"/>
            <w:tcBorders>
              <w:top w:val="single" w:sz="4" w:space="0" w:color="auto"/>
              <w:left w:val="nil"/>
              <w:bottom w:val="single" w:sz="4" w:space="0" w:color="auto"/>
              <w:right w:val="nil"/>
            </w:tcBorders>
            <w:shd w:val="clear" w:color="auto" w:fill="auto"/>
            <w:noWrap/>
            <w:vAlign w:val="bottom"/>
            <w:hideMark/>
          </w:tcPr>
          <w:p w14:paraId="6CA26662"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2156</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D3EBC9B"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1784</w:t>
            </w:r>
          </w:p>
        </w:tc>
        <w:tc>
          <w:tcPr>
            <w:tcW w:w="955" w:type="dxa"/>
            <w:tcBorders>
              <w:top w:val="single" w:sz="4" w:space="0" w:color="auto"/>
              <w:left w:val="nil"/>
              <w:bottom w:val="single" w:sz="4" w:space="0" w:color="auto"/>
              <w:right w:val="nil"/>
            </w:tcBorders>
            <w:shd w:val="clear" w:color="auto" w:fill="auto"/>
            <w:noWrap/>
            <w:vAlign w:val="bottom"/>
            <w:hideMark/>
          </w:tcPr>
          <w:p w14:paraId="5AD65BA7"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2630</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14:paraId="6C86EB3C"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571</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0EFB4746"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2742</w:t>
            </w:r>
          </w:p>
        </w:tc>
        <w:tc>
          <w:tcPr>
            <w:tcW w:w="897" w:type="dxa"/>
            <w:tcBorders>
              <w:top w:val="nil"/>
              <w:left w:val="nil"/>
              <w:bottom w:val="single" w:sz="4" w:space="0" w:color="auto"/>
              <w:right w:val="single" w:sz="4" w:space="0" w:color="auto"/>
            </w:tcBorders>
            <w:shd w:val="clear" w:color="auto" w:fill="auto"/>
            <w:noWrap/>
            <w:vAlign w:val="bottom"/>
            <w:hideMark/>
          </w:tcPr>
          <w:p w14:paraId="58EA0040"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17002</w:t>
            </w:r>
          </w:p>
        </w:tc>
        <w:tc>
          <w:tcPr>
            <w:tcW w:w="934" w:type="dxa"/>
            <w:tcBorders>
              <w:top w:val="nil"/>
              <w:left w:val="nil"/>
              <w:bottom w:val="single" w:sz="4" w:space="0" w:color="auto"/>
              <w:right w:val="single" w:sz="8" w:space="0" w:color="auto"/>
            </w:tcBorders>
            <w:shd w:val="clear" w:color="auto" w:fill="auto"/>
            <w:noWrap/>
            <w:vAlign w:val="bottom"/>
            <w:hideMark/>
          </w:tcPr>
          <w:p w14:paraId="24187D74"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16304</w:t>
            </w:r>
          </w:p>
        </w:tc>
        <w:tc>
          <w:tcPr>
            <w:tcW w:w="1076" w:type="dxa"/>
            <w:tcBorders>
              <w:top w:val="nil"/>
              <w:left w:val="nil"/>
              <w:bottom w:val="single" w:sz="4" w:space="0" w:color="auto"/>
              <w:right w:val="single" w:sz="8" w:space="0" w:color="auto"/>
            </w:tcBorders>
            <w:shd w:val="clear" w:color="auto" w:fill="auto"/>
            <w:noWrap/>
            <w:vAlign w:val="bottom"/>
            <w:hideMark/>
          </w:tcPr>
          <w:p w14:paraId="5A919BB0"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20</w:t>
            </w:r>
          </w:p>
        </w:tc>
        <w:tc>
          <w:tcPr>
            <w:tcW w:w="905" w:type="dxa"/>
            <w:tcBorders>
              <w:top w:val="nil"/>
              <w:left w:val="nil"/>
              <w:bottom w:val="single" w:sz="4" w:space="0" w:color="auto"/>
              <w:right w:val="single" w:sz="4" w:space="0" w:color="auto"/>
            </w:tcBorders>
            <w:shd w:val="clear" w:color="auto" w:fill="auto"/>
            <w:noWrap/>
            <w:vAlign w:val="bottom"/>
            <w:hideMark/>
          </w:tcPr>
          <w:p w14:paraId="1F0E92E5"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14:paraId="0D261A82" w14:textId="77777777"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4</w:t>
            </w:r>
          </w:p>
        </w:tc>
        <w:tc>
          <w:tcPr>
            <w:tcW w:w="833" w:type="dxa"/>
            <w:tcBorders>
              <w:top w:val="nil"/>
              <w:left w:val="nil"/>
              <w:bottom w:val="single" w:sz="4" w:space="0" w:color="auto"/>
              <w:right w:val="single" w:sz="4" w:space="0" w:color="auto"/>
            </w:tcBorders>
            <w:shd w:val="clear" w:color="auto" w:fill="auto"/>
            <w:noWrap/>
            <w:vAlign w:val="bottom"/>
            <w:hideMark/>
          </w:tcPr>
          <w:p w14:paraId="09D3B35D"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14:paraId="1994AADD"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w:t>
            </w:r>
          </w:p>
        </w:tc>
        <w:tc>
          <w:tcPr>
            <w:tcW w:w="955" w:type="dxa"/>
            <w:tcBorders>
              <w:top w:val="nil"/>
              <w:left w:val="nil"/>
              <w:bottom w:val="single" w:sz="4" w:space="0" w:color="auto"/>
              <w:right w:val="single" w:sz="4" w:space="0" w:color="auto"/>
            </w:tcBorders>
            <w:shd w:val="clear" w:color="000000" w:fill="FFFF00"/>
            <w:noWrap/>
            <w:vAlign w:val="bottom"/>
            <w:hideMark/>
          </w:tcPr>
          <w:p w14:paraId="776B9CF9" w14:textId="77777777"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6</w:t>
            </w:r>
          </w:p>
        </w:tc>
        <w:tc>
          <w:tcPr>
            <w:tcW w:w="890" w:type="dxa"/>
            <w:tcBorders>
              <w:top w:val="nil"/>
              <w:left w:val="nil"/>
              <w:bottom w:val="single" w:sz="4" w:space="0" w:color="auto"/>
              <w:right w:val="single" w:sz="4" w:space="0" w:color="auto"/>
            </w:tcBorders>
            <w:shd w:val="clear" w:color="auto" w:fill="auto"/>
            <w:noWrap/>
            <w:vAlign w:val="bottom"/>
            <w:hideMark/>
          </w:tcPr>
          <w:p w14:paraId="7672019A"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14:paraId="0EB4689C" w14:textId="77777777"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w:t>
            </w:r>
          </w:p>
        </w:tc>
      </w:tr>
      <w:tr w:rsidR="008A7DC2" w:rsidRPr="008A7DC2" w14:paraId="085AD3F7" w14:textId="77777777" w:rsidTr="008A7DC2">
        <w:trPr>
          <w:trHeight w:val="300"/>
        </w:trPr>
        <w:tc>
          <w:tcPr>
            <w:tcW w:w="2994" w:type="dxa"/>
            <w:gridSpan w:val="4"/>
            <w:tcBorders>
              <w:top w:val="nil"/>
              <w:left w:val="single" w:sz="4" w:space="0" w:color="auto"/>
              <w:bottom w:val="nil"/>
              <w:right w:val="nil"/>
            </w:tcBorders>
            <w:shd w:val="clear" w:color="auto" w:fill="auto"/>
            <w:noWrap/>
            <w:vAlign w:val="bottom"/>
            <w:hideMark/>
          </w:tcPr>
          <w:p w14:paraId="270C2A0C" w14:textId="77777777"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 - visu paveidu nolēmumi kopā</w:t>
            </w:r>
          </w:p>
        </w:tc>
        <w:tc>
          <w:tcPr>
            <w:tcW w:w="915" w:type="dxa"/>
            <w:tcBorders>
              <w:top w:val="nil"/>
              <w:left w:val="nil"/>
              <w:bottom w:val="nil"/>
              <w:right w:val="nil"/>
            </w:tcBorders>
            <w:shd w:val="clear" w:color="auto" w:fill="auto"/>
            <w:noWrap/>
            <w:vAlign w:val="bottom"/>
            <w:hideMark/>
          </w:tcPr>
          <w:p w14:paraId="18B5D41F" w14:textId="77777777" w:rsidR="008A7DC2" w:rsidRPr="008A7DC2" w:rsidRDefault="008A7DC2" w:rsidP="008A7DC2">
            <w:pPr>
              <w:widowControl/>
              <w:adjustRightInd/>
              <w:jc w:val="left"/>
              <w:textAlignment w:val="auto"/>
              <w:rPr>
                <w:rFonts w:ascii="Calibri" w:hAnsi="Calibri" w:cs="Calibri"/>
                <w:i/>
                <w:iCs/>
                <w:color w:val="000000"/>
                <w:sz w:val="16"/>
                <w:szCs w:val="16"/>
              </w:rPr>
            </w:pPr>
          </w:p>
        </w:tc>
        <w:tc>
          <w:tcPr>
            <w:tcW w:w="955" w:type="dxa"/>
            <w:tcBorders>
              <w:top w:val="nil"/>
              <w:left w:val="nil"/>
              <w:bottom w:val="nil"/>
              <w:right w:val="nil"/>
            </w:tcBorders>
            <w:shd w:val="clear" w:color="auto" w:fill="auto"/>
            <w:noWrap/>
            <w:vAlign w:val="bottom"/>
            <w:hideMark/>
          </w:tcPr>
          <w:p w14:paraId="129760DD" w14:textId="77777777" w:rsidR="008A7DC2" w:rsidRPr="008A7DC2" w:rsidRDefault="008A7DC2" w:rsidP="008A7DC2">
            <w:pPr>
              <w:widowControl/>
              <w:adjustRightInd/>
              <w:jc w:val="left"/>
              <w:textAlignment w:val="auto"/>
            </w:pPr>
          </w:p>
        </w:tc>
        <w:tc>
          <w:tcPr>
            <w:tcW w:w="769" w:type="dxa"/>
            <w:tcBorders>
              <w:top w:val="nil"/>
              <w:left w:val="nil"/>
              <w:bottom w:val="nil"/>
              <w:right w:val="nil"/>
            </w:tcBorders>
            <w:shd w:val="clear" w:color="auto" w:fill="auto"/>
            <w:noWrap/>
            <w:vAlign w:val="bottom"/>
            <w:hideMark/>
          </w:tcPr>
          <w:p w14:paraId="546BA938" w14:textId="77777777" w:rsidR="008A7DC2" w:rsidRPr="008A7DC2" w:rsidRDefault="008A7DC2" w:rsidP="008A7DC2">
            <w:pPr>
              <w:widowControl/>
              <w:adjustRightInd/>
              <w:jc w:val="left"/>
              <w:textAlignment w:val="auto"/>
            </w:pPr>
          </w:p>
        </w:tc>
        <w:tc>
          <w:tcPr>
            <w:tcW w:w="960" w:type="dxa"/>
            <w:tcBorders>
              <w:top w:val="nil"/>
              <w:left w:val="nil"/>
              <w:bottom w:val="nil"/>
              <w:right w:val="nil"/>
            </w:tcBorders>
            <w:shd w:val="clear" w:color="auto" w:fill="auto"/>
            <w:noWrap/>
            <w:vAlign w:val="bottom"/>
            <w:hideMark/>
          </w:tcPr>
          <w:p w14:paraId="4147A641" w14:textId="77777777" w:rsidR="008A7DC2" w:rsidRPr="008A7DC2" w:rsidRDefault="008A7DC2" w:rsidP="008A7DC2">
            <w:pPr>
              <w:widowControl/>
              <w:adjustRightInd/>
              <w:jc w:val="left"/>
              <w:textAlignment w:val="auto"/>
            </w:pPr>
          </w:p>
        </w:tc>
        <w:tc>
          <w:tcPr>
            <w:tcW w:w="897" w:type="dxa"/>
            <w:tcBorders>
              <w:top w:val="nil"/>
              <w:left w:val="nil"/>
              <w:bottom w:val="nil"/>
              <w:right w:val="nil"/>
            </w:tcBorders>
            <w:shd w:val="clear" w:color="auto" w:fill="auto"/>
            <w:noWrap/>
            <w:vAlign w:val="bottom"/>
            <w:hideMark/>
          </w:tcPr>
          <w:p w14:paraId="74C1EE71" w14:textId="77777777" w:rsidR="008A7DC2" w:rsidRPr="008A7DC2" w:rsidRDefault="008A7DC2" w:rsidP="008A7DC2">
            <w:pPr>
              <w:widowControl/>
              <w:adjustRightInd/>
              <w:jc w:val="left"/>
              <w:textAlignment w:val="auto"/>
            </w:pPr>
          </w:p>
        </w:tc>
        <w:tc>
          <w:tcPr>
            <w:tcW w:w="934" w:type="dxa"/>
            <w:tcBorders>
              <w:top w:val="nil"/>
              <w:left w:val="nil"/>
              <w:bottom w:val="nil"/>
              <w:right w:val="nil"/>
            </w:tcBorders>
            <w:shd w:val="clear" w:color="auto" w:fill="auto"/>
            <w:noWrap/>
            <w:vAlign w:val="bottom"/>
            <w:hideMark/>
          </w:tcPr>
          <w:p w14:paraId="4EE5554B" w14:textId="77777777" w:rsidR="008A7DC2" w:rsidRPr="008A7DC2" w:rsidRDefault="008A7DC2" w:rsidP="008A7DC2">
            <w:pPr>
              <w:widowControl/>
              <w:adjustRightInd/>
              <w:jc w:val="left"/>
              <w:textAlignment w:val="auto"/>
            </w:pPr>
          </w:p>
        </w:tc>
        <w:tc>
          <w:tcPr>
            <w:tcW w:w="1076" w:type="dxa"/>
            <w:tcBorders>
              <w:top w:val="nil"/>
              <w:left w:val="nil"/>
              <w:bottom w:val="nil"/>
              <w:right w:val="nil"/>
            </w:tcBorders>
            <w:shd w:val="clear" w:color="auto" w:fill="auto"/>
            <w:noWrap/>
            <w:vAlign w:val="bottom"/>
            <w:hideMark/>
          </w:tcPr>
          <w:p w14:paraId="4F05FBFB" w14:textId="77777777" w:rsidR="008A7DC2" w:rsidRPr="008A7DC2" w:rsidRDefault="008A7DC2" w:rsidP="008A7DC2">
            <w:pPr>
              <w:widowControl/>
              <w:adjustRightInd/>
              <w:jc w:val="left"/>
              <w:textAlignment w:val="auto"/>
            </w:pPr>
          </w:p>
        </w:tc>
        <w:tc>
          <w:tcPr>
            <w:tcW w:w="905" w:type="dxa"/>
            <w:tcBorders>
              <w:top w:val="nil"/>
              <w:left w:val="nil"/>
              <w:bottom w:val="nil"/>
              <w:right w:val="nil"/>
            </w:tcBorders>
            <w:shd w:val="clear" w:color="auto" w:fill="auto"/>
            <w:noWrap/>
            <w:vAlign w:val="bottom"/>
            <w:hideMark/>
          </w:tcPr>
          <w:p w14:paraId="33A0AEF1"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36641676" w14:textId="77777777" w:rsidR="008A7DC2" w:rsidRPr="008A7DC2" w:rsidRDefault="008A7DC2" w:rsidP="008A7DC2">
            <w:pPr>
              <w:widowControl/>
              <w:adjustRightInd/>
              <w:jc w:val="left"/>
              <w:textAlignment w:val="auto"/>
            </w:pPr>
          </w:p>
        </w:tc>
        <w:tc>
          <w:tcPr>
            <w:tcW w:w="833" w:type="dxa"/>
            <w:tcBorders>
              <w:top w:val="nil"/>
              <w:left w:val="nil"/>
              <w:bottom w:val="nil"/>
              <w:right w:val="nil"/>
            </w:tcBorders>
            <w:shd w:val="clear" w:color="auto" w:fill="auto"/>
            <w:noWrap/>
            <w:vAlign w:val="bottom"/>
            <w:hideMark/>
          </w:tcPr>
          <w:p w14:paraId="38BE8E93"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017071DA"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51CC6082" w14:textId="77777777" w:rsidR="008A7DC2" w:rsidRPr="008A7DC2" w:rsidRDefault="008A7DC2" w:rsidP="008A7DC2">
            <w:pPr>
              <w:widowControl/>
              <w:adjustRightInd/>
              <w:jc w:val="left"/>
              <w:textAlignment w:val="auto"/>
            </w:pPr>
          </w:p>
        </w:tc>
        <w:tc>
          <w:tcPr>
            <w:tcW w:w="890" w:type="dxa"/>
            <w:tcBorders>
              <w:top w:val="nil"/>
              <w:left w:val="nil"/>
              <w:bottom w:val="nil"/>
              <w:right w:val="nil"/>
            </w:tcBorders>
            <w:shd w:val="clear" w:color="auto" w:fill="auto"/>
            <w:noWrap/>
            <w:vAlign w:val="bottom"/>
            <w:hideMark/>
          </w:tcPr>
          <w:p w14:paraId="289F2A6E" w14:textId="77777777" w:rsidR="008A7DC2" w:rsidRPr="008A7DC2" w:rsidRDefault="008A7DC2" w:rsidP="008A7DC2">
            <w:pPr>
              <w:widowControl/>
              <w:adjustRightInd/>
              <w:jc w:val="left"/>
              <w:textAlignment w:val="auto"/>
            </w:pPr>
          </w:p>
        </w:tc>
        <w:tc>
          <w:tcPr>
            <w:tcW w:w="882" w:type="dxa"/>
            <w:tcBorders>
              <w:top w:val="nil"/>
              <w:left w:val="nil"/>
              <w:bottom w:val="nil"/>
              <w:right w:val="nil"/>
            </w:tcBorders>
            <w:shd w:val="clear" w:color="auto" w:fill="auto"/>
            <w:noWrap/>
            <w:vAlign w:val="bottom"/>
            <w:hideMark/>
          </w:tcPr>
          <w:p w14:paraId="7D2B7CAC" w14:textId="77777777" w:rsidR="008A7DC2" w:rsidRPr="008A7DC2" w:rsidRDefault="008A7DC2" w:rsidP="008A7DC2">
            <w:pPr>
              <w:widowControl/>
              <w:adjustRightInd/>
              <w:jc w:val="left"/>
              <w:textAlignment w:val="auto"/>
            </w:pPr>
          </w:p>
        </w:tc>
      </w:tr>
      <w:tr w:rsidR="008A7DC2" w:rsidRPr="008A7DC2" w14:paraId="306DA989" w14:textId="77777777" w:rsidTr="008A7DC2">
        <w:trPr>
          <w:trHeight w:val="300"/>
        </w:trPr>
        <w:tc>
          <w:tcPr>
            <w:tcW w:w="4864" w:type="dxa"/>
            <w:gridSpan w:val="6"/>
            <w:tcBorders>
              <w:top w:val="nil"/>
              <w:left w:val="nil"/>
              <w:bottom w:val="nil"/>
              <w:right w:val="nil"/>
            </w:tcBorders>
            <w:shd w:val="clear" w:color="auto" w:fill="auto"/>
            <w:noWrap/>
            <w:vAlign w:val="bottom"/>
            <w:hideMark/>
          </w:tcPr>
          <w:p w14:paraId="1F82596A" w14:textId="77777777"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Datu avots: Tiesu informatīvā sistēma</w:t>
            </w:r>
          </w:p>
        </w:tc>
        <w:tc>
          <w:tcPr>
            <w:tcW w:w="769" w:type="dxa"/>
            <w:tcBorders>
              <w:top w:val="nil"/>
              <w:left w:val="nil"/>
              <w:bottom w:val="nil"/>
              <w:right w:val="nil"/>
            </w:tcBorders>
            <w:shd w:val="clear" w:color="auto" w:fill="auto"/>
            <w:noWrap/>
            <w:vAlign w:val="bottom"/>
            <w:hideMark/>
          </w:tcPr>
          <w:p w14:paraId="66ACF133" w14:textId="77777777" w:rsidR="008A7DC2" w:rsidRPr="008A7DC2" w:rsidRDefault="008A7DC2" w:rsidP="008A7DC2">
            <w:pPr>
              <w:widowControl/>
              <w:adjustRightInd/>
              <w:jc w:val="left"/>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3AE2C7D" w14:textId="77777777" w:rsidR="008A7DC2" w:rsidRPr="008A7DC2" w:rsidRDefault="008A7DC2" w:rsidP="008A7DC2">
            <w:pPr>
              <w:widowControl/>
              <w:adjustRightInd/>
              <w:jc w:val="left"/>
              <w:textAlignment w:val="auto"/>
            </w:pPr>
          </w:p>
        </w:tc>
        <w:tc>
          <w:tcPr>
            <w:tcW w:w="897" w:type="dxa"/>
            <w:tcBorders>
              <w:top w:val="nil"/>
              <w:left w:val="nil"/>
              <w:bottom w:val="nil"/>
              <w:right w:val="nil"/>
            </w:tcBorders>
            <w:shd w:val="clear" w:color="auto" w:fill="auto"/>
            <w:noWrap/>
            <w:vAlign w:val="bottom"/>
            <w:hideMark/>
          </w:tcPr>
          <w:p w14:paraId="1BED6DA9" w14:textId="77777777" w:rsidR="008A7DC2" w:rsidRPr="008A7DC2" w:rsidRDefault="008A7DC2" w:rsidP="008A7DC2">
            <w:pPr>
              <w:widowControl/>
              <w:adjustRightInd/>
              <w:jc w:val="left"/>
              <w:textAlignment w:val="auto"/>
            </w:pPr>
          </w:p>
        </w:tc>
        <w:tc>
          <w:tcPr>
            <w:tcW w:w="934" w:type="dxa"/>
            <w:tcBorders>
              <w:top w:val="nil"/>
              <w:left w:val="nil"/>
              <w:bottom w:val="nil"/>
              <w:right w:val="nil"/>
            </w:tcBorders>
            <w:shd w:val="clear" w:color="auto" w:fill="auto"/>
            <w:noWrap/>
            <w:vAlign w:val="bottom"/>
            <w:hideMark/>
          </w:tcPr>
          <w:p w14:paraId="7E94B359" w14:textId="77777777" w:rsidR="008A7DC2" w:rsidRPr="008A7DC2" w:rsidRDefault="008A7DC2" w:rsidP="008A7DC2">
            <w:pPr>
              <w:widowControl/>
              <w:adjustRightInd/>
              <w:jc w:val="left"/>
              <w:textAlignment w:val="auto"/>
            </w:pPr>
          </w:p>
        </w:tc>
        <w:tc>
          <w:tcPr>
            <w:tcW w:w="1076" w:type="dxa"/>
            <w:tcBorders>
              <w:top w:val="nil"/>
              <w:left w:val="nil"/>
              <w:bottom w:val="nil"/>
              <w:right w:val="nil"/>
            </w:tcBorders>
            <w:shd w:val="clear" w:color="auto" w:fill="auto"/>
            <w:noWrap/>
            <w:vAlign w:val="bottom"/>
            <w:hideMark/>
          </w:tcPr>
          <w:p w14:paraId="29B15E0F" w14:textId="77777777" w:rsidR="008A7DC2" w:rsidRPr="008A7DC2" w:rsidRDefault="008A7DC2" w:rsidP="008A7DC2">
            <w:pPr>
              <w:widowControl/>
              <w:adjustRightInd/>
              <w:jc w:val="left"/>
              <w:textAlignment w:val="auto"/>
            </w:pPr>
          </w:p>
        </w:tc>
        <w:tc>
          <w:tcPr>
            <w:tcW w:w="905" w:type="dxa"/>
            <w:tcBorders>
              <w:top w:val="nil"/>
              <w:left w:val="nil"/>
              <w:bottom w:val="nil"/>
              <w:right w:val="nil"/>
            </w:tcBorders>
            <w:shd w:val="clear" w:color="auto" w:fill="auto"/>
            <w:noWrap/>
            <w:vAlign w:val="bottom"/>
            <w:hideMark/>
          </w:tcPr>
          <w:p w14:paraId="147241B0"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7E4EC76A" w14:textId="77777777" w:rsidR="008A7DC2" w:rsidRPr="008A7DC2" w:rsidRDefault="008A7DC2" w:rsidP="008A7DC2">
            <w:pPr>
              <w:widowControl/>
              <w:adjustRightInd/>
              <w:jc w:val="left"/>
              <w:textAlignment w:val="auto"/>
            </w:pPr>
          </w:p>
        </w:tc>
        <w:tc>
          <w:tcPr>
            <w:tcW w:w="833" w:type="dxa"/>
            <w:tcBorders>
              <w:top w:val="nil"/>
              <w:left w:val="nil"/>
              <w:bottom w:val="nil"/>
              <w:right w:val="nil"/>
            </w:tcBorders>
            <w:shd w:val="clear" w:color="auto" w:fill="auto"/>
            <w:noWrap/>
            <w:vAlign w:val="bottom"/>
            <w:hideMark/>
          </w:tcPr>
          <w:p w14:paraId="2F451C7A"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09624E9D" w14:textId="77777777"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14:paraId="1B6E8BCB" w14:textId="77777777" w:rsidR="008A7DC2" w:rsidRPr="008A7DC2" w:rsidRDefault="008A7DC2" w:rsidP="008A7DC2">
            <w:pPr>
              <w:widowControl/>
              <w:adjustRightInd/>
              <w:jc w:val="left"/>
              <w:textAlignment w:val="auto"/>
            </w:pPr>
          </w:p>
        </w:tc>
        <w:tc>
          <w:tcPr>
            <w:tcW w:w="890" w:type="dxa"/>
            <w:tcBorders>
              <w:top w:val="nil"/>
              <w:left w:val="nil"/>
              <w:bottom w:val="nil"/>
              <w:right w:val="nil"/>
            </w:tcBorders>
            <w:shd w:val="clear" w:color="auto" w:fill="auto"/>
            <w:noWrap/>
            <w:vAlign w:val="bottom"/>
            <w:hideMark/>
          </w:tcPr>
          <w:p w14:paraId="7AF5AB68" w14:textId="77777777" w:rsidR="008A7DC2" w:rsidRPr="008A7DC2" w:rsidRDefault="008A7DC2" w:rsidP="008A7DC2">
            <w:pPr>
              <w:widowControl/>
              <w:adjustRightInd/>
              <w:jc w:val="left"/>
              <w:textAlignment w:val="auto"/>
            </w:pPr>
          </w:p>
        </w:tc>
        <w:tc>
          <w:tcPr>
            <w:tcW w:w="882" w:type="dxa"/>
            <w:tcBorders>
              <w:top w:val="nil"/>
              <w:left w:val="nil"/>
              <w:bottom w:val="nil"/>
              <w:right w:val="nil"/>
            </w:tcBorders>
            <w:shd w:val="clear" w:color="auto" w:fill="auto"/>
            <w:noWrap/>
            <w:vAlign w:val="bottom"/>
            <w:hideMark/>
          </w:tcPr>
          <w:p w14:paraId="3DBDAB9E" w14:textId="77777777" w:rsidR="008A7DC2" w:rsidRPr="008A7DC2" w:rsidRDefault="008A7DC2" w:rsidP="008A7DC2">
            <w:pPr>
              <w:widowControl/>
              <w:adjustRightInd/>
              <w:jc w:val="left"/>
              <w:textAlignment w:val="auto"/>
            </w:pPr>
          </w:p>
        </w:tc>
      </w:tr>
    </w:tbl>
    <w:p w14:paraId="6F81B5FC" w14:textId="77777777" w:rsidR="004546C7" w:rsidRPr="00327DAE" w:rsidRDefault="004546C7" w:rsidP="0025317F">
      <w:pPr>
        <w:spacing w:after="120"/>
        <w:rPr>
          <w:sz w:val="24"/>
          <w:szCs w:val="24"/>
        </w:rPr>
      </w:pPr>
    </w:p>
    <w:p w14:paraId="5E2F716B" w14:textId="77777777" w:rsidR="004546C7" w:rsidRPr="00327DAE" w:rsidRDefault="004546C7" w:rsidP="0025317F">
      <w:pPr>
        <w:spacing w:after="120"/>
        <w:rPr>
          <w:sz w:val="24"/>
          <w:szCs w:val="24"/>
        </w:rPr>
        <w:sectPr w:rsidR="004546C7" w:rsidRPr="00327DAE" w:rsidSect="00102253">
          <w:pgSz w:w="16838" w:h="11906" w:orient="landscape"/>
          <w:pgMar w:top="1440" w:right="1797" w:bottom="1440" w:left="1797" w:header="709" w:footer="709" w:gutter="0"/>
          <w:cols w:space="708"/>
          <w:docGrid w:linePitch="360"/>
        </w:sectPr>
      </w:pPr>
    </w:p>
    <w:p w14:paraId="3D490495" w14:textId="77777777" w:rsidR="006A2DE6" w:rsidRPr="00327DAE" w:rsidRDefault="006A2DE6" w:rsidP="0025317F">
      <w:pPr>
        <w:pStyle w:val="Heading2"/>
        <w:rPr>
          <w:rFonts w:cs="Times New Roman"/>
          <w:szCs w:val="24"/>
        </w:rPr>
      </w:pPr>
      <w:bookmarkStart w:id="69" w:name="_Toc522527539"/>
      <w:r w:rsidRPr="00327DAE">
        <w:rPr>
          <w:rFonts w:cs="Times New Roman"/>
          <w:szCs w:val="24"/>
        </w:rPr>
        <w:lastRenderedPageBreak/>
        <w:t>Normatīvā regulējuma periodizācija un būtiskākie grozījumi</w:t>
      </w:r>
      <w:bookmarkEnd w:id="69"/>
    </w:p>
    <w:p w14:paraId="35419F59" w14:textId="77777777" w:rsidR="006A2DE6" w:rsidRPr="00327DAE" w:rsidRDefault="006A2DE6" w:rsidP="0025317F">
      <w:pPr>
        <w:spacing w:after="120"/>
        <w:rPr>
          <w:sz w:val="24"/>
          <w:szCs w:val="24"/>
        </w:rPr>
      </w:pPr>
    </w:p>
    <w:p w14:paraId="318ADD4B" w14:textId="77777777" w:rsidR="006A2DE6" w:rsidRPr="00327DAE" w:rsidRDefault="006A2DE6" w:rsidP="0025317F">
      <w:pPr>
        <w:spacing w:after="120"/>
        <w:rPr>
          <w:sz w:val="24"/>
          <w:szCs w:val="24"/>
        </w:rPr>
      </w:pPr>
      <w:r w:rsidRPr="00327DAE">
        <w:rPr>
          <w:sz w:val="24"/>
          <w:szCs w:val="24"/>
        </w:rPr>
        <w:t>Līdz 01.01.2008.</w:t>
      </w:r>
    </w:p>
    <w:p w14:paraId="3758566C" w14:textId="77777777" w:rsidR="006A2DE6" w:rsidRPr="00327DAE" w:rsidRDefault="006A2DE6" w:rsidP="0025317F">
      <w:pPr>
        <w:spacing w:after="120"/>
        <w:rPr>
          <w:sz w:val="24"/>
          <w:szCs w:val="24"/>
        </w:rPr>
      </w:pPr>
      <w:r w:rsidRPr="00327DAE">
        <w:rPr>
          <w:sz w:val="24"/>
          <w:szCs w:val="24"/>
        </w:rPr>
        <w:t>Par uzņēmumu un uzņēmējsabiedrību maksātnespēju (pieņemts 12.09.1996.)</w:t>
      </w:r>
    </w:p>
    <w:p w14:paraId="52F82E59" w14:textId="77777777" w:rsidR="006A2DE6" w:rsidRPr="00327DAE" w:rsidRDefault="006A2DE6" w:rsidP="0025317F">
      <w:pPr>
        <w:spacing w:after="120"/>
        <w:rPr>
          <w:sz w:val="24"/>
          <w:szCs w:val="24"/>
        </w:rPr>
      </w:pPr>
    </w:p>
    <w:p w14:paraId="1616E041" w14:textId="77777777" w:rsidR="006A2DE6" w:rsidRPr="00327DAE" w:rsidRDefault="006A2DE6" w:rsidP="0025317F">
      <w:pPr>
        <w:spacing w:after="120"/>
        <w:rPr>
          <w:sz w:val="24"/>
          <w:szCs w:val="24"/>
        </w:rPr>
      </w:pPr>
      <w:r w:rsidRPr="00327DAE">
        <w:rPr>
          <w:sz w:val="24"/>
          <w:szCs w:val="24"/>
        </w:rPr>
        <w:t>01.01.2008.-31.10.2010</w:t>
      </w:r>
    </w:p>
    <w:p w14:paraId="06A5E1E0" w14:textId="77777777" w:rsidR="006A2DE6" w:rsidRPr="00327DAE" w:rsidRDefault="006A2DE6" w:rsidP="0025317F">
      <w:pPr>
        <w:spacing w:after="120"/>
        <w:rPr>
          <w:sz w:val="24"/>
          <w:szCs w:val="24"/>
        </w:rPr>
      </w:pPr>
      <w:r w:rsidRPr="00327DAE">
        <w:rPr>
          <w:sz w:val="24"/>
          <w:szCs w:val="24"/>
        </w:rPr>
        <w:t xml:space="preserve">Maksātnespējas likums </w:t>
      </w:r>
      <w:proofErr w:type="gramStart"/>
      <w:r w:rsidRPr="00327DAE">
        <w:rPr>
          <w:sz w:val="24"/>
          <w:szCs w:val="24"/>
        </w:rPr>
        <w:t>(</w:t>
      </w:r>
      <w:proofErr w:type="gramEnd"/>
      <w:r w:rsidRPr="00327DAE">
        <w:rPr>
          <w:sz w:val="24"/>
          <w:szCs w:val="24"/>
        </w:rPr>
        <w:t>pieņemts 1.11.2007, grozījumi: 11.06.2009</w:t>
      </w:r>
    </w:p>
    <w:p w14:paraId="24D7140F" w14:textId="77777777" w:rsidR="006A2DE6" w:rsidRPr="00327DAE" w:rsidRDefault="006A2DE6" w:rsidP="0025317F">
      <w:pPr>
        <w:spacing w:after="120"/>
        <w:rPr>
          <w:sz w:val="24"/>
          <w:szCs w:val="24"/>
        </w:rPr>
      </w:pPr>
      <w:r w:rsidRPr="00327DAE">
        <w:rPr>
          <w:sz w:val="24"/>
          <w:szCs w:val="24"/>
        </w:rPr>
        <w:t xml:space="preserve">Civilprocesa likuma grozījumi: 1.11.2007; 22.05.2008; 05.02.2009.; 11.06.2009.; 30.09.2010.; </w:t>
      </w:r>
    </w:p>
    <w:p w14:paraId="6A295A70" w14:textId="77777777" w:rsidR="006A2DE6" w:rsidRPr="00327DAE" w:rsidRDefault="006A2DE6" w:rsidP="0025317F">
      <w:pPr>
        <w:spacing w:after="120"/>
        <w:rPr>
          <w:sz w:val="24"/>
          <w:szCs w:val="24"/>
        </w:rPr>
      </w:pPr>
    </w:p>
    <w:p w14:paraId="4F7F7678" w14:textId="77777777" w:rsidR="006A2DE6" w:rsidRPr="00327DAE" w:rsidRDefault="006A2DE6" w:rsidP="0025317F">
      <w:pPr>
        <w:spacing w:after="120"/>
        <w:rPr>
          <w:sz w:val="24"/>
          <w:szCs w:val="24"/>
        </w:rPr>
      </w:pPr>
      <w:r w:rsidRPr="00327DAE">
        <w:rPr>
          <w:sz w:val="24"/>
          <w:szCs w:val="24"/>
        </w:rPr>
        <w:t xml:space="preserve">01.11.2010.- </w:t>
      </w:r>
    </w:p>
    <w:p w14:paraId="67F0B621" w14:textId="77777777" w:rsidR="006A2DE6" w:rsidRPr="00327DAE" w:rsidRDefault="006A2DE6" w:rsidP="0025317F">
      <w:pPr>
        <w:spacing w:after="120"/>
        <w:rPr>
          <w:sz w:val="24"/>
          <w:szCs w:val="24"/>
        </w:rPr>
      </w:pPr>
      <w:r w:rsidRPr="00327DAE">
        <w:rPr>
          <w:sz w:val="24"/>
          <w:szCs w:val="24"/>
        </w:rPr>
        <w:t>Maksātnespējas likums (pieņemts: 26.07.2010., grozījumi: 14.10.2010.; 23.02.2012.; 09.07.2013.; 12.09.2013.; 25.09.2014.)</w:t>
      </w:r>
    </w:p>
    <w:p w14:paraId="1887F658" w14:textId="77777777" w:rsidR="006A2DE6" w:rsidRPr="00327DAE" w:rsidRDefault="006A2DE6" w:rsidP="0025317F">
      <w:pPr>
        <w:spacing w:after="120"/>
        <w:rPr>
          <w:sz w:val="24"/>
          <w:szCs w:val="24"/>
        </w:rPr>
      </w:pPr>
      <w:r w:rsidRPr="00327DAE">
        <w:rPr>
          <w:sz w:val="24"/>
          <w:szCs w:val="24"/>
        </w:rPr>
        <w:t>Civilprocesa likuma grozījumi: 20.12.2010.; 04.08.2011.; 21.06.2012.; 18.04.2013.; 11.09.2014.</w:t>
      </w:r>
    </w:p>
    <w:p w14:paraId="33024617" w14:textId="77777777" w:rsidR="006A2DE6" w:rsidRPr="00327DAE" w:rsidRDefault="006A2DE6" w:rsidP="0025317F">
      <w:pPr>
        <w:spacing w:after="120"/>
        <w:rPr>
          <w:sz w:val="24"/>
          <w:szCs w:val="24"/>
        </w:rPr>
      </w:pPr>
      <w:r w:rsidRPr="00327DAE">
        <w:rPr>
          <w:sz w:val="24"/>
          <w:szCs w:val="24"/>
        </w:rPr>
        <w:t>Satversmes tiesas 20.04.2012. spriedums lietā 2011-16-01</w:t>
      </w:r>
    </w:p>
    <w:p w14:paraId="7947BC11" w14:textId="77777777" w:rsidR="006A2DE6" w:rsidRPr="00327DAE" w:rsidRDefault="006A2DE6" w:rsidP="0025317F">
      <w:pPr>
        <w:spacing w:after="120"/>
        <w:rPr>
          <w:sz w:val="24"/>
          <w:szCs w:val="24"/>
        </w:rPr>
      </w:pPr>
    </w:p>
    <w:p w14:paraId="5006BE9A" w14:textId="77777777" w:rsidR="006A2DE6" w:rsidRPr="00327DAE" w:rsidRDefault="006A2DE6" w:rsidP="0025317F">
      <w:pPr>
        <w:spacing w:after="120"/>
        <w:rPr>
          <w:sz w:val="24"/>
          <w:szCs w:val="24"/>
        </w:rPr>
      </w:pPr>
      <w:r w:rsidRPr="00327DAE">
        <w:rPr>
          <w:sz w:val="24"/>
          <w:szCs w:val="24"/>
        </w:rPr>
        <w:t>Tiesnešu darbu maksātnespējas lietu izskatīšanā laikā no 2007. gada līdz 2014. gadam sarežģīja biežie normatīvo aktu grozījumi. Šajā laikā posmā bija spēkā trīs dažādi likumi, kas regulēja maksātnespējas procesa materiālo tiesību jautājumus, kā arī seši šo likumu grozījumi. Tāpat arī desmit reizes grozītas Civilprocesa likuma normas, kas regulē tiesvedību maksātnespējas lietās, kā arī pieņemts viens Satversmes tiesas spriedums par atsevišķu maksātnespējas tiesību normu atzīšanu par spēkā neesošām. Turklāt tiesas procesu regulējošās normas ir ietvertas ne tikai Civilprocesa likumā, bet arī Maksātnespējas likuma normās, tāpēc tas apgrūtina to piemērošanu.</w:t>
      </w:r>
    </w:p>
    <w:p w14:paraId="2DCAFF79" w14:textId="77777777" w:rsidR="006A2DE6" w:rsidRPr="00327DAE" w:rsidRDefault="006A2DE6" w:rsidP="0025317F">
      <w:pPr>
        <w:spacing w:after="120"/>
        <w:rPr>
          <w:sz w:val="24"/>
          <w:szCs w:val="24"/>
        </w:rPr>
      </w:pPr>
      <w:r w:rsidRPr="00327DAE">
        <w:rPr>
          <w:sz w:val="24"/>
          <w:szCs w:val="24"/>
        </w:rPr>
        <w:t xml:space="preserve">Līdz 2007. gada beigām uzņēmumu maksātnespējas procesu regulēja 1996. gadā pieņemtais likums „Par uzņēmumu un uzņēmējsabiedrību maksātnespēju”. Šī likuma mērķis bija kreditoru interešu maksimāla aizsardzība. Lai tiktu īstenotas kreditoru kopuma intereses, lielākajā daļā maksātnespējas procesu kā maksātnespējas stāvokļa risinājums bija jāpieņem lēmums par bankrota procedūras uzsākšanu. Tādējādi finansiālās grūtībās nonākušajam komersantam nebija iespēju veikt pasākumus, lai atjaunotu savu maksātspēju. </w:t>
      </w:r>
    </w:p>
    <w:p w14:paraId="5FB7A384" w14:textId="16D06407" w:rsidR="006A2DE6" w:rsidRPr="00327DAE" w:rsidRDefault="006A2DE6" w:rsidP="0025317F">
      <w:pPr>
        <w:spacing w:after="120"/>
        <w:rPr>
          <w:sz w:val="24"/>
          <w:szCs w:val="24"/>
        </w:rPr>
      </w:pPr>
      <w:r w:rsidRPr="00327DAE">
        <w:rPr>
          <w:sz w:val="24"/>
          <w:szCs w:val="24"/>
        </w:rPr>
        <w:t>Regulējums, kas ņem vērā tikai kreditoru interešu aizsardzību, neveicina maksātnespējīgu uzņēmumu maksātspējas atjaunošanu, bet pieļauj nepamatotu maksātnespējas pieteikumu iesniegšanu. Šādā situācijā maksātnespēja nereti tika izmantota kā primārais līdzeklis parāda piedziņai, neizmantojot citus normatīvajos aktos paredzētos parāda piedziņas līdzekļus. Likumā „Par uzņēmumu un uzņēmējsabiedrību maksātnespēju” nebija paredzēt</w:t>
      </w:r>
      <w:r w:rsidR="006A0BBA">
        <w:rPr>
          <w:sz w:val="24"/>
          <w:szCs w:val="24"/>
        </w:rPr>
        <w:t>a</w:t>
      </w:r>
      <w:r w:rsidRPr="00327DAE">
        <w:rPr>
          <w:sz w:val="24"/>
          <w:szCs w:val="24"/>
        </w:rPr>
        <w:t xml:space="preserve"> tādu tiesību subjektu maksātnespēja kā, piemēram, biedrības un nodibinājumi, individuālie komersanti, fiziskās personas, kapitāla un finanšu tirgus dalībnieki, kuru maksātnespēju nereglamentē attiecīgās nozares speciālie normatīvie akti.  Turklāt atsevišķi jautājumi Civilprocesa likumā tika regulēti atšķirīgi no likuma „Par uzņēmumu un uzņēmējsabiedrību maksātnespēju”, kas radīja dažu ar maksātnespējas procesu saistītu </w:t>
      </w:r>
      <w:r w:rsidRPr="00327DAE">
        <w:rPr>
          <w:sz w:val="24"/>
          <w:szCs w:val="24"/>
        </w:rPr>
        <w:lastRenderedPageBreak/>
        <w:t>jautājumu atšķirīgu interpretāciju tiesās.</w:t>
      </w:r>
    </w:p>
    <w:p w14:paraId="2308E1A3" w14:textId="77777777" w:rsidR="006A2DE6" w:rsidRPr="00327DAE" w:rsidRDefault="006A2DE6" w:rsidP="0025317F">
      <w:pPr>
        <w:spacing w:after="120"/>
        <w:rPr>
          <w:sz w:val="24"/>
          <w:szCs w:val="24"/>
        </w:rPr>
      </w:pPr>
      <w:r w:rsidRPr="00327DAE">
        <w:rPr>
          <w:sz w:val="24"/>
          <w:szCs w:val="24"/>
        </w:rPr>
        <w:t xml:space="preserve">2008. gada 1. janvārī stājās spēkā 2007. gada 1. novembrī pieņemtais Maksātnespējas likums, ar kuru tika ieviesti tādi jauni tiesību institūti kā komercsabiedrības tiesiskās aizsardzības process un fiziskās personas maksātnespējas process. Kā mērķis tika noteikta parādnieka maksātspējas atjaunošanas sekmēšana un kreditoru interešu aizsardzība parādnieka ierobežotas maksātspējas vai maksātnespējas gadījumā. </w:t>
      </w:r>
    </w:p>
    <w:p w14:paraId="26C4E629" w14:textId="77777777" w:rsidR="006A2DE6" w:rsidRPr="00327DAE" w:rsidRDefault="006A2DE6" w:rsidP="0025317F">
      <w:pPr>
        <w:spacing w:after="120"/>
        <w:rPr>
          <w:sz w:val="24"/>
          <w:szCs w:val="24"/>
        </w:rPr>
      </w:pPr>
      <w:r w:rsidRPr="00327DAE">
        <w:rPr>
          <w:sz w:val="24"/>
          <w:szCs w:val="24"/>
        </w:rPr>
        <w:t xml:space="preserve">Vienlaikus ar Maksātnespējas likumu spēkā stājās grozījumi Civilprocesa likumā. Tomēr jau 2008. gada 26. janvārī stājās spēkā jauni Civilprocesa likuma grozījumi, kas, piemēram, precizē tiesneša veicamās darbības, saņemot maksātnespējas pieteikumu un ierosinot maksātnespējas lietu, ieceļot maksātnespējas administratoru, izskatot kreditoru sūdzības un sūdzības par administratora lēmumiem, kā arī nosaka materiālo maksātnespējas tiesību normu </w:t>
      </w:r>
      <w:proofErr w:type="spellStart"/>
      <w:r w:rsidRPr="00327DAE">
        <w:rPr>
          <w:sz w:val="24"/>
          <w:szCs w:val="24"/>
        </w:rPr>
        <w:t>intertemporālo</w:t>
      </w:r>
      <w:proofErr w:type="spellEnd"/>
      <w:r w:rsidRPr="00327DAE">
        <w:rPr>
          <w:sz w:val="24"/>
          <w:szCs w:val="24"/>
        </w:rPr>
        <w:t xml:space="preserve"> piemērojamību.</w:t>
      </w:r>
    </w:p>
    <w:p w14:paraId="6ABE725B" w14:textId="539A22DB" w:rsidR="006A2DE6" w:rsidRPr="00327DAE" w:rsidRDefault="006A2DE6" w:rsidP="0025317F">
      <w:pPr>
        <w:spacing w:after="120"/>
        <w:rPr>
          <w:sz w:val="24"/>
          <w:szCs w:val="24"/>
        </w:rPr>
      </w:pPr>
      <w:r w:rsidRPr="00327DAE">
        <w:rPr>
          <w:sz w:val="24"/>
          <w:szCs w:val="24"/>
        </w:rPr>
        <w:t xml:space="preserve">2007. gadā pieņemtajam Maksātnespējas likumam tika izstrādāti grozījumi, kas stājās spēkā 2009. gada 1. jūlijā, vienlaikus stājās spēkā arī atbilstošie grozījumi Civilprocesa likumā. Šie likuma grozījumi tika pieņemti, jo, izvērtējot </w:t>
      </w:r>
      <w:r w:rsidR="006A0BBA" w:rsidRPr="00327DAE">
        <w:rPr>
          <w:sz w:val="24"/>
          <w:szCs w:val="24"/>
        </w:rPr>
        <w:t>izveidojuš</w:t>
      </w:r>
      <w:r w:rsidR="006A0BBA">
        <w:rPr>
          <w:sz w:val="24"/>
          <w:szCs w:val="24"/>
        </w:rPr>
        <w:t>o</w:t>
      </w:r>
      <w:r w:rsidR="006A0BBA" w:rsidRPr="00327DAE">
        <w:rPr>
          <w:sz w:val="24"/>
          <w:szCs w:val="24"/>
        </w:rPr>
        <w:t xml:space="preserve">s </w:t>
      </w:r>
      <w:r w:rsidRPr="00327DAE">
        <w:rPr>
          <w:sz w:val="24"/>
          <w:szCs w:val="24"/>
        </w:rPr>
        <w:t>praksi tiesiskās aizsardzības procesa lietās, tika secināts, ka esošais regulējums neveicina efektīvu šī tiesību institūta piemērošanu. Lai to risinātu, likums, piemēram, paredzēja, ka turpmāk pirms tiesiskās aizsardzības procesa īstenošanas būs jāsaņem puses nenodrošināto kreditoru piekrišana iepriekš noteikto divu trešdaļu vietā. Lai veicinātu fizisko personu maksātnespējas procesu īstenošanu, likums paredzēja samazināt administratora ikmēneša atlīdzību bankrota procedūras piemērošanas gadījumā.</w:t>
      </w:r>
    </w:p>
    <w:p w14:paraId="2736077E" w14:textId="77777777" w:rsidR="006A2DE6" w:rsidRPr="00327DAE" w:rsidRDefault="006A2DE6" w:rsidP="0025317F">
      <w:pPr>
        <w:spacing w:after="120"/>
        <w:rPr>
          <w:sz w:val="24"/>
          <w:szCs w:val="24"/>
        </w:rPr>
      </w:pPr>
      <w:r w:rsidRPr="00327DAE">
        <w:rPr>
          <w:sz w:val="24"/>
          <w:szCs w:val="24"/>
        </w:rPr>
        <w:t xml:space="preserve">2010. gadā tika izstrādāts jauns Maksātnespējas likums, kas stājās spēkā 2010. gada 1. novembrī, vienlaikus stājās spēkā arī atbilstošie grozījumi Civilprocesa likumā. Lai paaugstinātu tiesiskās aizsardzības procesa un maksātnespējas procesa efektivitāti, likums paredzēja samazināt maksātnespējas procedūru skaitu, likvidējot izlīguma un sanācijas procedūru. Likums noteica, ka juridiskajām personām maksātnespējas situācijās turpmāk būs iespēja izmantot divus pamatprocesus: tiesiskās aizsardzības procesu un juridiskās personas maksātnespējas procesu, savukārt fiziskajām personām – bankrota procesu un saistību dzēšanas procesu. Tāpat jaunais likums paredzēja, ka tiesai vairs nebūs jāapstiprina kreditoru sapulces pieņemtie lēmumi, paredzēja iespēju pāriet no juridiskās personas maksātnespējas procesa uz tiesiskās aizsardzības procesu, kā arī noteica jaunu fiziskās personas maksātnespējas procesa regulējumu. </w:t>
      </w:r>
    </w:p>
    <w:p w14:paraId="5ECA3EF8" w14:textId="77777777" w:rsidR="006A2DE6" w:rsidRPr="00327DAE" w:rsidRDefault="006A2DE6" w:rsidP="0025317F">
      <w:pPr>
        <w:spacing w:after="120"/>
        <w:rPr>
          <w:sz w:val="24"/>
          <w:szCs w:val="24"/>
        </w:rPr>
      </w:pPr>
      <w:r w:rsidRPr="00327DAE">
        <w:rPr>
          <w:sz w:val="24"/>
          <w:szCs w:val="24"/>
        </w:rPr>
        <w:t xml:space="preserve">Lai orientētos daudzajās likumā noteiktajās maksātnespējas procesa niansēs un noskaidrotu spēkā esošo maksātnespējas regulējumu, tiesnesim bija regulāri jāiepazīstas ar jaunākajiem likumu grozījumiem un jāizmanto aktuālās likumu tekstu konsolidētās versijas. </w:t>
      </w:r>
    </w:p>
    <w:p w14:paraId="0FDE93E7" w14:textId="6EC7FC9B" w:rsidR="006A2DE6" w:rsidRPr="00327DAE" w:rsidRDefault="006A2DE6" w:rsidP="0025317F">
      <w:pPr>
        <w:spacing w:after="120"/>
        <w:rPr>
          <w:sz w:val="24"/>
          <w:szCs w:val="24"/>
        </w:rPr>
      </w:pPr>
      <w:r w:rsidRPr="00327DAE">
        <w:rPr>
          <w:sz w:val="24"/>
          <w:szCs w:val="24"/>
        </w:rPr>
        <w:t xml:space="preserve">Kopš 2012. gada 1. jūlija, kad stājās spēkā Oficiālo publikāciju un tiesiskās informācijas likums, sistematizēti tiesību akti ir pieejami tīmekļa vietnē </w:t>
      </w:r>
      <w:proofErr w:type="spellStart"/>
      <w:r w:rsidRPr="00327DAE">
        <w:rPr>
          <w:sz w:val="24"/>
          <w:szCs w:val="24"/>
        </w:rPr>
        <w:t>www.likumi.lv</w:t>
      </w:r>
      <w:proofErr w:type="spellEnd"/>
      <w:r w:rsidRPr="00327DAE">
        <w:rPr>
          <w:sz w:val="24"/>
          <w:szCs w:val="24"/>
        </w:rPr>
        <w:t xml:space="preserve">, kas šobrīd ir vienīgais avots, kur iegūt normatīvo aktu konsolidētās versijas. Arī pirms </w:t>
      </w:r>
      <w:proofErr w:type="spellStart"/>
      <w:r w:rsidRPr="00327DAE">
        <w:rPr>
          <w:sz w:val="24"/>
          <w:szCs w:val="24"/>
        </w:rPr>
        <w:t>www.likumi.lv</w:t>
      </w:r>
      <w:proofErr w:type="spellEnd"/>
      <w:r w:rsidRPr="00327DAE">
        <w:rPr>
          <w:sz w:val="24"/>
          <w:szCs w:val="24"/>
        </w:rPr>
        <w:t xml:space="preserve"> juridiskā statusa nostiprināšanas – kopš 2008. gada 1. jūlija – šajā tīmekļa </w:t>
      </w:r>
      <w:r w:rsidR="00AD6C68">
        <w:rPr>
          <w:sz w:val="24"/>
          <w:szCs w:val="24"/>
        </w:rPr>
        <w:t xml:space="preserve">vietnē </w:t>
      </w:r>
      <w:r w:rsidRPr="00327DAE">
        <w:rPr>
          <w:sz w:val="24"/>
          <w:szCs w:val="24"/>
        </w:rPr>
        <w:t>bija pieejamas visu likumu un Ministru kabineta noteikumu konsolidētās versijas.</w:t>
      </w:r>
    </w:p>
    <w:p w14:paraId="68DCB64B" w14:textId="77777777" w:rsidR="006A2DE6" w:rsidRPr="00327DAE" w:rsidRDefault="006A2DE6" w:rsidP="0025317F">
      <w:pPr>
        <w:spacing w:after="120"/>
        <w:rPr>
          <w:sz w:val="24"/>
          <w:szCs w:val="24"/>
        </w:rPr>
      </w:pPr>
      <w:r w:rsidRPr="00327DAE">
        <w:rPr>
          <w:sz w:val="24"/>
          <w:szCs w:val="24"/>
        </w:rPr>
        <w:t xml:space="preserve">Taču tiesas līdz pat 2012. gadam un reizēm arī vēl pēc tam kā normatīvo aktu informācijas avotu izmantoja ne vien tīmekļa vietni </w:t>
      </w:r>
      <w:proofErr w:type="spellStart"/>
      <w:r w:rsidRPr="00327DAE">
        <w:rPr>
          <w:sz w:val="24"/>
          <w:szCs w:val="24"/>
        </w:rPr>
        <w:t>www.likumi.lv</w:t>
      </w:r>
      <w:proofErr w:type="spellEnd"/>
      <w:r w:rsidRPr="00327DAE">
        <w:rPr>
          <w:sz w:val="24"/>
          <w:szCs w:val="24"/>
        </w:rPr>
        <w:t xml:space="preserve">, bet arī tiesību aktu datubāzi “Normatīvo aktu informācijas sistēma” (NAIS), tās darbība tika pārtraukta tikai 2016. gada 1. jūlijā. Līdzīgi kā šobrīd </w:t>
      </w:r>
      <w:proofErr w:type="spellStart"/>
      <w:r w:rsidRPr="00327DAE">
        <w:rPr>
          <w:sz w:val="24"/>
          <w:szCs w:val="24"/>
        </w:rPr>
        <w:t>www.likumi.lv</w:t>
      </w:r>
      <w:proofErr w:type="spellEnd"/>
      <w:r w:rsidRPr="00327DAE">
        <w:rPr>
          <w:sz w:val="24"/>
          <w:szCs w:val="24"/>
        </w:rPr>
        <w:t xml:space="preserve">, NAIS nodrošināja aktuālo informāciju par spēkā esošajiem normatīvajiem aktiem, un datubāzes lietotājiem bija </w:t>
      </w:r>
      <w:r w:rsidRPr="00327DAE">
        <w:rPr>
          <w:sz w:val="24"/>
          <w:szCs w:val="24"/>
        </w:rPr>
        <w:lastRenderedPageBreak/>
        <w:t>pieejamas aktuālās normatīvo aktu konsolidētās versijas. Tomēr, ņemot vērā biežos likumu grozījumus, varēja rasties situācijas, kad tiesneši nebija iepazinušies ar jaunākajām maksātnespējas tiesību normām. Tā varētu būt, piemēram, gadījumā, ja tiesnesis izmantoja tipogrāfijā iespiesto Civilprocesa likuma grāmatu, kurā nav iekļauti likuma grozījumi (laikā no 2008. gada līdz 2014. gadam šim likumam bijuši 33 grozījumi), vai arī izdrukātu Maksātnespējas likuma eksemplāru, kurā nav jaunāko grozījumu. Jāņem arī vērā, ka datorprasmes un elektronisko resursu izmantošanas ieradumi tiesnešu vidū līdzīgi kā sabiedrībā kopumā pirms desmit gadiem bija mazāk attīstīti.</w:t>
      </w:r>
    </w:p>
    <w:p w14:paraId="764A4FFB" w14:textId="5B37FBE1" w:rsidR="006A2DE6" w:rsidRPr="00327DAE" w:rsidRDefault="006A2DE6" w:rsidP="0025317F">
      <w:pPr>
        <w:spacing w:after="120"/>
        <w:rPr>
          <w:sz w:val="24"/>
          <w:szCs w:val="24"/>
        </w:rPr>
      </w:pPr>
      <w:r w:rsidRPr="00327DAE">
        <w:rPr>
          <w:sz w:val="24"/>
          <w:szCs w:val="24"/>
        </w:rPr>
        <w:t xml:space="preserve">Līdz ar likuma grozījumiem vairs nebija izmantojama arī tiesu prakse jautājumos, kur likuma nostāja bija mainījusies. Savukārt par jaunāko normu piemērošanu prakse vēl nebija izveidojusies, tāpēc atsevišķu normu piemērošanā nolēmumi varēja atšķirties, ja tiesību normas tika iztulkotas atšķirīgi. </w:t>
      </w:r>
    </w:p>
    <w:p w14:paraId="1BEB503D" w14:textId="77777777" w:rsidR="006A2DE6" w:rsidRPr="00327DAE" w:rsidRDefault="006A2DE6" w:rsidP="0025317F">
      <w:pPr>
        <w:spacing w:after="120"/>
        <w:rPr>
          <w:sz w:val="24"/>
          <w:szCs w:val="24"/>
        </w:rPr>
      </w:pPr>
    </w:p>
    <w:p w14:paraId="2D71F7F9" w14:textId="77777777" w:rsidR="006A2DE6" w:rsidRPr="00327DAE" w:rsidRDefault="006A2DE6" w:rsidP="0025317F">
      <w:pPr>
        <w:spacing w:after="120"/>
        <w:rPr>
          <w:sz w:val="24"/>
          <w:szCs w:val="24"/>
        </w:rPr>
      </w:pPr>
      <w:r w:rsidRPr="00327DAE">
        <w:rPr>
          <w:sz w:val="24"/>
          <w:szCs w:val="24"/>
        </w:rPr>
        <w:t xml:space="preserve">Risinājums: apjomīgu vai būtisku procesuālo regulējumu gadījumā operatīvi un konspektīvi vērst attiecīgās instances vai specializācijas tiesnešu uzmanību uz izmaiņām. </w:t>
      </w:r>
    </w:p>
    <w:p w14:paraId="0842CDB3" w14:textId="77777777" w:rsidR="006A2DE6" w:rsidRPr="00327DAE" w:rsidRDefault="006A2DE6" w:rsidP="0025317F">
      <w:pPr>
        <w:spacing w:after="120"/>
        <w:rPr>
          <w:sz w:val="24"/>
          <w:szCs w:val="24"/>
        </w:rPr>
      </w:pPr>
    </w:p>
    <w:p w14:paraId="4F8E4C7C" w14:textId="61CA05A2" w:rsidR="00B40DAA" w:rsidRPr="00327DAE" w:rsidRDefault="00B40DAA" w:rsidP="0025317F">
      <w:pPr>
        <w:pStyle w:val="Heading2"/>
        <w:rPr>
          <w:rFonts w:cs="Times New Roman"/>
          <w:szCs w:val="24"/>
        </w:rPr>
      </w:pPr>
      <w:bookmarkStart w:id="70" w:name="_Toc522527540"/>
      <w:r w:rsidRPr="00327DAE">
        <w:rPr>
          <w:rFonts w:cs="Times New Roman"/>
          <w:szCs w:val="24"/>
        </w:rPr>
        <w:t>Konstatēto kļūdu apkopojums</w:t>
      </w:r>
      <w:bookmarkEnd w:id="70"/>
      <w:r w:rsidRPr="00327DAE">
        <w:rPr>
          <w:rFonts w:cs="Times New Roman"/>
          <w:szCs w:val="24"/>
        </w:rPr>
        <w:t xml:space="preserve"> </w:t>
      </w:r>
    </w:p>
    <w:p w14:paraId="21190A10" w14:textId="77777777" w:rsidR="00B40DAA" w:rsidRPr="00327DAE" w:rsidRDefault="00B40DAA" w:rsidP="0025317F">
      <w:pPr>
        <w:spacing w:after="120"/>
        <w:rPr>
          <w:sz w:val="24"/>
          <w:szCs w:val="24"/>
        </w:rPr>
      </w:pPr>
    </w:p>
    <w:p w14:paraId="58A3D98F" w14:textId="20F88FD9" w:rsidR="00B40DAA" w:rsidRPr="00327DAE" w:rsidRDefault="00B40DAA" w:rsidP="0025317F">
      <w:pPr>
        <w:spacing w:after="120"/>
        <w:rPr>
          <w:sz w:val="24"/>
          <w:szCs w:val="24"/>
        </w:rPr>
      </w:pPr>
      <w:r w:rsidRPr="00327DAE">
        <w:rPr>
          <w:sz w:val="24"/>
          <w:szCs w:val="24"/>
        </w:rPr>
        <w:t>Analizējot Augstākajā tiesā izskatīt</w:t>
      </w:r>
      <w:r w:rsidR="00AD6C68">
        <w:rPr>
          <w:sz w:val="24"/>
          <w:szCs w:val="24"/>
        </w:rPr>
        <w:t>ā</w:t>
      </w:r>
      <w:r w:rsidRPr="00327DAE">
        <w:rPr>
          <w:sz w:val="24"/>
          <w:szCs w:val="24"/>
        </w:rPr>
        <w:t>s maksātnespējas lietas un tiesiskās aizsardzības procesu lietas, kurās apmierināti protesti laikā no 2008.</w:t>
      </w:r>
      <w:r w:rsidR="00AD6C68">
        <w:rPr>
          <w:sz w:val="24"/>
          <w:szCs w:val="24"/>
        </w:rPr>
        <w:t> </w:t>
      </w:r>
      <w:r w:rsidRPr="00327DAE">
        <w:rPr>
          <w:sz w:val="24"/>
          <w:szCs w:val="24"/>
        </w:rPr>
        <w:t>gada līdz 2014.</w:t>
      </w:r>
      <w:r w:rsidR="00AD6C68">
        <w:rPr>
          <w:sz w:val="24"/>
          <w:szCs w:val="24"/>
        </w:rPr>
        <w:t> </w:t>
      </w:r>
      <w:r w:rsidRPr="00327DAE">
        <w:rPr>
          <w:sz w:val="24"/>
          <w:szCs w:val="24"/>
        </w:rPr>
        <w:t>gadam, izdarīti šādi secinājumi</w:t>
      </w:r>
      <w:r w:rsidR="00AD6C68">
        <w:rPr>
          <w:sz w:val="24"/>
          <w:szCs w:val="24"/>
        </w:rPr>
        <w:t>.</w:t>
      </w:r>
      <w:r w:rsidRPr="00327DAE">
        <w:rPr>
          <w:sz w:val="24"/>
          <w:szCs w:val="24"/>
        </w:rPr>
        <w:t xml:space="preserve"> </w:t>
      </w:r>
    </w:p>
    <w:p w14:paraId="04FD57CF" w14:textId="32FA8FFE" w:rsidR="00B40DAA" w:rsidRPr="00302854" w:rsidRDefault="00B40DAA" w:rsidP="0025317F">
      <w:pPr>
        <w:spacing w:after="120"/>
        <w:rPr>
          <w:sz w:val="24"/>
          <w:szCs w:val="24"/>
        </w:rPr>
      </w:pPr>
      <w:r w:rsidRPr="00327DAE">
        <w:rPr>
          <w:sz w:val="24"/>
          <w:szCs w:val="24"/>
        </w:rPr>
        <w:t xml:space="preserve">Fizisko personu maksātnespējas lietās konstatējams, ka ierosināts process, nepārbaudot likumā noteiktos ierobežojumus (nekustamo īpašumu piederību, atsavināšanas sasaisti ar nespēju norēķināties ar kreditoriem); pārsniegta tiesas kompetence, proti, prasīts iesniegt pierādījumus, kurus nav </w:t>
      </w:r>
      <w:r w:rsidRPr="00302854">
        <w:rPr>
          <w:sz w:val="24"/>
          <w:szCs w:val="24"/>
        </w:rPr>
        <w:t>jāpārbauda (faktiskā spēja izpildīt plānu); nav ievērotas (nodrošināto) kreditoru intereses.</w:t>
      </w:r>
    </w:p>
    <w:p w14:paraId="526EDD2F" w14:textId="77777777" w:rsidR="00B40DAA" w:rsidRPr="00327DAE" w:rsidRDefault="00B40DAA" w:rsidP="0025317F">
      <w:pPr>
        <w:spacing w:after="120"/>
        <w:rPr>
          <w:sz w:val="24"/>
          <w:szCs w:val="24"/>
        </w:rPr>
      </w:pPr>
      <w:r w:rsidRPr="00302854">
        <w:rPr>
          <w:sz w:val="24"/>
          <w:szCs w:val="24"/>
        </w:rPr>
        <w:t>Juridisko personu maksātnespējas lietās konstatējams, ka</w:t>
      </w:r>
      <w:r w:rsidRPr="00327DAE">
        <w:rPr>
          <w:sz w:val="24"/>
          <w:szCs w:val="24"/>
        </w:rPr>
        <w:t xml:space="preserve"> atteikts ierosināt maksātnespējas procesu, kad visas likuma prasības izpildītas; nav saprotama nolēmuma argumentācija; pieļautas procesuālas kļūdas (normu pārkāpumi); kā arī bijusi nepienācīga pierādījumu vērtēšana.</w:t>
      </w:r>
    </w:p>
    <w:p w14:paraId="5E2DB0DF" w14:textId="77777777" w:rsidR="00B40DAA" w:rsidRPr="00302854" w:rsidRDefault="00B40DAA" w:rsidP="0025317F">
      <w:pPr>
        <w:spacing w:after="120"/>
        <w:rPr>
          <w:sz w:val="24"/>
          <w:szCs w:val="24"/>
        </w:rPr>
      </w:pPr>
      <w:r w:rsidRPr="00327DAE">
        <w:rPr>
          <w:sz w:val="24"/>
          <w:szCs w:val="24"/>
        </w:rPr>
        <w:t xml:space="preserve">Tiesiskās aizsardzības procesa ārpustiesas tiesiskā aizsardzības procesa piemērošanā konstatēts, ka tiesas nav pārliecinājušās par nodrošināto kreditoru interešu aizsardzību vai par kreditoru interešu proporcionālu aizsardzību; nepareizi piemērots ĀTAP nodokļu </w:t>
      </w:r>
      <w:r w:rsidRPr="00302854">
        <w:rPr>
          <w:sz w:val="24"/>
          <w:szCs w:val="24"/>
        </w:rPr>
        <w:t>parādiem, TAP plāni nepārskatāmi un neprecīzi, nepārbaudīti dokumenti.</w:t>
      </w:r>
    </w:p>
    <w:p w14:paraId="585EBB4A" w14:textId="4931E91C" w:rsidR="00B40DAA" w:rsidRPr="00327DAE" w:rsidRDefault="00B40DAA" w:rsidP="0025317F">
      <w:pPr>
        <w:spacing w:after="120"/>
        <w:rPr>
          <w:sz w:val="24"/>
          <w:szCs w:val="24"/>
        </w:rPr>
      </w:pPr>
      <w:r w:rsidRPr="00302854">
        <w:rPr>
          <w:sz w:val="24"/>
          <w:szCs w:val="24"/>
        </w:rPr>
        <w:t>Tiesiskās aizsardzības procesā konstatēts, ka tiesas nav pārbaudījušas TAP plānu saskaņošanu, pamatoju</w:t>
      </w:r>
      <w:r w:rsidR="00302854" w:rsidRPr="00302854">
        <w:rPr>
          <w:sz w:val="24"/>
          <w:szCs w:val="24"/>
        </w:rPr>
        <w:t>šas</w:t>
      </w:r>
      <w:r w:rsidRPr="00302854">
        <w:rPr>
          <w:sz w:val="24"/>
          <w:szCs w:val="24"/>
        </w:rPr>
        <w:t xml:space="preserve"> izpildes iespējamību, nav ievērotas nodrošināto kreditoru intereses un pārkāpts kreditoru vienlīdzības princips; arī plāns nav apstiprināts, kaut izpildītas visas likuma prasības.</w:t>
      </w:r>
      <w:r w:rsidRPr="00327DAE">
        <w:rPr>
          <w:sz w:val="24"/>
          <w:szCs w:val="24"/>
        </w:rPr>
        <w:t xml:space="preserve"> Konstatēti arī nolēmumi, kuri taisīti 2013.</w:t>
      </w:r>
      <w:r w:rsidR="00AD6C68">
        <w:rPr>
          <w:sz w:val="24"/>
          <w:szCs w:val="24"/>
        </w:rPr>
        <w:t>–</w:t>
      </w:r>
      <w:r w:rsidRPr="00327DAE">
        <w:rPr>
          <w:sz w:val="24"/>
          <w:szCs w:val="24"/>
        </w:rPr>
        <w:t>2014.</w:t>
      </w:r>
      <w:r w:rsidR="00AD6C68">
        <w:rPr>
          <w:sz w:val="24"/>
          <w:szCs w:val="24"/>
        </w:rPr>
        <w:t> </w:t>
      </w:r>
      <w:r w:rsidRPr="00327DAE">
        <w:rPr>
          <w:sz w:val="24"/>
          <w:szCs w:val="24"/>
        </w:rPr>
        <w:t>gad</w:t>
      </w:r>
      <w:r w:rsidR="00AD6C68">
        <w:rPr>
          <w:sz w:val="24"/>
          <w:szCs w:val="24"/>
        </w:rPr>
        <w:t>ā</w:t>
      </w:r>
      <w:r w:rsidRPr="00327DAE">
        <w:rPr>
          <w:sz w:val="24"/>
          <w:szCs w:val="24"/>
        </w:rPr>
        <w:t>s, kad jau bija jābūt uzkrātai izpratnei par konkrēto normu piemērošanu.</w:t>
      </w:r>
    </w:p>
    <w:p w14:paraId="680D9B61" w14:textId="77777777" w:rsidR="00B40DAA" w:rsidRPr="00327DAE" w:rsidRDefault="00B40DAA" w:rsidP="0025317F">
      <w:pPr>
        <w:spacing w:after="120"/>
        <w:rPr>
          <w:sz w:val="24"/>
          <w:szCs w:val="24"/>
        </w:rPr>
      </w:pPr>
    </w:p>
    <w:p w14:paraId="6879FECC" w14:textId="77777777" w:rsidR="00B40DAA" w:rsidRPr="00327DAE" w:rsidRDefault="00B40DAA" w:rsidP="0025317F">
      <w:pPr>
        <w:pStyle w:val="Heading2"/>
        <w:rPr>
          <w:rFonts w:eastAsiaTheme="minorHAnsi" w:cs="Times New Roman"/>
          <w:szCs w:val="24"/>
        </w:rPr>
      </w:pPr>
      <w:bookmarkStart w:id="71" w:name="_Toc522527541"/>
      <w:r w:rsidRPr="00327DAE">
        <w:rPr>
          <w:rFonts w:eastAsiaTheme="minorHAnsi" w:cs="Times New Roman"/>
          <w:szCs w:val="24"/>
        </w:rPr>
        <w:t>Augstākās tiesas atziņu loma lietu izskatīšanā</w:t>
      </w:r>
      <w:bookmarkEnd w:id="71"/>
      <w:r w:rsidRPr="00327DAE">
        <w:rPr>
          <w:rFonts w:eastAsiaTheme="minorHAnsi" w:cs="Times New Roman"/>
          <w:szCs w:val="24"/>
        </w:rPr>
        <w:t xml:space="preserve"> </w:t>
      </w:r>
    </w:p>
    <w:p w14:paraId="34AD4952" w14:textId="77777777" w:rsidR="006A2DE6" w:rsidRPr="00327DAE" w:rsidRDefault="006A2DE6" w:rsidP="0025317F">
      <w:pPr>
        <w:spacing w:after="120"/>
        <w:rPr>
          <w:sz w:val="24"/>
          <w:szCs w:val="24"/>
        </w:rPr>
      </w:pPr>
    </w:p>
    <w:p w14:paraId="2B30D803" w14:textId="77777777" w:rsidR="00B40DAA" w:rsidRPr="00327DAE" w:rsidRDefault="00B40DAA" w:rsidP="0025317F">
      <w:pPr>
        <w:spacing w:after="120"/>
        <w:rPr>
          <w:sz w:val="24"/>
          <w:szCs w:val="24"/>
        </w:rPr>
      </w:pPr>
      <w:r w:rsidRPr="00327DAE">
        <w:rPr>
          <w:sz w:val="24"/>
          <w:szCs w:val="24"/>
        </w:rPr>
        <w:lastRenderedPageBreak/>
        <w:t>Augstākās tiesas mājaslapā publicēts ievērojams skaits no protesta izskatīšanas kārtībā pieņemtajiem nolēmumiem: 17 nolēmumi.</w:t>
      </w:r>
    </w:p>
    <w:p w14:paraId="0BDBC741" w14:textId="77777777" w:rsidR="00B40DAA" w:rsidRPr="00327DAE" w:rsidRDefault="00B40DAA" w:rsidP="0025317F">
      <w:pPr>
        <w:spacing w:after="120"/>
        <w:rPr>
          <w:sz w:val="24"/>
          <w:szCs w:val="24"/>
        </w:rPr>
      </w:pPr>
    </w:p>
    <w:p w14:paraId="0977CC21" w14:textId="77777777" w:rsidR="00B40DAA" w:rsidRPr="00327DAE" w:rsidRDefault="00B40DAA" w:rsidP="0025317F">
      <w:pPr>
        <w:spacing w:after="120"/>
        <w:rPr>
          <w:sz w:val="24"/>
          <w:szCs w:val="24"/>
        </w:rPr>
      </w:pPr>
      <w:r w:rsidRPr="00327DAE">
        <w:rPr>
          <w:sz w:val="24"/>
          <w:szCs w:val="24"/>
        </w:rPr>
        <w:t xml:space="preserve">Trīs nolēmumi (SPC-1/2012, SPC-33/2013 un SPC-27/2014) izskatīti paplašinātā sastāvā, kas var tikt uzskatīts kā īpašas nozīmes piešķiršana konkrētajiem tiesību jautājumiem. </w:t>
      </w:r>
    </w:p>
    <w:p w14:paraId="53DEB45A" w14:textId="1F611B98" w:rsidR="00B40DAA" w:rsidRPr="00327DAE" w:rsidRDefault="00B40DAA" w:rsidP="0025317F">
      <w:pPr>
        <w:spacing w:after="120"/>
        <w:rPr>
          <w:sz w:val="24"/>
          <w:szCs w:val="24"/>
        </w:rPr>
      </w:pPr>
      <w:r w:rsidRPr="00327DAE">
        <w:rPr>
          <w:sz w:val="24"/>
          <w:szCs w:val="24"/>
        </w:rPr>
        <w:t>Šajos trijos nolēmumos notikusi atkāpšanās no agrākajām atziņām (ar SPC-1/2012 notikusi atkāpšanās no SPC-49/2011; ar SPC-33/2013 notikusi atkāpšanās no SPC-50/2012; ar SPC-27/2014 notikusi atkāpšanās no SPC-22/2013), tād</w:t>
      </w:r>
      <w:r w:rsidR="00AD6C68">
        <w:rPr>
          <w:sz w:val="24"/>
          <w:szCs w:val="24"/>
        </w:rPr>
        <w:t>ē</w:t>
      </w:r>
      <w:r w:rsidRPr="00327DAE">
        <w:rPr>
          <w:sz w:val="24"/>
          <w:szCs w:val="24"/>
        </w:rPr>
        <w:t xml:space="preserve">jādi nodrošinot arī dinamisku un attīstošu pieeju tajā laikā aktuālajam maksātnespējas jomas regulējumam. </w:t>
      </w:r>
    </w:p>
    <w:p w14:paraId="21B9BA89" w14:textId="77777777" w:rsidR="00B40DAA" w:rsidRPr="00327DAE" w:rsidRDefault="00B40DAA" w:rsidP="0025317F">
      <w:pPr>
        <w:spacing w:after="120"/>
        <w:rPr>
          <w:sz w:val="24"/>
          <w:szCs w:val="24"/>
        </w:rPr>
      </w:pPr>
      <w:r w:rsidRPr="00327DAE">
        <w:rPr>
          <w:sz w:val="24"/>
          <w:szCs w:val="24"/>
        </w:rPr>
        <w:t>SPC-1/2012 vienpadsmit tiesnešu sastāva nolēmumam pievienotas 5 tiesnešu atsevišķās domas, ka atkāpšanās no agrākajām atziņām notikusi bez pārliecinošiem argumentiem.</w:t>
      </w:r>
    </w:p>
    <w:p w14:paraId="6D35EB70" w14:textId="77777777" w:rsidR="00B40DAA" w:rsidRPr="00327DAE" w:rsidRDefault="00B40DAA" w:rsidP="0025317F">
      <w:pPr>
        <w:spacing w:after="120"/>
        <w:rPr>
          <w:sz w:val="24"/>
          <w:szCs w:val="24"/>
        </w:rPr>
      </w:pPr>
    </w:p>
    <w:p w14:paraId="48962771" w14:textId="77777777" w:rsidR="00B40DAA" w:rsidRPr="00327DAE" w:rsidRDefault="00B40DAA" w:rsidP="0025317F">
      <w:pPr>
        <w:spacing w:after="120"/>
        <w:rPr>
          <w:sz w:val="24"/>
          <w:szCs w:val="24"/>
        </w:rPr>
      </w:pPr>
      <w:r w:rsidRPr="00327DAE">
        <w:rPr>
          <w:sz w:val="24"/>
          <w:szCs w:val="24"/>
        </w:rPr>
        <w:t>Konstatējama arī pielāgošanās normatīvā regulējuma izmaiņām, piemēram, SPC</w:t>
      </w:r>
      <w:r w:rsidRPr="00327DAE">
        <w:rPr>
          <w:sz w:val="24"/>
          <w:szCs w:val="24"/>
        </w:rPr>
        <w:noBreakHyphen/>
        <w:t>27/2014, precizējot, ka tikai nodrošinātā kreditora prasījuma samazinājums, ja tas noticis pretēji šā kreditora gribai, nav uzskatāms par prasījuma dzēšanu.</w:t>
      </w:r>
    </w:p>
    <w:p w14:paraId="4373E85A" w14:textId="77777777" w:rsidR="00B40DAA" w:rsidRPr="00327DAE" w:rsidRDefault="00B40DAA" w:rsidP="0025317F">
      <w:pPr>
        <w:spacing w:after="120"/>
        <w:rPr>
          <w:sz w:val="24"/>
          <w:szCs w:val="24"/>
        </w:rPr>
      </w:pPr>
    </w:p>
    <w:p w14:paraId="50A5976A" w14:textId="77777777" w:rsidR="00B40DAA" w:rsidRPr="00327DAE" w:rsidRDefault="00B40DAA" w:rsidP="0025317F">
      <w:pPr>
        <w:spacing w:after="120"/>
        <w:rPr>
          <w:sz w:val="24"/>
          <w:szCs w:val="24"/>
        </w:rPr>
      </w:pPr>
      <w:r w:rsidRPr="00327DAE">
        <w:rPr>
          <w:sz w:val="24"/>
          <w:szCs w:val="24"/>
        </w:rPr>
        <w:t xml:space="preserve">Būtiska nozīmē jāpievērš, vai Augstākās tiesas atziņas tiek ņemtas vērā turpmāku nolēmumu taisīšanā. </w:t>
      </w:r>
    </w:p>
    <w:p w14:paraId="7BAEABB9" w14:textId="7A088788" w:rsidR="00B40DAA" w:rsidRPr="00327DAE" w:rsidRDefault="00B40DAA" w:rsidP="0025317F">
      <w:pPr>
        <w:spacing w:after="120"/>
        <w:rPr>
          <w:sz w:val="24"/>
          <w:szCs w:val="24"/>
        </w:rPr>
      </w:pPr>
      <w:r w:rsidRPr="00327DAE">
        <w:rPr>
          <w:sz w:val="24"/>
          <w:szCs w:val="24"/>
        </w:rPr>
        <w:t>Lai arī nolēmumā lietā SPC</w:t>
      </w:r>
      <w:r w:rsidR="002150CE">
        <w:rPr>
          <w:sz w:val="24"/>
          <w:szCs w:val="24"/>
        </w:rPr>
        <w:t>-</w:t>
      </w:r>
      <w:r w:rsidRPr="00327DAE">
        <w:rPr>
          <w:sz w:val="24"/>
          <w:szCs w:val="24"/>
        </w:rPr>
        <w:t>48/2013 norādīts, ka „tiesas lēmums ir pretrunā Senāta lēmuma lietā Nr. SPC-47/2012 norādītajam”, tomēr laika ziņā nolēmums lietā SPC-47/2012 taisīts 2012.</w:t>
      </w:r>
      <w:r w:rsidR="00AD6C68">
        <w:rPr>
          <w:sz w:val="24"/>
          <w:szCs w:val="24"/>
        </w:rPr>
        <w:t> </w:t>
      </w:r>
      <w:r w:rsidRPr="00327DAE">
        <w:rPr>
          <w:sz w:val="24"/>
          <w:szCs w:val="24"/>
        </w:rPr>
        <w:t>gada 26.</w:t>
      </w:r>
      <w:r w:rsidR="00AD6C68">
        <w:rPr>
          <w:sz w:val="24"/>
          <w:szCs w:val="24"/>
        </w:rPr>
        <w:t> </w:t>
      </w:r>
      <w:r w:rsidRPr="00327DAE">
        <w:rPr>
          <w:sz w:val="24"/>
          <w:szCs w:val="24"/>
        </w:rPr>
        <w:t>oktobrī, bet ar nolēmumu lietā SPC-48/2013 atceltais nolēmums taisīts 2012.</w:t>
      </w:r>
      <w:r w:rsidR="00AD6C68">
        <w:rPr>
          <w:sz w:val="24"/>
          <w:szCs w:val="24"/>
        </w:rPr>
        <w:t> </w:t>
      </w:r>
      <w:r w:rsidRPr="00327DAE">
        <w:rPr>
          <w:sz w:val="24"/>
          <w:szCs w:val="24"/>
        </w:rPr>
        <w:t>gada 8.</w:t>
      </w:r>
      <w:r w:rsidR="00AD6C68">
        <w:rPr>
          <w:sz w:val="24"/>
          <w:szCs w:val="24"/>
        </w:rPr>
        <w:t> </w:t>
      </w:r>
      <w:r w:rsidRPr="00327DAE">
        <w:rPr>
          <w:sz w:val="24"/>
          <w:szCs w:val="24"/>
        </w:rPr>
        <w:t xml:space="preserve">jūnijā. </w:t>
      </w:r>
    </w:p>
    <w:p w14:paraId="76FEDFD3" w14:textId="77479607" w:rsidR="00B40DAA" w:rsidRPr="00327DAE" w:rsidRDefault="00B40DAA" w:rsidP="0025317F">
      <w:pPr>
        <w:spacing w:after="120"/>
        <w:rPr>
          <w:sz w:val="24"/>
          <w:szCs w:val="24"/>
        </w:rPr>
      </w:pPr>
      <w:r w:rsidRPr="00327DAE">
        <w:rPr>
          <w:sz w:val="24"/>
          <w:szCs w:val="24"/>
        </w:rPr>
        <w:t>Nolēmumā lietā SPC-10/2014, atceļot 2013.</w:t>
      </w:r>
      <w:r w:rsidR="00AD6C68">
        <w:rPr>
          <w:sz w:val="24"/>
          <w:szCs w:val="24"/>
        </w:rPr>
        <w:t> </w:t>
      </w:r>
      <w:r w:rsidRPr="00327DAE">
        <w:rPr>
          <w:sz w:val="24"/>
          <w:szCs w:val="24"/>
        </w:rPr>
        <w:t>gada 3.</w:t>
      </w:r>
      <w:r w:rsidR="00AD6C68">
        <w:rPr>
          <w:sz w:val="24"/>
          <w:szCs w:val="24"/>
        </w:rPr>
        <w:t> </w:t>
      </w:r>
      <w:r w:rsidRPr="00327DAE">
        <w:rPr>
          <w:sz w:val="24"/>
          <w:szCs w:val="24"/>
        </w:rPr>
        <w:t>oktobra nolēmumu</w:t>
      </w:r>
      <w:r w:rsidR="00AD6C68">
        <w:rPr>
          <w:sz w:val="24"/>
          <w:szCs w:val="24"/>
        </w:rPr>
        <w:t>,</w:t>
      </w:r>
      <w:r w:rsidRPr="00327DAE">
        <w:rPr>
          <w:sz w:val="24"/>
          <w:szCs w:val="24"/>
        </w:rPr>
        <w:t xml:space="preserve"> norādīts uz Senāta 2013.</w:t>
      </w:r>
      <w:r w:rsidR="00AD6C68">
        <w:rPr>
          <w:sz w:val="24"/>
          <w:szCs w:val="24"/>
        </w:rPr>
        <w:t> </w:t>
      </w:r>
      <w:r w:rsidRPr="00327DAE">
        <w:rPr>
          <w:sz w:val="24"/>
          <w:szCs w:val="24"/>
        </w:rPr>
        <w:t>gada 4.</w:t>
      </w:r>
      <w:r w:rsidR="00AD6C68">
        <w:rPr>
          <w:sz w:val="24"/>
          <w:szCs w:val="24"/>
        </w:rPr>
        <w:t> </w:t>
      </w:r>
      <w:r w:rsidRPr="00327DAE">
        <w:rPr>
          <w:sz w:val="24"/>
          <w:szCs w:val="24"/>
        </w:rPr>
        <w:t xml:space="preserve">oktobra lēmumu lietā SPC-42/2013. </w:t>
      </w:r>
    </w:p>
    <w:p w14:paraId="2ADD992A" w14:textId="77777777" w:rsidR="00B40DAA" w:rsidRPr="00327DAE" w:rsidRDefault="00B40DAA" w:rsidP="0025317F">
      <w:pPr>
        <w:spacing w:after="120"/>
        <w:rPr>
          <w:sz w:val="24"/>
          <w:szCs w:val="24"/>
        </w:rPr>
      </w:pPr>
    </w:p>
    <w:p w14:paraId="1249AF4F" w14:textId="77777777" w:rsidR="00B40DAA" w:rsidRPr="00327DAE" w:rsidRDefault="00B40DAA" w:rsidP="0025317F">
      <w:pPr>
        <w:spacing w:after="120"/>
        <w:rPr>
          <w:sz w:val="24"/>
          <w:szCs w:val="24"/>
        </w:rPr>
      </w:pPr>
      <w:r w:rsidRPr="00327DAE">
        <w:rPr>
          <w:sz w:val="24"/>
          <w:szCs w:val="24"/>
        </w:rPr>
        <w:t xml:space="preserve">Augstākās tiesas atziņu </w:t>
      </w:r>
      <w:proofErr w:type="spellStart"/>
      <w:r w:rsidRPr="00327DAE">
        <w:rPr>
          <w:sz w:val="24"/>
          <w:szCs w:val="24"/>
        </w:rPr>
        <w:t>tālākveidošanās</w:t>
      </w:r>
      <w:proofErr w:type="spellEnd"/>
      <w:r w:rsidRPr="00327DAE">
        <w:rPr>
          <w:sz w:val="24"/>
          <w:szCs w:val="24"/>
        </w:rPr>
        <w:t xml:space="preserve"> pati par sevi nevar būt pamats agrāku nolēmumu neatbilstības atziņām konstatējumam.</w:t>
      </w:r>
    </w:p>
    <w:p w14:paraId="5D5F4D6B" w14:textId="77777777" w:rsidR="00B40DAA" w:rsidRPr="00327DAE" w:rsidRDefault="00B40DAA" w:rsidP="0025317F">
      <w:pPr>
        <w:spacing w:after="120"/>
        <w:rPr>
          <w:sz w:val="24"/>
          <w:szCs w:val="24"/>
        </w:rPr>
      </w:pPr>
    </w:p>
    <w:p w14:paraId="606DDDCB" w14:textId="77777777" w:rsidR="00B40DAA" w:rsidRPr="00327DAE" w:rsidRDefault="00B40DAA" w:rsidP="0025317F">
      <w:pPr>
        <w:pStyle w:val="Heading2"/>
        <w:rPr>
          <w:rFonts w:eastAsiaTheme="minorHAnsi" w:cs="Times New Roman"/>
          <w:szCs w:val="24"/>
        </w:rPr>
      </w:pPr>
      <w:bookmarkStart w:id="72" w:name="_Toc522527542"/>
      <w:r w:rsidRPr="00327DAE">
        <w:rPr>
          <w:rFonts w:eastAsiaTheme="minorHAnsi" w:cs="Times New Roman"/>
          <w:szCs w:val="24"/>
        </w:rPr>
        <w:t>Tiesas kompetences robežu ievērošana maksātnespējas procesu uzraudzībā</w:t>
      </w:r>
      <w:bookmarkEnd w:id="72"/>
    </w:p>
    <w:p w14:paraId="1B26066F" w14:textId="10538667" w:rsidR="00B40DAA" w:rsidRPr="00327DAE" w:rsidRDefault="00B40DAA" w:rsidP="0025317F">
      <w:pPr>
        <w:spacing w:after="120"/>
        <w:rPr>
          <w:sz w:val="24"/>
          <w:szCs w:val="24"/>
        </w:rPr>
      </w:pPr>
      <w:r w:rsidRPr="00327DAE">
        <w:rPr>
          <w:sz w:val="24"/>
          <w:szCs w:val="24"/>
        </w:rPr>
        <w:t>Maksātnespējas likuma un Civilprocesa likuma terminoloģija nevar tik</w:t>
      </w:r>
      <w:r w:rsidR="00AD6C68">
        <w:rPr>
          <w:sz w:val="24"/>
          <w:szCs w:val="24"/>
        </w:rPr>
        <w:t>t</w:t>
      </w:r>
      <w:r w:rsidRPr="00327DAE">
        <w:rPr>
          <w:sz w:val="24"/>
          <w:szCs w:val="24"/>
        </w:rPr>
        <w:t xml:space="preserve"> atzīta par viennozīmīgi precīzu un strukturētu tā, lai novērstu nekonsekventu izpratni un nodrošinātu vienveidīgu piemērošanu. </w:t>
      </w:r>
    </w:p>
    <w:p w14:paraId="1CD19855" w14:textId="77777777" w:rsidR="00B40DAA" w:rsidRPr="00327DAE" w:rsidRDefault="00B40DAA" w:rsidP="0025317F">
      <w:pPr>
        <w:spacing w:after="120"/>
        <w:rPr>
          <w:sz w:val="24"/>
          <w:szCs w:val="24"/>
        </w:rPr>
      </w:pPr>
    </w:p>
    <w:p w14:paraId="2FCDBDB6" w14:textId="6B6C4F89" w:rsidR="00B40DAA" w:rsidRDefault="00B40DAA" w:rsidP="0025317F">
      <w:pPr>
        <w:spacing w:after="120"/>
        <w:rPr>
          <w:sz w:val="24"/>
          <w:szCs w:val="24"/>
        </w:rPr>
      </w:pPr>
      <w:r w:rsidRPr="00327DAE">
        <w:rPr>
          <w:sz w:val="24"/>
          <w:szCs w:val="24"/>
        </w:rPr>
        <w:t>Likumdošanas procesā jāpievērš uzmanība skaidras terminoloģijas lietojumam, lai tiesām dotu skaidru priekšrakstu, kad tā veic pārbaudi pēc būtības, ieskaitot pēc savas iniciatīvas, un kad reaģē tikai sūdzību gadījumā. Atbilstoši nodrošināma terminoloģijas konsekvence: tiesas apstiprina, ja...; tiesa lemj par</w:t>
      </w:r>
      <w:proofErr w:type="gramStart"/>
      <w:r w:rsidRPr="00327DAE">
        <w:rPr>
          <w:sz w:val="24"/>
          <w:szCs w:val="24"/>
        </w:rPr>
        <w:t xml:space="preserve"> .</w:t>
      </w:r>
      <w:proofErr w:type="gramEnd"/>
      <w:r w:rsidRPr="00327DAE">
        <w:rPr>
          <w:sz w:val="24"/>
          <w:szCs w:val="24"/>
        </w:rPr>
        <w:t>..; tiesa vērtē.</w:t>
      </w:r>
    </w:p>
    <w:p w14:paraId="34445887" w14:textId="77777777" w:rsidR="002150CE" w:rsidRPr="00327DAE" w:rsidRDefault="002150CE" w:rsidP="0025317F">
      <w:pPr>
        <w:spacing w:after="120"/>
        <w:rPr>
          <w:sz w:val="24"/>
          <w:szCs w:val="24"/>
        </w:rPr>
      </w:pPr>
    </w:p>
    <w:p w14:paraId="59DC3F2B" w14:textId="06278DAC" w:rsidR="004546C7" w:rsidRPr="00327DAE" w:rsidRDefault="008E6681" w:rsidP="0025317F">
      <w:pPr>
        <w:pStyle w:val="Heading2"/>
        <w:rPr>
          <w:rFonts w:eastAsiaTheme="minorHAnsi"/>
        </w:rPr>
      </w:pPr>
      <w:bookmarkStart w:id="73" w:name="_Toc522527543"/>
      <w:r w:rsidRPr="00327DAE">
        <w:rPr>
          <w:rFonts w:eastAsiaTheme="minorHAnsi"/>
        </w:rPr>
        <w:lastRenderedPageBreak/>
        <w:t xml:space="preserve">Informācija par </w:t>
      </w:r>
      <w:r w:rsidR="009A4D8A">
        <w:rPr>
          <w:rFonts w:eastAsiaTheme="minorHAnsi"/>
        </w:rPr>
        <w:t xml:space="preserve">iespējamu </w:t>
      </w:r>
      <w:r w:rsidRPr="00327DAE">
        <w:rPr>
          <w:rFonts w:eastAsiaTheme="minorHAnsi"/>
        </w:rPr>
        <w:t>interešu konfliktu</w:t>
      </w:r>
      <w:bookmarkEnd w:id="73"/>
    </w:p>
    <w:p w14:paraId="717046A9" w14:textId="7153EB74" w:rsidR="004546C7" w:rsidRDefault="004546C7" w:rsidP="0025317F">
      <w:pPr>
        <w:pStyle w:val="ListParagraph"/>
        <w:numPr>
          <w:ilvl w:val="0"/>
          <w:numId w:val="11"/>
        </w:numPr>
        <w:spacing w:after="120"/>
        <w:contextualSpacing w:val="0"/>
        <w:rPr>
          <w:sz w:val="24"/>
          <w:szCs w:val="24"/>
        </w:rPr>
      </w:pPr>
      <w:r w:rsidRPr="00327DAE">
        <w:rPr>
          <w:sz w:val="24"/>
          <w:szCs w:val="24"/>
        </w:rPr>
        <w:t>Tiesnesis A</w:t>
      </w:r>
      <w:r w:rsidR="006F6917">
        <w:rPr>
          <w:sz w:val="24"/>
          <w:szCs w:val="24"/>
        </w:rPr>
        <w:t>.</w:t>
      </w:r>
      <w:r w:rsidR="00AD6C68">
        <w:rPr>
          <w:sz w:val="24"/>
          <w:szCs w:val="24"/>
        </w:rPr>
        <w:t> </w:t>
      </w:r>
      <w:r w:rsidR="002150CE">
        <w:rPr>
          <w:sz w:val="24"/>
          <w:szCs w:val="24"/>
        </w:rPr>
        <w:t>Strupišs: biju referents „</w:t>
      </w:r>
      <w:r w:rsidRPr="00327DAE">
        <w:rPr>
          <w:sz w:val="24"/>
          <w:szCs w:val="24"/>
        </w:rPr>
        <w:t>Gvano” lietas izskatīšanā, kur tika pieņemts arī blakus lēmums; 2013.</w:t>
      </w:r>
      <w:r w:rsidR="00AD6C68">
        <w:rPr>
          <w:sz w:val="24"/>
          <w:szCs w:val="24"/>
        </w:rPr>
        <w:t> </w:t>
      </w:r>
      <w:r w:rsidRPr="00327DAE">
        <w:rPr>
          <w:sz w:val="24"/>
          <w:szCs w:val="24"/>
        </w:rPr>
        <w:t>gadā sniedzu atzinumu Satversme</w:t>
      </w:r>
      <w:r w:rsidR="002150CE">
        <w:rPr>
          <w:sz w:val="24"/>
          <w:szCs w:val="24"/>
        </w:rPr>
        <w:t xml:space="preserve">s tiesai ar </w:t>
      </w:r>
      <w:r w:rsidR="003D793F">
        <w:rPr>
          <w:sz w:val="24"/>
          <w:szCs w:val="24"/>
        </w:rPr>
        <w:t xml:space="preserve">SIA </w:t>
      </w:r>
      <w:r w:rsidR="002150CE">
        <w:rPr>
          <w:sz w:val="24"/>
          <w:szCs w:val="24"/>
        </w:rPr>
        <w:t>„</w:t>
      </w:r>
      <w:r w:rsidR="003D793F">
        <w:rPr>
          <w:sz w:val="24"/>
          <w:szCs w:val="24"/>
        </w:rPr>
        <w:t xml:space="preserve">Ceturtā </w:t>
      </w:r>
      <w:r w:rsidRPr="00327DAE">
        <w:rPr>
          <w:sz w:val="24"/>
          <w:szCs w:val="24"/>
        </w:rPr>
        <w:t>planēta”</w:t>
      </w:r>
      <w:r w:rsidR="00AD6C68">
        <w:rPr>
          <w:sz w:val="24"/>
          <w:szCs w:val="24"/>
        </w:rPr>
        <w:t xml:space="preserve"> </w:t>
      </w:r>
      <w:r w:rsidRPr="00327DAE">
        <w:rPr>
          <w:sz w:val="24"/>
          <w:szCs w:val="24"/>
        </w:rPr>
        <w:t xml:space="preserve">un </w:t>
      </w:r>
      <w:r w:rsidR="003D793F">
        <w:rPr>
          <w:sz w:val="24"/>
          <w:szCs w:val="24"/>
        </w:rPr>
        <w:t xml:space="preserve">SIA </w:t>
      </w:r>
      <w:r w:rsidR="002150CE">
        <w:rPr>
          <w:sz w:val="24"/>
          <w:szCs w:val="24"/>
        </w:rPr>
        <w:t>„</w:t>
      </w:r>
      <w:r w:rsidRPr="00327DAE">
        <w:rPr>
          <w:sz w:val="24"/>
          <w:szCs w:val="24"/>
        </w:rPr>
        <w:t>Trojas” maksātnespēju saistītajā S</w:t>
      </w:r>
      <w:r w:rsidR="0025238A" w:rsidRPr="00327DAE">
        <w:rPr>
          <w:sz w:val="24"/>
          <w:szCs w:val="24"/>
        </w:rPr>
        <w:t>atversmes tiesas</w:t>
      </w:r>
      <w:r w:rsidRPr="00327DAE">
        <w:rPr>
          <w:sz w:val="24"/>
          <w:szCs w:val="24"/>
        </w:rPr>
        <w:t xml:space="preserve"> lietā</w:t>
      </w:r>
      <w:r w:rsidR="0025238A" w:rsidRPr="00327DAE">
        <w:rPr>
          <w:sz w:val="24"/>
          <w:szCs w:val="24"/>
        </w:rPr>
        <w:t xml:space="preserve">; 2013. gadā konsultēju AS </w:t>
      </w:r>
      <w:r w:rsidR="002150CE">
        <w:rPr>
          <w:sz w:val="24"/>
          <w:szCs w:val="24"/>
        </w:rPr>
        <w:t>„</w:t>
      </w:r>
      <w:proofErr w:type="spellStart"/>
      <w:r w:rsidR="0025238A" w:rsidRPr="00327DAE">
        <w:rPr>
          <w:sz w:val="24"/>
          <w:szCs w:val="24"/>
        </w:rPr>
        <w:t>Norvik</w:t>
      </w:r>
      <w:proofErr w:type="spellEnd"/>
      <w:r w:rsidR="0025238A" w:rsidRPr="00327DAE">
        <w:rPr>
          <w:sz w:val="24"/>
          <w:szCs w:val="24"/>
        </w:rPr>
        <w:t xml:space="preserve"> banka” strīdā ar SIA </w:t>
      </w:r>
      <w:r w:rsidR="002150CE">
        <w:rPr>
          <w:sz w:val="24"/>
          <w:szCs w:val="24"/>
        </w:rPr>
        <w:t>„</w:t>
      </w:r>
      <w:proofErr w:type="spellStart"/>
      <w:r w:rsidR="0025238A" w:rsidRPr="00327DAE">
        <w:rPr>
          <w:sz w:val="24"/>
          <w:szCs w:val="24"/>
        </w:rPr>
        <w:t>Winergy</w:t>
      </w:r>
      <w:proofErr w:type="spellEnd"/>
      <w:r w:rsidR="0025238A" w:rsidRPr="00327DAE">
        <w:rPr>
          <w:sz w:val="24"/>
          <w:szCs w:val="24"/>
        </w:rPr>
        <w:t>” jautājumā par piedziņas vēršanu uz komercķīlu</w:t>
      </w:r>
      <w:r w:rsidRPr="00327DAE">
        <w:rPr>
          <w:sz w:val="24"/>
          <w:szCs w:val="24"/>
        </w:rPr>
        <w:t>.</w:t>
      </w:r>
    </w:p>
    <w:p w14:paraId="1126BE0C" w14:textId="3AA7EF03" w:rsidR="006F6917" w:rsidRPr="006F6917" w:rsidRDefault="006F6917" w:rsidP="0025317F">
      <w:pPr>
        <w:pStyle w:val="ListParagraph"/>
        <w:numPr>
          <w:ilvl w:val="0"/>
          <w:numId w:val="11"/>
        </w:numPr>
        <w:spacing w:after="120"/>
        <w:contextualSpacing w:val="0"/>
        <w:rPr>
          <w:sz w:val="24"/>
          <w:szCs w:val="24"/>
        </w:rPr>
      </w:pPr>
      <w:r w:rsidRPr="00327DAE">
        <w:rPr>
          <w:sz w:val="24"/>
          <w:szCs w:val="24"/>
        </w:rPr>
        <w:t xml:space="preserve">Tiesnese </w:t>
      </w:r>
      <w:r>
        <w:rPr>
          <w:sz w:val="24"/>
          <w:szCs w:val="24"/>
        </w:rPr>
        <w:t>E. </w:t>
      </w:r>
      <w:r w:rsidRPr="00327DAE">
        <w:rPr>
          <w:sz w:val="24"/>
          <w:szCs w:val="24"/>
        </w:rPr>
        <w:t xml:space="preserve">Stivriņa: SIA </w:t>
      </w:r>
      <w:r w:rsidR="003D793F">
        <w:rPr>
          <w:sz w:val="24"/>
          <w:szCs w:val="24"/>
        </w:rPr>
        <w:t>„</w:t>
      </w:r>
      <w:r w:rsidRPr="00327DAE">
        <w:rPr>
          <w:sz w:val="24"/>
          <w:szCs w:val="24"/>
        </w:rPr>
        <w:t>BLC</w:t>
      </w:r>
      <w:r w:rsidR="00AD6C68">
        <w:rPr>
          <w:sz w:val="24"/>
          <w:szCs w:val="24"/>
        </w:rPr>
        <w:t>”</w:t>
      </w:r>
      <w:r w:rsidRPr="00327DAE">
        <w:rPr>
          <w:sz w:val="24"/>
          <w:szCs w:val="24"/>
        </w:rPr>
        <w:t xml:space="preserve"> izskatīju tiesiskās aizsardzības procesa pieteikumu ārpustiesas tiesiskās aizsardzības procesa gadījumam un ar 2009.</w:t>
      </w:r>
      <w:r w:rsidR="00AD6C68">
        <w:rPr>
          <w:sz w:val="24"/>
          <w:szCs w:val="24"/>
        </w:rPr>
        <w:t> </w:t>
      </w:r>
      <w:r w:rsidRPr="00327DAE">
        <w:rPr>
          <w:sz w:val="24"/>
          <w:szCs w:val="24"/>
        </w:rPr>
        <w:t>gada 27.</w:t>
      </w:r>
      <w:r w:rsidR="00AD6C68">
        <w:rPr>
          <w:sz w:val="24"/>
          <w:szCs w:val="24"/>
        </w:rPr>
        <w:t> </w:t>
      </w:r>
      <w:r w:rsidRPr="00327DAE">
        <w:rPr>
          <w:sz w:val="24"/>
          <w:szCs w:val="24"/>
        </w:rPr>
        <w:t>novembra lēmumu (lieta C33367609) pieteikumu noraidīju.</w:t>
      </w:r>
    </w:p>
    <w:p w14:paraId="7B53ACC3" w14:textId="185D4725" w:rsidR="004546C7" w:rsidRPr="00327DAE" w:rsidRDefault="006F6917" w:rsidP="0025317F">
      <w:pPr>
        <w:pStyle w:val="ListParagraph"/>
        <w:numPr>
          <w:ilvl w:val="0"/>
          <w:numId w:val="11"/>
        </w:numPr>
        <w:spacing w:after="120"/>
        <w:contextualSpacing w:val="0"/>
        <w:rPr>
          <w:sz w:val="24"/>
          <w:szCs w:val="24"/>
        </w:rPr>
      </w:pPr>
      <w:r>
        <w:rPr>
          <w:sz w:val="24"/>
          <w:szCs w:val="24"/>
        </w:rPr>
        <w:t>H. </w:t>
      </w:r>
      <w:r w:rsidR="004546C7" w:rsidRPr="00327DAE">
        <w:rPr>
          <w:sz w:val="24"/>
          <w:szCs w:val="24"/>
        </w:rPr>
        <w:t xml:space="preserve">Jauja: </w:t>
      </w:r>
      <w:r w:rsidR="00AD6C68">
        <w:rPr>
          <w:sz w:val="24"/>
          <w:szCs w:val="24"/>
        </w:rPr>
        <w:t>i</w:t>
      </w:r>
      <w:r w:rsidR="004546C7" w:rsidRPr="00327DAE">
        <w:rPr>
          <w:sz w:val="24"/>
          <w:szCs w:val="24"/>
        </w:rPr>
        <w:t>nformēju, ka 2013.</w:t>
      </w:r>
      <w:r w:rsidR="00AD6C68">
        <w:rPr>
          <w:sz w:val="24"/>
          <w:szCs w:val="24"/>
        </w:rPr>
        <w:t>–</w:t>
      </w:r>
      <w:r w:rsidR="004546C7" w:rsidRPr="00327DAE">
        <w:rPr>
          <w:sz w:val="24"/>
          <w:szCs w:val="24"/>
        </w:rPr>
        <w:t>2014.</w:t>
      </w:r>
      <w:r w:rsidR="00AD6C68">
        <w:rPr>
          <w:sz w:val="24"/>
          <w:szCs w:val="24"/>
        </w:rPr>
        <w:t> </w:t>
      </w:r>
      <w:r w:rsidR="004546C7" w:rsidRPr="00327DAE">
        <w:rPr>
          <w:sz w:val="24"/>
          <w:szCs w:val="24"/>
        </w:rPr>
        <w:t xml:space="preserve">gadā esmu bijis iesaistīts konsultāciju sniegšanā AS </w:t>
      </w:r>
      <w:r w:rsidR="003D793F">
        <w:rPr>
          <w:sz w:val="24"/>
          <w:szCs w:val="24"/>
        </w:rPr>
        <w:t>„</w:t>
      </w:r>
      <w:proofErr w:type="spellStart"/>
      <w:r w:rsidR="004546C7" w:rsidRPr="00327DAE">
        <w:rPr>
          <w:sz w:val="24"/>
          <w:szCs w:val="24"/>
        </w:rPr>
        <w:t>Norvik</w:t>
      </w:r>
      <w:proofErr w:type="spellEnd"/>
      <w:r w:rsidR="004546C7" w:rsidRPr="00327DAE">
        <w:rPr>
          <w:sz w:val="24"/>
          <w:szCs w:val="24"/>
        </w:rPr>
        <w:t xml:space="preserve"> </w:t>
      </w:r>
      <w:proofErr w:type="spellStart"/>
      <w:r w:rsidR="004546C7" w:rsidRPr="00327DAE">
        <w:rPr>
          <w:sz w:val="24"/>
          <w:szCs w:val="24"/>
        </w:rPr>
        <w:t>Bank</w:t>
      </w:r>
      <w:proofErr w:type="spellEnd"/>
      <w:r w:rsidR="004546C7" w:rsidRPr="00327DAE">
        <w:rPr>
          <w:sz w:val="24"/>
          <w:szCs w:val="24"/>
        </w:rPr>
        <w:t xml:space="preserve">” t.s. </w:t>
      </w:r>
      <w:proofErr w:type="spellStart"/>
      <w:r w:rsidR="004546C7" w:rsidRPr="003D793F">
        <w:rPr>
          <w:i/>
          <w:sz w:val="24"/>
          <w:szCs w:val="24"/>
        </w:rPr>
        <w:t>Winergy</w:t>
      </w:r>
      <w:proofErr w:type="spellEnd"/>
      <w:r w:rsidR="004546C7" w:rsidRPr="00327DAE">
        <w:rPr>
          <w:sz w:val="24"/>
          <w:szCs w:val="24"/>
        </w:rPr>
        <w:t xml:space="preserve"> strīdā, būdams SIA </w:t>
      </w:r>
      <w:r w:rsidR="003D793F">
        <w:rPr>
          <w:sz w:val="24"/>
          <w:szCs w:val="24"/>
        </w:rPr>
        <w:t>„</w:t>
      </w:r>
      <w:proofErr w:type="spellStart"/>
      <w:r w:rsidR="004546C7" w:rsidRPr="00327DAE">
        <w:rPr>
          <w:sz w:val="24"/>
          <w:szCs w:val="24"/>
        </w:rPr>
        <w:t>Deloitte</w:t>
      </w:r>
      <w:proofErr w:type="spellEnd"/>
      <w:r w:rsidR="004546C7" w:rsidRPr="00327DAE">
        <w:rPr>
          <w:sz w:val="24"/>
          <w:szCs w:val="24"/>
        </w:rPr>
        <w:t xml:space="preserve"> </w:t>
      </w:r>
      <w:proofErr w:type="spellStart"/>
      <w:r w:rsidR="004546C7" w:rsidRPr="00327DAE">
        <w:rPr>
          <w:sz w:val="24"/>
          <w:szCs w:val="24"/>
        </w:rPr>
        <w:t>Latvia</w:t>
      </w:r>
      <w:proofErr w:type="spellEnd"/>
      <w:r w:rsidR="004546C7" w:rsidRPr="00327DAE">
        <w:rPr>
          <w:sz w:val="24"/>
          <w:szCs w:val="24"/>
        </w:rPr>
        <w:t>” vadošais jurists. Darba uz</w:t>
      </w:r>
      <w:r w:rsidR="003D793F">
        <w:rPr>
          <w:sz w:val="24"/>
          <w:szCs w:val="24"/>
        </w:rPr>
        <w:t>devumi lielākoties ietvēra SIA „</w:t>
      </w:r>
      <w:proofErr w:type="spellStart"/>
      <w:r w:rsidR="004546C7" w:rsidRPr="00327DAE">
        <w:rPr>
          <w:sz w:val="24"/>
          <w:szCs w:val="24"/>
        </w:rPr>
        <w:t>Winergy</w:t>
      </w:r>
      <w:proofErr w:type="spellEnd"/>
      <w:r w:rsidR="004546C7" w:rsidRPr="00327DAE">
        <w:rPr>
          <w:sz w:val="24"/>
          <w:szCs w:val="24"/>
        </w:rPr>
        <w:t>” un ar to saistīto</w:t>
      </w:r>
      <w:r w:rsidR="003D793F">
        <w:rPr>
          <w:sz w:val="24"/>
          <w:szCs w:val="24"/>
        </w:rPr>
        <w:t xml:space="preserve"> sabiedrību SIA „</w:t>
      </w:r>
      <w:proofErr w:type="spellStart"/>
      <w:r w:rsidR="003D793F">
        <w:rPr>
          <w:sz w:val="24"/>
          <w:szCs w:val="24"/>
        </w:rPr>
        <w:t>Arsenal</w:t>
      </w:r>
      <w:proofErr w:type="spellEnd"/>
      <w:r w:rsidR="003D793F">
        <w:rPr>
          <w:sz w:val="24"/>
          <w:szCs w:val="24"/>
        </w:rPr>
        <w:t>”, SIA „</w:t>
      </w:r>
      <w:proofErr w:type="spellStart"/>
      <w:r w:rsidR="004546C7" w:rsidRPr="00327DAE">
        <w:rPr>
          <w:sz w:val="24"/>
          <w:szCs w:val="24"/>
        </w:rPr>
        <w:t>Ošmaļi</w:t>
      </w:r>
      <w:proofErr w:type="spellEnd"/>
      <w:r w:rsidR="004546C7" w:rsidRPr="00327DAE">
        <w:rPr>
          <w:sz w:val="24"/>
          <w:szCs w:val="24"/>
        </w:rPr>
        <w:t>” u.c. grāmatvedības dokumentu un finanšu datu izpēti, lai noskaidrotu šo sabiedrību veikto darījumu un transakciju ekonomisko pamatotību un atbilstību ie</w:t>
      </w:r>
      <w:r w:rsidR="003D793F">
        <w:rPr>
          <w:sz w:val="24"/>
          <w:szCs w:val="24"/>
        </w:rPr>
        <w:t>priekš deklarētajām ziņām. SIA „</w:t>
      </w:r>
      <w:proofErr w:type="spellStart"/>
      <w:r w:rsidR="004546C7" w:rsidRPr="00327DAE">
        <w:rPr>
          <w:sz w:val="24"/>
          <w:szCs w:val="24"/>
        </w:rPr>
        <w:t>Deloitte</w:t>
      </w:r>
      <w:proofErr w:type="spellEnd"/>
      <w:r w:rsidR="004546C7" w:rsidRPr="00327DAE">
        <w:rPr>
          <w:sz w:val="24"/>
          <w:szCs w:val="24"/>
        </w:rPr>
        <w:t xml:space="preserve"> </w:t>
      </w:r>
      <w:proofErr w:type="spellStart"/>
      <w:r w:rsidR="004546C7" w:rsidRPr="00327DAE">
        <w:rPr>
          <w:sz w:val="24"/>
          <w:szCs w:val="24"/>
        </w:rPr>
        <w:t>Latvia</w:t>
      </w:r>
      <w:proofErr w:type="spellEnd"/>
      <w:r w:rsidR="004546C7" w:rsidRPr="00327DAE">
        <w:rPr>
          <w:sz w:val="24"/>
          <w:szCs w:val="24"/>
        </w:rPr>
        <w:t xml:space="preserve">” sagatavotie atzinumi tika izmantoti kā pierādījumi gan tiesvedībās, gan kriminālprocesā, kas tika ierosināts par iespējamiem kriminālnodarījumiem ar </w:t>
      </w:r>
      <w:r w:rsidR="003D793F">
        <w:rPr>
          <w:sz w:val="24"/>
          <w:szCs w:val="24"/>
        </w:rPr>
        <w:t>„</w:t>
      </w:r>
      <w:proofErr w:type="spellStart"/>
      <w:r w:rsidR="004546C7" w:rsidRPr="00327DAE">
        <w:rPr>
          <w:sz w:val="24"/>
          <w:szCs w:val="24"/>
        </w:rPr>
        <w:t>Winergy</w:t>
      </w:r>
      <w:proofErr w:type="spellEnd"/>
      <w:r w:rsidR="00AD6C68">
        <w:rPr>
          <w:sz w:val="24"/>
          <w:szCs w:val="24"/>
        </w:rPr>
        <w:t>”</w:t>
      </w:r>
      <w:r w:rsidR="004546C7" w:rsidRPr="00327DAE">
        <w:rPr>
          <w:sz w:val="24"/>
          <w:szCs w:val="24"/>
        </w:rPr>
        <w:t xml:space="preserve"> saistīto personu darbībās.</w:t>
      </w:r>
    </w:p>
    <w:p w14:paraId="277B4062" w14:textId="3C8A35DC" w:rsidR="0025238A" w:rsidRDefault="006F6917" w:rsidP="0025317F">
      <w:pPr>
        <w:pStyle w:val="ListParagraph"/>
        <w:numPr>
          <w:ilvl w:val="0"/>
          <w:numId w:val="11"/>
        </w:numPr>
        <w:spacing w:after="120"/>
        <w:contextualSpacing w:val="0"/>
        <w:rPr>
          <w:sz w:val="24"/>
          <w:szCs w:val="24"/>
        </w:rPr>
      </w:pPr>
      <w:r>
        <w:rPr>
          <w:sz w:val="24"/>
          <w:szCs w:val="24"/>
        </w:rPr>
        <w:t>Prof. K. </w:t>
      </w:r>
      <w:r w:rsidR="0025238A" w:rsidRPr="00327DAE">
        <w:rPr>
          <w:sz w:val="24"/>
          <w:szCs w:val="24"/>
        </w:rPr>
        <w:t xml:space="preserve">Torgāns: </w:t>
      </w:r>
      <w:r w:rsidR="00AD6C68">
        <w:rPr>
          <w:sz w:val="24"/>
          <w:szCs w:val="24"/>
        </w:rPr>
        <w:t>i</w:t>
      </w:r>
      <w:r w:rsidR="003D793F">
        <w:rPr>
          <w:sz w:val="24"/>
          <w:szCs w:val="24"/>
        </w:rPr>
        <w:t xml:space="preserve">nformēju, ka </w:t>
      </w:r>
      <w:r w:rsidR="0025238A" w:rsidRPr="00327DAE">
        <w:rPr>
          <w:sz w:val="24"/>
          <w:szCs w:val="24"/>
        </w:rPr>
        <w:t>biju Augstākās tiesas Senāta (CLD) sastāvā, kas izskatīja vēlāk komisijas pārbaudei</w:t>
      </w:r>
      <w:r w:rsidR="003D793F">
        <w:rPr>
          <w:sz w:val="24"/>
          <w:szCs w:val="24"/>
        </w:rPr>
        <w:t xml:space="preserve"> atlasītās lietas Nr. </w:t>
      </w:r>
      <w:r w:rsidR="00302854">
        <w:rPr>
          <w:sz w:val="24"/>
          <w:szCs w:val="24"/>
        </w:rPr>
        <w:t>SPC-214/20</w:t>
      </w:r>
      <w:r w:rsidR="0025238A" w:rsidRPr="00327DAE">
        <w:rPr>
          <w:sz w:val="24"/>
          <w:szCs w:val="24"/>
        </w:rPr>
        <w:t>10, SPC</w:t>
      </w:r>
      <w:r w:rsidR="003D793F">
        <w:rPr>
          <w:sz w:val="24"/>
          <w:szCs w:val="24"/>
        </w:rPr>
        <w:noBreakHyphen/>
      </w:r>
      <w:r w:rsidR="0025238A" w:rsidRPr="00327DAE">
        <w:rPr>
          <w:sz w:val="24"/>
          <w:szCs w:val="24"/>
        </w:rPr>
        <w:t>213</w:t>
      </w:r>
      <w:r w:rsidR="003D793F">
        <w:rPr>
          <w:sz w:val="24"/>
          <w:szCs w:val="24"/>
        </w:rPr>
        <w:t>/2010</w:t>
      </w:r>
      <w:r w:rsidR="0025238A" w:rsidRPr="00327DAE">
        <w:rPr>
          <w:sz w:val="24"/>
          <w:szCs w:val="24"/>
        </w:rPr>
        <w:t>, SPC-180</w:t>
      </w:r>
      <w:r w:rsidR="003D793F">
        <w:rPr>
          <w:sz w:val="24"/>
          <w:szCs w:val="24"/>
        </w:rPr>
        <w:t>/2010</w:t>
      </w:r>
      <w:r w:rsidR="0025238A" w:rsidRPr="00327DAE">
        <w:rPr>
          <w:sz w:val="24"/>
          <w:szCs w:val="24"/>
        </w:rPr>
        <w:t>, SPC-206</w:t>
      </w:r>
      <w:r w:rsidR="003D793F">
        <w:rPr>
          <w:sz w:val="24"/>
          <w:szCs w:val="24"/>
        </w:rPr>
        <w:t>/2010</w:t>
      </w:r>
      <w:r w:rsidR="0025238A" w:rsidRPr="00327DAE">
        <w:rPr>
          <w:sz w:val="24"/>
          <w:szCs w:val="24"/>
        </w:rPr>
        <w:t xml:space="preserve">, </w:t>
      </w:r>
      <w:r w:rsidR="00AD6C68">
        <w:rPr>
          <w:sz w:val="24"/>
          <w:szCs w:val="24"/>
        </w:rPr>
        <w:t>SPC</w:t>
      </w:r>
      <w:r w:rsidR="00302854">
        <w:rPr>
          <w:sz w:val="24"/>
          <w:szCs w:val="24"/>
        </w:rPr>
        <w:t>-1/2012</w:t>
      </w:r>
      <w:r w:rsidR="003D793F">
        <w:rPr>
          <w:sz w:val="24"/>
          <w:szCs w:val="24"/>
        </w:rPr>
        <w:t>, SPC-</w:t>
      </w:r>
      <w:r w:rsidR="00302854">
        <w:rPr>
          <w:sz w:val="24"/>
          <w:szCs w:val="24"/>
        </w:rPr>
        <w:t>48/20</w:t>
      </w:r>
      <w:r w:rsidR="0025238A" w:rsidRPr="00327DAE">
        <w:rPr>
          <w:sz w:val="24"/>
          <w:szCs w:val="24"/>
        </w:rPr>
        <w:t xml:space="preserve">13. Esmu savas profesionālās darbības ietvaros sekojis līdzi tiesu procesiem un paudis savu viedokli referātos un publikācijās, tostarp </w:t>
      </w:r>
      <w:r w:rsidR="003D793F">
        <w:rPr>
          <w:sz w:val="24"/>
          <w:szCs w:val="24"/>
        </w:rPr>
        <w:t>„</w:t>
      </w:r>
      <w:r w:rsidR="0025238A" w:rsidRPr="00327DAE">
        <w:rPr>
          <w:sz w:val="24"/>
          <w:szCs w:val="24"/>
        </w:rPr>
        <w:t>Jurista V</w:t>
      </w:r>
      <w:r>
        <w:rPr>
          <w:sz w:val="24"/>
          <w:szCs w:val="24"/>
        </w:rPr>
        <w:t>ārdā</w:t>
      </w:r>
      <w:r w:rsidR="00AD6C68">
        <w:rPr>
          <w:sz w:val="24"/>
          <w:szCs w:val="24"/>
        </w:rPr>
        <w:t>”</w:t>
      </w:r>
      <w:r w:rsidR="003D793F">
        <w:rPr>
          <w:sz w:val="24"/>
          <w:szCs w:val="24"/>
        </w:rPr>
        <w:t xml:space="preserve"> un žurnālā „</w:t>
      </w:r>
      <w:r>
        <w:rPr>
          <w:sz w:val="24"/>
          <w:szCs w:val="24"/>
        </w:rPr>
        <w:t xml:space="preserve">Ir”, </w:t>
      </w:r>
      <w:proofErr w:type="gramStart"/>
      <w:r>
        <w:rPr>
          <w:sz w:val="24"/>
          <w:szCs w:val="24"/>
        </w:rPr>
        <w:t>vadoties no</w:t>
      </w:r>
      <w:proofErr w:type="gramEnd"/>
      <w:r>
        <w:rPr>
          <w:sz w:val="24"/>
          <w:szCs w:val="24"/>
        </w:rPr>
        <w:t xml:space="preserve"> </w:t>
      </w:r>
      <w:r w:rsidR="0025238A" w:rsidRPr="00327DAE">
        <w:rPr>
          <w:sz w:val="24"/>
          <w:szCs w:val="24"/>
        </w:rPr>
        <w:t>tiesiskuma stiprināšanas apsvērumiem, ne no materiāl</w:t>
      </w:r>
      <w:r w:rsidR="00E8568B">
        <w:rPr>
          <w:sz w:val="24"/>
          <w:szCs w:val="24"/>
        </w:rPr>
        <w:t>ā</w:t>
      </w:r>
      <w:r w:rsidR="0025238A" w:rsidRPr="00327DAE">
        <w:rPr>
          <w:sz w:val="24"/>
          <w:szCs w:val="24"/>
        </w:rPr>
        <w:t>s ieinteresētības pozīcijām.</w:t>
      </w:r>
    </w:p>
    <w:p w14:paraId="7D3FD8D4" w14:textId="2473A9AA" w:rsidR="00F70C9D" w:rsidRPr="00327DAE" w:rsidRDefault="00F70C9D" w:rsidP="0025317F">
      <w:pPr>
        <w:pStyle w:val="ListParagraph"/>
        <w:numPr>
          <w:ilvl w:val="0"/>
          <w:numId w:val="11"/>
        </w:numPr>
        <w:spacing w:after="120"/>
        <w:contextualSpacing w:val="0"/>
        <w:rPr>
          <w:sz w:val="24"/>
          <w:szCs w:val="24"/>
        </w:rPr>
      </w:pPr>
      <w:r>
        <w:rPr>
          <w:sz w:val="24"/>
          <w:szCs w:val="24"/>
        </w:rPr>
        <w:t xml:space="preserve">Tiesnese </w:t>
      </w:r>
      <w:r w:rsidR="000A7E83">
        <w:rPr>
          <w:sz w:val="24"/>
          <w:szCs w:val="24"/>
        </w:rPr>
        <w:t>E. </w:t>
      </w:r>
      <w:r>
        <w:rPr>
          <w:sz w:val="24"/>
          <w:szCs w:val="24"/>
        </w:rPr>
        <w:t>Vernuša: informēju, ka Augstākās tiesas Senāta sastāvā piedalījos šādu šajā ziņojumā analizēto lietu izskatīšanā: SPC-23/2012, SPC-77/2010, SPC-175/2010, SPC-214/2010, SPC-213/2010, SPC-206/2010, SPC-188/2010, SPC-1/2012, SPC-48/2013, SPC-27/2014. Trijās no minētajām, proti, SPC-214/2010, SPC-206/2010 un SPC-188/2010 biju tiesnese referente.</w:t>
      </w:r>
    </w:p>
    <w:p w14:paraId="35D40058" w14:textId="77777777" w:rsidR="00E732C1" w:rsidRPr="00327DAE" w:rsidRDefault="00E732C1" w:rsidP="0025317F">
      <w:pPr>
        <w:spacing w:after="120"/>
        <w:rPr>
          <w:sz w:val="24"/>
          <w:szCs w:val="24"/>
        </w:rPr>
      </w:pPr>
    </w:p>
    <w:sectPr w:rsidR="00E732C1" w:rsidRPr="00327DAE" w:rsidSect="00102253">
      <w:headerReference w:type="even" r:id="rId20"/>
      <w:headerReference w:type="default" r:id="rId21"/>
      <w:footerReference w:type="even" r:id="rId22"/>
      <w:footerReference w:type="default" r:id="rId23"/>
      <w:headerReference w:type="first" r:id="rId24"/>
      <w:footerReference w:type="first" r:id="rId25"/>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8E6F6" w14:textId="77777777" w:rsidR="00AB4F91" w:rsidRDefault="00AB4F91" w:rsidP="009F7149">
      <w:r>
        <w:separator/>
      </w:r>
    </w:p>
  </w:endnote>
  <w:endnote w:type="continuationSeparator" w:id="0">
    <w:p w14:paraId="7AF11C84" w14:textId="77777777" w:rsidR="00AB4F91" w:rsidRDefault="00AB4F91" w:rsidP="009F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8AB19" w14:textId="77777777" w:rsidR="008A7DC2" w:rsidRDefault="008A7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736887"/>
      <w:docPartObj>
        <w:docPartGallery w:val="Page Numbers (Bottom of Page)"/>
        <w:docPartUnique/>
      </w:docPartObj>
    </w:sdtPr>
    <w:sdtEndPr>
      <w:rPr>
        <w:noProof/>
      </w:rPr>
    </w:sdtEndPr>
    <w:sdtContent>
      <w:p w14:paraId="455C7F3A" w14:textId="26B0607F" w:rsidR="008A7DC2" w:rsidRDefault="008A7DC2">
        <w:pPr>
          <w:pStyle w:val="Footer"/>
          <w:jc w:val="center"/>
        </w:pPr>
        <w:r>
          <w:fldChar w:fldCharType="begin"/>
        </w:r>
        <w:r>
          <w:instrText xml:space="preserve"> PAGE   \* MERGEFORMAT </w:instrText>
        </w:r>
        <w:r>
          <w:fldChar w:fldCharType="separate"/>
        </w:r>
        <w:r w:rsidR="00BB38A8">
          <w:rPr>
            <w:noProof/>
          </w:rPr>
          <w:t>56</w:t>
        </w:r>
        <w:r>
          <w:rPr>
            <w:noProof/>
          </w:rPr>
          <w:fldChar w:fldCharType="end"/>
        </w:r>
      </w:p>
    </w:sdtContent>
  </w:sdt>
  <w:p w14:paraId="572C3E0C" w14:textId="77777777" w:rsidR="008A7DC2" w:rsidRDefault="008A7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D4D19" w14:textId="77777777" w:rsidR="008A7DC2" w:rsidRDefault="008A7D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A728" w14:textId="77777777" w:rsidR="008A7DC2" w:rsidRDefault="008A7DC2">
    <w:pPr>
      <w:pStyle w:val="Footer"/>
    </w:pPr>
  </w:p>
  <w:p w14:paraId="2C3C4EA7" w14:textId="77777777" w:rsidR="008A7DC2" w:rsidRDefault="008A7DC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870593"/>
      <w:docPartObj>
        <w:docPartGallery w:val="Page Numbers (Bottom of Page)"/>
        <w:docPartUnique/>
      </w:docPartObj>
    </w:sdtPr>
    <w:sdtEndPr>
      <w:rPr>
        <w:noProof/>
      </w:rPr>
    </w:sdtEndPr>
    <w:sdtContent>
      <w:p w14:paraId="3ABE756A" w14:textId="3E0A2044" w:rsidR="008A7DC2" w:rsidRDefault="008A7DC2">
        <w:pPr>
          <w:pStyle w:val="Footer"/>
          <w:jc w:val="center"/>
        </w:pPr>
        <w:r>
          <w:fldChar w:fldCharType="begin"/>
        </w:r>
        <w:r>
          <w:instrText xml:space="preserve"> PAGE   \* MERGEFORMAT </w:instrText>
        </w:r>
        <w:r>
          <w:fldChar w:fldCharType="separate"/>
        </w:r>
        <w:r w:rsidR="00BB38A8">
          <w:rPr>
            <w:noProof/>
          </w:rPr>
          <w:t>84</w:t>
        </w:r>
        <w:r>
          <w:rPr>
            <w:noProof/>
          </w:rPr>
          <w:fldChar w:fldCharType="end"/>
        </w:r>
      </w:p>
    </w:sdtContent>
  </w:sdt>
  <w:p w14:paraId="2A5FF622" w14:textId="77777777" w:rsidR="008A7DC2" w:rsidRDefault="008A7DC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B5FC" w14:textId="77777777" w:rsidR="008A7DC2" w:rsidRDefault="008A7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0B6DD" w14:textId="77777777" w:rsidR="00AB4F91" w:rsidRDefault="00AB4F91" w:rsidP="009F7149">
      <w:r>
        <w:separator/>
      </w:r>
    </w:p>
  </w:footnote>
  <w:footnote w:type="continuationSeparator" w:id="0">
    <w:p w14:paraId="58808795" w14:textId="77777777" w:rsidR="00AB4F91" w:rsidRDefault="00AB4F91" w:rsidP="009F7149">
      <w:r>
        <w:continuationSeparator/>
      </w:r>
    </w:p>
  </w:footnote>
  <w:footnote w:id="1">
    <w:p w14:paraId="6A580EEE" w14:textId="77777777"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ANO Cilvēktiesību komitejas Vispārējais komentārs Nr. 32, UN Doc. CCPR/C/GC/32 (2007. gada 23. augusts) </w:t>
      </w:r>
      <w:hyperlink r:id="rId1" w:history="1">
        <w:r w:rsidRPr="00327DAE">
          <w:rPr>
            <w:rStyle w:val="Hyperlink"/>
          </w:rPr>
          <w:t>https://tbinternet.ohchr.org/_layouts/treatybodyexternal/Download.aspx?symbolno=CCPR%2fC%2fGC%2f32&amp;Lang=en</w:t>
        </w:r>
      </w:hyperlink>
      <w:r w:rsidRPr="00327DAE">
        <w:t xml:space="preserve"> 19.-20. paragrāfi; </w:t>
      </w:r>
      <w:proofErr w:type="spellStart"/>
      <w:r w:rsidRPr="00327DAE">
        <w:rPr>
          <w:i/>
        </w:rPr>
        <w:t>Baka</w:t>
      </w:r>
      <w:proofErr w:type="spellEnd"/>
      <w:r w:rsidRPr="00327DAE">
        <w:rPr>
          <w:i/>
        </w:rPr>
        <w:t xml:space="preserve"> pret Ungāriju, </w:t>
      </w:r>
      <w:proofErr w:type="spellStart"/>
      <w:r w:rsidRPr="00327DAE">
        <w:t>Piet</w:t>
      </w:r>
      <w:proofErr w:type="spellEnd"/>
      <w:r w:rsidRPr="00327DAE">
        <w:t>. nr. 20261/12 [GC] ECT Ziņojumi 2016 72.-</w:t>
      </w:r>
      <w:proofErr w:type="gramStart"/>
      <w:r w:rsidRPr="00327DAE">
        <w:t>87. paragrāfi (dokumentu kopsavilkums)</w:t>
      </w:r>
      <w:proofErr w:type="gramEnd"/>
      <w:r w:rsidRPr="00327DAE">
        <w:t>, 121. paragrāfs.</w:t>
      </w:r>
    </w:p>
  </w:footnote>
  <w:footnote w:id="2">
    <w:p w14:paraId="4F41BC51" w14:textId="77777777"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w:t>
      </w:r>
      <w:hyperlink r:id="rId2" w:history="1">
        <w:r w:rsidRPr="00327DAE">
          <w:rPr>
            <w:rStyle w:val="Hyperlink"/>
          </w:rPr>
          <w:t>https://en.wikipedia.org/wiki/Enemies_of_the_People_(headline)</w:t>
        </w:r>
      </w:hyperlink>
      <w:r w:rsidRPr="00327DAE">
        <w:t xml:space="preserve">. </w:t>
      </w:r>
    </w:p>
  </w:footnote>
  <w:footnote w:id="3">
    <w:p w14:paraId="27E252EF" w14:textId="77777777"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Līdzīgi kā </w:t>
      </w:r>
      <w:r>
        <w:t xml:space="preserve">spriedums, ko kritizēja </w:t>
      </w:r>
      <w:r w:rsidRPr="00327DAE">
        <w:t>iepriekšējā vērē citēta</w:t>
      </w:r>
      <w:r>
        <w:t>is</w:t>
      </w:r>
      <w:r w:rsidRPr="00327DAE">
        <w:t xml:space="preserve"> plašsaziņas līdzekl</w:t>
      </w:r>
      <w:r>
        <w:t>is,</w:t>
      </w:r>
      <w:r w:rsidRPr="00327DAE">
        <w:t xml:space="preserve"> tika apstiprināts Anglijas Augstākajā tiesā, </w:t>
      </w:r>
      <w:r w:rsidRPr="00327DAE">
        <w:rPr>
          <w:i/>
        </w:rPr>
        <w:t>R (</w:t>
      </w:r>
      <w:proofErr w:type="spellStart"/>
      <w:r w:rsidRPr="00327DAE">
        <w:rPr>
          <w:i/>
        </w:rPr>
        <w:t>on</w:t>
      </w:r>
      <w:proofErr w:type="spellEnd"/>
      <w:r w:rsidRPr="00327DAE">
        <w:rPr>
          <w:i/>
        </w:rPr>
        <w:t xml:space="preserve"> </w:t>
      </w:r>
      <w:proofErr w:type="spellStart"/>
      <w:r w:rsidRPr="00327DAE">
        <w:rPr>
          <w:i/>
        </w:rPr>
        <w:t>the</w:t>
      </w:r>
      <w:proofErr w:type="spellEnd"/>
      <w:r w:rsidRPr="00327DAE">
        <w:rPr>
          <w:i/>
        </w:rPr>
        <w:t xml:space="preserve"> </w:t>
      </w:r>
      <w:proofErr w:type="spellStart"/>
      <w:r w:rsidRPr="00327DAE">
        <w:rPr>
          <w:i/>
        </w:rPr>
        <w:t>Application</w:t>
      </w:r>
      <w:proofErr w:type="spellEnd"/>
      <w:r w:rsidRPr="00327DAE">
        <w:rPr>
          <w:i/>
        </w:rPr>
        <w:t xml:space="preserve"> </w:t>
      </w:r>
      <w:proofErr w:type="spellStart"/>
      <w:r w:rsidRPr="00327DAE">
        <w:rPr>
          <w:i/>
        </w:rPr>
        <w:t>of</w:t>
      </w:r>
      <w:proofErr w:type="spellEnd"/>
      <w:r w:rsidRPr="00327DAE">
        <w:rPr>
          <w:i/>
        </w:rPr>
        <w:t xml:space="preserve"> Miller </w:t>
      </w:r>
      <w:proofErr w:type="spellStart"/>
      <w:r w:rsidRPr="00327DAE">
        <w:rPr>
          <w:i/>
        </w:rPr>
        <w:t>and</w:t>
      </w:r>
      <w:proofErr w:type="spellEnd"/>
      <w:r w:rsidRPr="00327DAE">
        <w:rPr>
          <w:i/>
        </w:rPr>
        <w:t xml:space="preserve"> </w:t>
      </w:r>
      <w:proofErr w:type="spellStart"/>
      <w:r w:rsidRPr="00327DAE">
        <w:rPr>
          <w:i/>
        </w:rPr>
        <w:t>another</w:t>
      </w:r>
      <w:proofErr w:type="spellEnd"/>
      <w:r w:rsidRPr="00327DAE">
        <w:rPr>
          <w:i/>
        </w:rPr>
        <w:t xml:space="preserve">) v </w:t>
      </w:r>
      <w:proofErr w:type="spellStart"/>
      <w:r w:rsidRPr="00327DAE">
        <w:rPr>
          <w:i/>
        </w:rPr>
        <w:t>Secretary</w:t>
      </w:r>
      <w:proofErr w:type="spellEnd"/>
      <w:r w:rsidRPr="00327DAE">
        <w:rPr>
          <w:i/>
        </w:rPr>
        <w:t xml:space="preserve"> </w:t>
      </w:r>
      <w:proofErr w:type="spellStart"/>
      <w:r w:rsidRPr="00327DAE">
        <w:rPr>
          <w:i/>
        </w:rPr>
        <w:t>of</w:t>
      </w:r>
      <w:proofErr w:type="spellEnd"/>
      <w:r w:rsidRPr="00327DAE">
        <w:rPr>
          <w:i/>
        </w:rPr>
        <w:t xml:space="preserve"> </w:t>
      </w:r>
      <w:proofErr w:type="spellStart"/>
      <w:r w:rsidRPr="00327DAE">
        <w:rPr>
          <w:i/>
        </w:rPr>
        <w:t>State</w:t>
      </w:r>
      <w:proofErr w:type="spellEnd"/>
      <w:r w:rsidRPr="00327DAE">
        <w:rPr>
          <w:i/>
        </w:rPr>
        <w:t xml:space="preserve"> </w:t>
      </w:r>
      <w:proofErr w:type="spellStart"/>
      <w:r w:rsidRPr="00327DAE">
        <w:rPr>
          <w:i/>
        </w:rPr>
        <w:t>for</w:t>
      </w:r>
      <w:proofErr w:type="spellEnd"/>
      <w:r w:rsidRPr="00327DAE">
        <w:rPr>
          <w:i/>
        </w:rPr>
        <w:t xml:space="preserve"> </w:t>
      </w:r>
      <w:proofErr w:type="spellStart"/>
      <w:r w:rsidRPr="00327DAE">
        <w:rPr>
          <w:i/>
        </w:rPr>
        <w:t>Exiting</w:t>
      </w:r>
      <w:proofErr w:type="spellEnd"/>
      <w:r w:rsidRPr="00327DAE">
        <w:rPr>
          <w:i/>
        </w:rPr>
        <w:t xml:space="preserve"> </w:t>
      </w:r>
      <w:proofErr w:type="spellStart"/>
      <w:r w:rsidRPr="00327DAE">
        <w:rPr>
          <w:i/>
        </w:rPr>
        <w:t>the</w:t>
      </w:r>
      <w:proofErr w:type="spellEnd"/>
      <w:r w:rsidRPr="00327DAE">
        <w:rPr>
          <w:i/>
        </w:rPr>
        <w:t xml:space="preserve"> EU </w:t>
      </w:r>
      <w:r w:rsidRPr="00327DAE">
        <w:t xml:space="preserve">[2017] UKSC 5 </w:t>
      </w:r>
      <w:hyperlink r:id="rId3" w:history="1">
        <w:r w:rsidRPr="00327DAE">
          <w:rPr>
            <w:rStyle w:val="Hyperlink"/>
          </w:rPr>
          <w:t>https://www.supremecourt.uk/cases/docs/uksc-2016-0196-judgment.pdf</w:t>
        </w:r>
      </w:hyperlink>
      <w:r w:rsidRPr="00327DAE">
        <w:t xml:space="preserve">.  </w:t>
      </w:r>
    </w:p>
  </w:footnote>
  <w:footnote w:id="4">
    <w:p w14:paraId="309456B1" w14:textId="77777777"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J Raz, ‘Respect for Law’ in J Raz, </w:t>
      </w:r>
      <w:r w:rsidRPr="00327DAE">
        <w:rPr>
          <w:i/>
          <w:lang w:val="en-GB"/>
        </w:rPr>
        <w:t xml:space="preserve">The Authority of Law: Essays on Law and Morality </w:t>
      </w:r>
      <w:r w:rsidRPr="00327DAE">
        <w:rPr>
          <w:lang w:val="en-GB"/>
        </w:rPr>
        <w:t xml:space="preserve">(OUP 1979). </w:t>
      </w:r>
    </w:p>
  </w:footnote>
  <w:footnote w:id="5">
    <w:p w14:paraId="45CEA329" w14:textId="77777777"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w:t>
      </w:r>
      <w:hyperlink r:id="rId4" w:history="1">
        <w:r w:rsidRPr="00327DAE">
          <w:rPr>
            <w:rStyle w:val="Hyperlink"/>
            <w:lang w:val="en-GB"/>
          </w:rPr>
          <w:t>http://www.uncitral.org/uncitral/en/commission/working_groups/3Investor_State.html</w:t>
        </w:r>
      </w:hyperlink>
      <w:r w:rsidRPr="00327DAE">
        <w:rPr>
          <w:lang w:val="en-GB"/>
        </w:rPr>
        <w:t xml:space="preserve">; </w:t>
      </w:r>
      <w:hyperlink r:id="rId5" w:history="1">
        <w:r w:rsidRPr="00327DAE">
          <w:rPr>
            <w:rStyle w:val="Hyperlink"/>
            <w:lang w:val="en-GB"/>
          </w:rPr>
          <w:t>https://www.cids.ch/academic-forum</w:t>
        </w:r>
      </w:hyperlink>
      <w:r w:rsidRPr="00327DAE">
        <w:rPr>
          <w:lang w:val="en-GB"/>
        </w:rPr>
        <w:t xml:space="preserve">.  </w:t>
      </w:r>
    </w:p>
  </w:footnote>
  <w:footnote w:id="6">
    <w:p w14:paraId="23563416" w14:textId="77777777"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w:t>
      </w:r>
      <w:r w:rsidRPr="00327DAE">
        <w:t xml:space="preserve">T </w:t>
      </w:r>
      <w:proofErr w:type="spellStart"/>
      <w:r w:rsidRPr="00327DAE">
        <w:t>Franck</w:t>
      </w:r>
      <w:proofErr w:type="spellEnd"/>
      <w:r w:rsidRPr="00327DAE">
        <w:t xml:space="preserve">, </w:t>
      </w:r>
      <w:proofErr w:type="spellStart"/>
      <w:r w:rsidRPr="00327DAE">
        <w:rPr>
          <w:i/>
        </w:rPr>
        <w:t>The</w:t>
      </w:r>
      <w:proofErr w:type="spellEnd"/>
      <w:r w:rsidRPr="00327DAE">
        <w:rPr>
          <w:i/>
        </w:rPr>
        <w:t xml:space="preserve"> </w:t>
      </w:r>
      <w:proofErr w:type="spellStart"/>
      <w:r w:rsidRPr="00327DAE">
        <w:rPr>
          <w:i/>
        </w:rPr>
        <w:t>Power</w:t>
      </w:r>
      <w:proofErr w:type="spellEnd"/>
      <w:r w:rsidRPr="00327DAE">
        <w:rPr>
          <w:i/>
        </w:rPr>
        <w:t xml:space="preserve"> </w:t>
      </w:r>
      <w:proofErr w:type="spellStart"/>
      <w:r w:rsidRPr="00327DAE">
        <w:rPr>
          <w:i/>
        </w:rPr>
        <w:t>of</w:t>
      </w:r>
      <w:proofErr w:type="spellEnd"/>
      <w:r w:rsidRPr="00327DAE">
        <w:rPr>
          <w:i/>
        </w:rPr>
        <w:t xml:space="preserve"> </w:t>
      </w:r>
      <w:proofErr w:type="spellStart"/>
      <w:r w:rsidRPr="00327DAE">
        <w:rPr>
          <w:i/>
        </w:rPr>
        <w:t>Legitimacy</w:t>
      </w:r>
      <w:proofErr w:type="spellEnd"/>
      <w:r w:rsidRPr="00327DAE">
        <w:rPr>
          <w:i/>
        </w:rPr>
        <w:t xml:space="preserve"> </w:t>
      </w:r>
      <w:proofErr w:type="spellStart"/>
      <w:r w:rsidRPr="00327DAE">
        <w:rPr>
          <w:i/>
        </w:rPr>
        <w:t>among</w:t>
      </w:r>
      <w:proofErr w:type="spellEnd"/>
      <w:r w:rsidRPr="00327DAE">
        <w:rPr>
          <w:i/>
        </w:rPr>
        <w:t xml:space="preserve"> </w:t>
      </w:r>
      <w:proofErr w:type="spellStart"/>
      <w:r w:rsidRPr="00327DAE">
        <w:rPr>
          <w:i/>
        </w:rPr>
        <w:t>Nations</w:t>
      </w:r>
      <w:proofErr w:type="spellEnd"/>
      <w:r w:rsidRPr="00327DAE">
        <w:rPr>
          <w:i/>
        </w:rPr>
        <w:t xml:space="preserve"> </w:t>
      </w:r>
      <w:r w:rsidRPr="00327DAE">
        <w:t xml:space="preserve">(OUP 1990). </w:t>
      </w:r>
    </w:p>
  </w:footnote>
  <w:footnote w:id="7">
    <w:p w14:paraId="24D7155F" w14:textId="77777777" w:rsidR="008A7DC2" w:rsidRPr="00327DAE" w:rsidRDefault="008A7DC2" w:rsidP="00902141">
      <w:pPr>
        <w:pStyle w:val="FootnoteText"/>
        <w:tabs>
          <w:tab w:val="left" w:pos="8364"/>
          <w:tab w:val="left" w:pos="8505"/>
          <w:tab w:val="left" w:pos="8789"/>
        </w:tabs>
        <w:ind w:right="-483"/>
      </w:pPr>
      <w:r w:rsidRPr="00327DAE">
        <w:rPr>
          <w:rStyle w:val="FootnoteReference"/>
        </w:rPr>
        <w:footnoteRef/>
      </w:r>
      <w:r w:rsidRPr="00327DAE">
        <w:t xml:space="preserve"> Sprance I. Tiesneši pret likumu, </w:t>
      </w:r>
      <w:r w:rsidRPr="00327DAE">
        <w:rPr>
          <w:i/>
        </w:rPr>
        <w:t>Ir</w:t>
      </w:r>
      <w:r w:rsidRPr="00327DAE">
        <w:t>, 22.11.2017.</w:t>
      </w:r>
    </w:p>
  </w:footnote>
  <w:footnote w:id="8">
    <w:p w14:paraId="6A5BAE82" w14:textId="77777777" w:rsidR="008A7DC2" w:rsidRPr="00327DAE" w:rsidRDefault="008A7DC2" w:rsidP="00902141">
      <w:pPr>
        <w:pStyle w:val="FootnoteText"/>
        <w:tabs>
          <w:tab w:val="left" w:pos="8364"/>
          <w:tab w:val="left" w:pos="8505"/>
          <w:tab w:val="left" w:pos="8789"/>
        </w:tabs>
        <w:ind w:right="-483"/>
      </w:pPr>
      <w:r w:rsidRPr="00327DAE">
        <w:rPr>
          <w:rStyle w:val="FootnoteReference"/>
        </w:rPr>
        <w:footnoteRef/>
      </w:r>
      <w:r w:rsidRPr="00327DAE">
        <w:t xml:space="preserve"> Sprance I. </w:t>
      </w:r>
      <w:proofErr w:type="spellStart"/>
      <w:r w:rsidRPr="00327DAE">
        <w:t>Shēmotāju</w:t>
      </w:r>
      <w:proofErr w:type="spellEnd"/>
      <w:r w:rsidRPr="00327DAE">
        <w:t xml:space="preserve"> </w:t>
      </w:r>
      <w:proofErr w:type="spellStart"/>
      <w:r w:rsidRPr="00327DAE">
        <w:t>glābējeņģeļi</w:t>
      </w:r>
      <w:proofErr w:type="spellEnd"/>
      <w:r w:rsidRPr="00327DAE">
        <w:t xml:space="preserve">, </w:t>
      </w:r>
      <w:r w:rsidRPr="00327DAE">
        <w:rPr>
          <w:i/>
        </w:rPr>
        <w:t>Ir</w:t>
      </w:r>
      <w:r w:rsidRPr="00327DAE">
        <w:t>, 29.11.2017.</w:t>
      </w:r>
    </w:p>
  </w:footnote>
  <w:footnote w:id="9">
    <w:p w14:paraId="143E1ED9" w14:textId="186CC010" w:rsidR="008A7DC2" w:rsidRPr="00327DAE" w:rsidRDefault="008A7DC2" w:rsidP="00902141">
      <w:pPr>
        <w:tabs>
          <w:tab w:val="left" w:pos="8222"/>
          <w:tab w:val="left" w:pos="8364"/>
          <w:tab w:val="left" w:pos="8789"/>
        </w:tabs>
        <w:ind w:right="90"/>
        <w:rPr>
          <w:color w:val="000000"/>
        </w:rPr>
      </w:pPr>
      <w:r w:rsidRPr="00327DAE">
        <w:rPr>
          <w:rStyle w:val="FootnoteReference"/>
        </w:rPr>
        <w:footnoteRef/>
      </w:r>
      <w:r w:rsidRPr="00327DAE">
        <w:t xml:space="preserve"> </w:t>
      </w:r>
      <w:r>
        <w:t xml:space="preserve">Šeit un tālāk citāti no publikācijām. </w:t>
      </w:r>
      <w:r w:rsidRPr="00327DAE">
        <w:t>“</w:t>
      </w:r>
      <w:r w:rsidRPr="00327DAE">
        <w:rPr>
          <w:i/>
          <w:color w:val="000000"/>
        </w:rPr>
        <w:t xml:space="preserve">Starp </w:t>
      </w:r>
      <w:r w:rsidRPr="00327DAE">
        <w:t>“</w:t>
      </w:r>
      <w:r w:rsidRPr="00327DAE">
        <w:rPr>
          <w:i/>
          <w:color w:val="000000"/>
        </w:rPr>
        <w:t>ceļotājiem</w:t>
      </w:r>
      <w:r>
        <w:rPr>
          <w:i/>
          <w:color w:val="000000"/>
        </w:rPr>
        <w:t>”</w:t>
      </w:r>
      <w:r w:rsidRPr="00327DAE">
        <w:rPr>
          <w:i/>
          <w:color w:val="000000"/>
        </w:rPr>
        <w:t xml:space="preserve"> </w:t>
      </w:r>
      <w:r>
        <w:rPr>
          <w:i/>
          <w:color w:val="000000"/>
        </w:rPr>
        <w:t>“</w:t>
      </w:r>
      <w:r w:rsidRPr="00327DAE">
        <w:rPr>
          <w:i/>
          <w:color w:val="000000"/>
        </w:rPr>
        <w:t>Ir</w:t>
      </w:r>
      <w:r>
        <w:rPr>
          <w:i/>
          <w:color w:val="000000"/>
        </w:rPr>
        <w:t>”</w:t>
      </w:r>
      <w:r w:rsidRPr="00327DAE">
        <w:rPr>
          <w:i/>
          <w:color w:val="000000"/>
        </w:rPr>
        <w:t xml:space="preserve"> izdevās atrast pavisam astoņus šādus uzņēmumus, lielākais no tiem — firma </w:t>
      </w:r>
      <w:r>
        <w:rPr>
          <w:i/>
          <w:color w:val="000000"/>
        </w:rPr>
        <w:t>“</w:t>
      </w:r>
      <w:r w:rsidRPr="00327DAE">
        <w:rPr>
          <w:i/>
          <w:color w:val="000000"/>
        </w:rPr>
        <w:t>Dzimtā sēta</w:t>
      </w:r>
      <w:r>
        <w:rPr>
          <w:i/>
          <w:color w:val="000000"/>
        </w:rPr>
        <w:t>”</w:t>
      </w:r>
      <w:r w:rsidRPr="00327DAE">
        <w:rPr>
          <w:i/>
          <w:color w:val="000000"/>
        </w:rPr>
        <w:t xml:space="preserve">, kuru </w:t>
      </w:r>
      <w:r>
        <w:rPr>
          <w:i/>
          <w:color w:val="000000"/>
        </w:rPr>
        <w:t>“</w:t>
      </w:r>
      <w:r w:rsidRPr="00327DAE">
        <w:rPr>
          <w:i/>
          <w:color w:val="000000"/>
        </w:rPr>
        <w:t>Ir</w:t>
      </w:r>
      <w:r>
        <w:rPr>
          <w:i/>
          <w:color w:val="000000"/>
        </w:rPr>
        <w:t>”</w:t>
      </w:r>
      <w:r w:rsidRPr="00327DAE">
        <w:rPr>
          <w:i/>
          <w:color w:val="000000"/>
        </w:rPr>
        <w:t xml:space="preserve"> jau agrāk pētīja saistībā ar administratora Sprūda iespējamiem likumpārkāpumiem. Arī </w:t>
      </w:r>
      <w:r>
        <w:rPr>
          <w:i/>
          <w:color w:val="000000"/>
        </w:rPr>
        <w:t>“</w:t>
      </w:r>
      <w:r w:rsidRPr="00327DAE">
        <w:rPr>
          <w:i/>
          <w:color w:val="000000"/>
        </w:rPr>
        <w:t>Dzimtā sēta</w:t>
      </w:r>
      <w:r>
        <w:rPr>
          <w:i/>
          <w:color w:val="000000"/>
        </w:rPr>
        <w:t>”</w:t>
      </w:r>
      <w:r w:rsidRPr="00327DAE">
        <w:rPr>
          <w:i/>
          <w:color w:val="000000"/>
        </w:rPr>
        <w:t xml:space="preserve"> bija vērtīgi aktīvi, bet kreditoru prasījumi pārsniedza 70 miljonus eiro, un arī šajā lietā tiesnesim Bulam gadījās likumpārkāpums</w:t>
      </w:r>
      <w:r w:rsidRPr="00327DAE">
        <w:rPr>
          <w:color w:val="000000"/>
        </w:rPr>
        <w:t>.”</w:t>
      </w:r>
    </w:p>
  </w:footnote>
  <w:footnote w:id="10">
    <w:p w14:paraId="2E322C19" w14:textId="3487CC98"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Piemēram, lielāko ceļojušo uzņēmumu ķēdi veido vieniem īpašniekiem piederošais </w:t>
      </w:r>
      <w:r>
        <w:rPr>
          <w:i/>
          <w:color w:val="000000"/>
        </w:rPr>
        <w:t>“</w:t>
      </w:r>
      <w:r w:rsidRPr="00327DAE">
        <w:rPr>
          <w:i/>
          <w:color w:val="000000"/>
        </w:rPr>
        <w:t>Valdemāra parks</w:t>
      </w:r>
      <w:r>
        <w:rPr>
          <w:i/>
          <w:color w:val="000000"/>
        </w:rPr>
        <w:t>”</w:t>
      </w:r>
      <w:r w:rsidRPr="00327DAE">
        <w:rPr>
          <w:i/>
          <w:color w:val="000000"/>
        </w:rPr>
        <w:t xml:space="preserve"> un </w:t>
      </w:r>
      <w:r>
        <w:rPr>
          <w:i/>
          <w:color w:val="000000"/>
        </w:rPr>
        <w:t>“</w:t>
      </w:r>
      <w:r w:rsidRPr="00327DAE">
        <w:rPr>
          <w:i/>
          <w:color w:val="000000"/>
        </w:rPr>
        <w:t>Doma investīcijas</w:t>
      </w:r>
      <w:r>
        <w:rPr>
          <w:i/>
          <w:color w:val="000000"/>
        </w:rPr>
        <w:t>”</w:t>
      </w:r>
      <w:r w:rsidRPr="00327DAE">
        <w:rPr>
          <w:i/>
          <w:color w:val="000000"/>
        </w:rPr>
        <w:t xml:space="preserve"> kopā arī vēl pieciem uzņēmumiem — tiem pieder vērtīgi nekustamie īpašumi Rīgas centrā, bet kopējās saistības pārsniedz 80 miljonus eiro. Šīs ķēdes maksātnespējas procesos Buls pamanījies pat trīs reizes pārkāpt likumu</w:t>
      </w:r>
      <w:r w:rsidRPr="00327DAE">
        <w:rPr>
          <w:color w:val="000000"/>
        </w:rPr>
        <w:t>.”</w:t>
      </w:r>
    </w:p>
  </w:footnote>
  <w:footnote w:id="11">
    <w:p w14:paraId="55D27693"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12">
    <w:p w14:paraId="061BC7C9" w14:textId="68E2D50A" w:rsidR="008A7DC2" w:rsidRPr="00327DAE" w:rsidRDefault="008A7DC2" w:rsidP="00902141">
      <w:pPr>
        <w:tabs>
          <w:tab w:val="left" w:pos="8222"/>
          <w:tab w:val="left" w:pos="8364"/>
          <w:tab w:val="left" w:pos="8505"/>
          <w:tab w:val="left" w:pos="8789"/>
        </w:tabs>
        <w:ind w:right="90"/>
        <w:rPr>
          <w:color w:val="000000"/>
        </w:rPr>
      </w:pPr>
      <w:r w:rsidRPr="00327DAE">
        <w:rPr>
          <w:rStyle w:val="FootnoteReference"/>
        </w:rPr>
        <w:footnoteRef/>
      </w:r>
      <w:r w:rsidRPr="00327DAE">
        <w:t xml:space="preserve"> “</w:t>
      </w:r>
      <w:r w:rsidRPr="00327DAE">
        <w:rPr>
          <w:i/>
          <w:color w:val="000000"/>
        </w:rPr>
        <w:t xml:space="preserve">Likumpārkāpums konstatēts arī divu citu radniecīgu </w:t>
      </w:r>
      <w:r w:rsidRPr="00327DAE">
        <w:t>“</w:t>
      </w:r>
      <w:r w:rsidRPr="00327DAE">
        <w:rPr>
          <w:i/>
          <w:color w:val="000000"/>
        </w:rPr>
        <w:t>ceļotāju</w:t>
      </w:r>
      <w:r w:rsidRPr="00327DAE">
        <w:rPr>
          <w:color w:val="000000"/>
        </w:rPr>
        <w:t>”</w:t>
      </w:r>
      <w:r w:rsidRPr="00327DAE">
        <w:rPr>
          <w:i/>
          <w:color w:val="000000"/>
        </w:rPr>
        <w:t xml:space="preserve"> — </w:t>
      </w:r>
      <w:r>
        <w:rPr>
          <w:i/>
          <w:color w:val="000000"/>
        </w:rPr>
        <w:t>“</w:t>
      </w:r>
      <w:r w:rsidRPr="00327DAE">
        <w:rPr>
          <w:i/>
          <w:color w:val="000000"/>
        </w:rPr>
        <w:t>Būvuzņēmum</w:t>
      </w:r>
      <w:r>
        <w:rPr>
          <w:i/>
          <w:color w:val="000000"/>
        </w:rPr>
        <w:t>s</w:t>
      </w:r>
      <w:r w:rsidRPr="00327DAE">
        <w:rPr>
          <w:i/>
          <w:color w:val="000000"/>
        </w:rPr>
        <w:t xml:space="preserve"> STATS</w:t>
      </w:r>
      <w:r>
        <w:rPr>
          <w:i/>
          <w:color w:val="000000"/>
        </w:rPr>
        <w:t>”</w:t>
      </w:r>
      <w:r w:rsidRPr="00327DAE">
        <w:rPr>
          <w:i/>
          <w:color w:val="000000"/>
        </w:rPr>
        <w:t xml:space="preserve"> un </w:t>
      </w:r>
      <w:r>
        <w:rPr>
          <w:i/>
          <w:color w:val="000000"/>
        </w:rPr>
        <w:t>“</w:t>
      </w:r>
      <w:proofErr w:type="spellStart"/>
      <w:r w:rsidRPr="00327DAE">
        <w:rPr>
          <w:i/>
          <w:color w:val="000000"/>
        </w:rPr>
        <w:t>Forburga</w:t>
      </w:r>
      <w:proofErr w:type="spellEnd"/>
      <w:r>
        <w:rPr>
          <w:i/>
          <w:color w:val="000000"/>
        </w:rPr>
        <w:t>”</w:t>
      </w:r>
      <w:r w:rsidRPr="00327DAE">
        <w:rPr>
          <w:i/>
          <w:color w:val="000000"/>
        </w:rPr>
        <w:t xml:space="preserve"> — procesos. Buls apstiprināja likumam </w:t>
      </w:r>
      <w:proofErr w:type="gramStart"/>
      <w:r w:rsidRPr="00327DAE">
        <w:rPr>
          <w:i/>
          <w:color w:val="000000"/>
        </w:rPr>
        <w:t>neatbilstošu STATS</w:t>
      </w:r>
      <w:proofErr w:type="gramEnd"/>
      <w:r w:rsidRPr="00327DAE">
        <w:rPr>
          <w:i/>
          <w:color w:val="000000"/>
        </w:rPr>
        <w:t xml:space="preserve"> tiesiskās aizsardzības procesu, kas paredzēja par 90</w:t>
      </w:r>
      <w:r>
        <w:rPr>
          <w:i/>
          <w:color w:val="000000"/>
        </w:rPr>
        <w:t> </w:t>
      </w:r>
      <w:r w:rsidRPr="00327DAE">
        <w:rPr>
          <w:i/>
          <w:color w:val="000000"/>
        </w:rPr>
        <w:t>% samazināt vairāk nekā sešus miljonus eiro lielos nenodrošināto kreditoru prasījumus, kamēr nodrošināto kreditoru prasības gandrīz 14 miljonu apmērā tiktu pildītas pilnībā</w:t>
      </w:r>
      <w:r w:rsidRPr="00327DAE">
        <w:rPr>
          <w:color w:val="000000"/>
        </w:rPr>
        <w:t>.”</w:t>
      </w:r>
    </w:p>
  </w:footnote>
  <w:footnote w:id="13">
    <w:p w14:paraId="72CC3073"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proofErr w:type="spellStart"/>
      <w:r w:rsidRPr="00327DAE">
        <w:rPr>
          <w:i/>
          <w:color w:val="000000"/>
        </w:rPr>
        <w:t>Forburgas</w:t>
      </w:r>
      <w:proofErr w:type="spellEnd"/>
      <w:r w:rsidRPr="00327DAE">
        <w:rPr>
          <w:i/>
          <w:color w:val="000000"/>
        </w:rPr>
        <w:t xml:space="preserve"> procesā Buls apstiprināja plānu ar nepilnīgu un pretrunīgu informāciju. Piemēram, uzņēmuma bilancē kopējās saistības pret kreditoriem norādītas gandrīz 14 miljonu eiro apmērā, bet plānā — tikai divi miljoni eiro</w:t>
      </w:r>
      <w:r w:rsidRPr="00327DAE">
        <w:rPr>
          <w:color w:val="000000"/>
        </w:rPr>
        <w:t>.”</w:t>
      </w:r>
    </w:p>
  </w:footnote>
  <w:footnote w:id="14">
    <w:p w14:paraId="1E6BA217"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Līdzīgi pēc protesta AT atcēla vēl vienu privātās maksātnespējas procesu — Buls bija apstiprinājis maksātnespēju personai ar 5,6 miljonu eiro parādsaistībām, lai gan aptuveni gadu pirms maksātnespējas parādnieks bija atsavinājis sešus sev piederošus īpašumus un tiesai nebija ziņu par šīs naudas izlietojumu</w:t>
      </w:r>
      <w:r w:rsidRPr="00327DAE">
        <w:rPr>
          <w:color w:val="000000"/>
        </w:rPr>
        <w:t>.”</w:t>
      </w:r>
    </w:p>
  </w:footnote>
  <w:footnote w:id="15">
    <w:p w14:paraId="22361F01"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Piemēram, īsts </w:t>
      </w:r>
      <w:proofErr w:type="spellStart"/>
      <w:r w:rsidRPr="00327DAE">
        <w:rPr>
          <w:i/>
          <w:color w:val="000000"/>
        </w:rPr>
        <w:t>glābējtiesnesis</w:t>
      </w:r>
      <w:proofErr w:type="spellEnd"/>
      <w:r w:rsidRPr="00327DAE">
        <w:rPr>
          <w:i/>
          <w:color w:val="000000"/>
        </w:rPr>
        <w:t xml:space="preserve"> Buls izrādījās kādam nekustamo īpašumu uzņēmējam ar 2,9 miljonu eiro parādsaistībām. Uzņēmējs nepilnu pusotru gadu pirms maksātnespējas bija pamatīgi iepriecinājis biznesa partnera sievasmāti, dienu pirms Ziemassvētkiem uzdāvinot viņai nekustamo īpašumu Berģos. Šī un citu iemeslu dēļ trīs tiesneši dažādās tiesās viņa maksātnespējas pieteikumus nepieņēma, jo atbilstoši likumam šāda īpašumu atsavināšana ir šķērslis maksātnespējas pieteikšanai. Tā lēma Rīgas Ziemeļu rajona tiesā, Cēsu rajona tiesā un atkal Ziemeļu rajona tiesā. Taču pie Bula uzņēmējam beidzot</w:t>
      </w:r>
      <w:r w:rsidRPr="00327DAE">
        <w:rPr>
          <w:color w:val="000000"/>
        </w:rPr>
        <w:t xml:space="preserve"> </w:t>
      </w:r>
      <w:r w:rsidRPr="00327DAE">
        <w:rPr>
          <w:i/>
          <w:color w:val="000000"/>
        </w:rPr>
        <w:t>uzsmaidīja veiksme — tiesnesis apstiprināja šo maksātnespējas procesu, neraugoties uz nodrošināto kreditoru sniegtajām ziņām par uzņēmēja neatbilstību</w:t>
      </w:r>
      <w:r w:rsidRPr="00327DAE">
        <w:rPr>
          <w:color w:val="000000"/>
        </w:rPr>
        <w:t>.”</w:t>
      </w:r>
    </w:p>
  </w:footnote>
  <w:footnote w:id="16">
    <w:p w14:paraId="11502A41" w14:textId="51B0EE68"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Tajā skaitā publiski pieminēti vēl divi uzņēmumi, kas bija nonākuši pie tiesneša Bula — </w:t>
      </w:r>
      <w:r>
        <w:rPr>
          <w:i/>
          <w:color w:val="000000"/>
        </w:rPr>
        <w:t>“</w:t>
      </w:r>
      <w:r w:rsidRPr="00327DAE">
        <w:rPr>
          <w:i/>
          <w:color w:val="000000"/>
        </w:rPr>
        <w:t xml:space="preserve">Troja </w:t>
      </w:r>
      <w:proofErr w:type="spellStart"/>
      <w:r w:rsidRPr="00327DAE">
        <w:rPr>
          <w:i/>
          <w:color w:val="000000"/>
        </w:rPr>
        <w:t>Immobilien</w:t>
      </w:r>
      <w:proofErr w:type="spellEnd"/>
      <w:r>
        <w:rPr>
          <w:i/>
          <w:color w:val="000000"/>
        </w:rPr>
        <w:t>”</w:t>
      </w:r>
      <w:r w:rsidRPr="00327DAE">
        <w:rPr>
          <w:i/>
          <w:color w:val="000000"/>
        </w:rPr>
        <w:t xml:space="preserve"> un </w:t>
      </w:r>
      <w:r>
        <w:rPr>
          <w:i/>
          <w:color w:val="000000"/>
        </w:rPr>
        <w:t>“</w:t>
      </w:r>
      <w:r w:rsidRPr="00327DAE">
        <w:rPr>
          <w:i/>
          <w:color w:val="000000"/>
        </w:rPr>
        <w:t>Ceturtā planēta</w:t>
      </w:r>
      <w:r>
        <w:rPr>
          <w:i/>
          <w:color w:val="000000"/>
        </w:rPr>
        <w:t>”</w:t>
      </w:r>
      <w:r w:rsidRPr="00327DAE">
        <w:rPr>
          <w:i/>
          <w:color w:val="000000"/>
        </w:rPr>
        <w:t xml:space="preserve">. Stāsta būtība — administrators neatzina </w:t>
      </w:r>
      <w:r>
        <w:rPr>
          <w:i/>
          <w:color w:val="000000"/>
        </w:rPr>
        <w:t>“</w:t>
      </w:r>
      <w:proofErr w:type="spellStart"/>
      <w:r w:rsidRPr="00327DAE">
        <w:rPr>
          <w:i/>
          <w:color w:val="000000"/>
        </w:rPr>
        <w:t>Danske</w:t>
      </w:r>
      <w:proofErr w:type="spellEnd"/>
      <w:r w:rsidRPr="00327DAE">
        <w:rPr>
          <w:i/>
          <w:color w:val="000000"/>
        </w:rPr>
        <w:t xml:space="preserve"> </w:t>
      </w:r>
      <w:proofErr w:type="spellStart"/>
      <w:r>
        <w:rPr>
          <w:i/>
          <w:color w:val="000000"/>
        </w:rPr>
        <w:t>B</w:t>
      </w:r>
      <w:r w:rsidRPr="00327DAE">
        <w:rPr>
          <w:i/>
          <w:color w:val="000000"/>
        </w:rPr>
        <w:t>ank</w:t>
      </w:r>
      <w:proofErr w:type="spellEnd"/>
      <w:r>
        <w:rPr>
          <w:i/>
          <w:color w:val="000000"/>
        </w:rPr>
        <w:t>”</w:t>
      </w:r>
      <w:r w:rsidRPr="00327DAE">
        <w:rPr>
          <w:i/>
          <w:color w:val="000000"/>
        </w:rPr>
        <w:t xml:space="preserve"> kreditora prasījumu 3,9 miljonu eiro apmērā, lai arī tas bija nodrošināts ar komercķīlu un vairākām hipotēkām</w:t>
      </w:r>
      <w:r w:rsidRPr="00327DAE">
        <w:rPr>
          <w:color w:val="000000"/>
        </w:rPr>
        <w:t>.”</w:t>
      </w:r>
    </w:p>
  </w:footnote>
  <w:footnote w:id="17">
    <w:p w14:paraId="4B71BEA1"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18">
    <w:p w14:paraId="65AAF71C" w14:textId="1777EE9F"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Bula apstiprinātie </w:t>
      </w:r>
      <w:proofErr w:type="spellStart"/>
      <w:r w:rsidRPr="00327DAE">
        <w:rPr>
          <w:i/>
          <w:color w:val="000000"/>
        </w:rPr>
        <w:t>ceļotājfirmu</w:t>
      </w:r>
      <w:proofErr w:type="spellEnd"/>
      <w:r w:rsidRPr="00327DAE">
        <w:rPr>
          <w:i/>
          <w:color w:val="000000"/>
        </w:rPr>
        <w:t xml:space="preserve"> </w:t>
      </w:r>
      <w:r>
        <w:rPr>
          <w:i/>
          <w:color w:val="000000"/>
        </w:rPr>
        <w:t>“</w:t>
      </w:r>
      <w:r w:rsidRPr="00327DAE">
        <w:rPr>
          <w:i/>
          <w:color w:val="000000"/>
        </w:rPr>
        <w:t xml:space="preserve">Arts </w:t>
      </w:r>
      <w:proofErr w:type="spellStart"/>
      <w:r w:rsidRPr="00327DAE">
        <w:rPr>
          <w:i/>
          <w:color w:val="000000"/>
        </w:rPr>
        <w:t>Plaza</w:t>
      </w:r>
      <w:proofErr w:type="spellEnd"/>
      <w:r>
        <w:rPr>
          <w:i/>
          <w:color w:val="000000"/>
        </w:rPr>
        <w:t>”</w:t>
      </w:r>
      <w:r w:rsidRPr="00327DAE">
        <w:rPr>
          <w:i/>
          <w:color w:val="000000"/>
        </w:rPr>
        <w:t xml:space="preserve"> un </w:t>
      </w:r>
      <w:r>
        <w:rPr>
          <w:i/>
          <w:color w:val="000000"/>
        </w:rPr>
        <w:t>“</w:t>
      </w:r>
      <w:r w:rsidRPr="00327DAE">
        <w:rPr>
          <w:i/>
          <w:color w:val="000000"/>
        </w:rPr>
        <w:t>Tērbatas biznesa centrs</w:t>
      </w:r>
      <w:r>
        <w:rPr>
          <w:i/>
          <w:color w:val="000000"/>
        </w:rPr>
        <w:t>”</w:t>
      </w:r>
      <w:r w:rsidRPr="00327DAE">
        <w:rPr>
          <w:i/>
          <w:color w:val="000000"/>
        </w:rPr>
        <w:t xml:space="preserve"> tiesiskās aizsardzības procesi raisa jautājumus par iespējamām shēmām</w:t>
      </w:r>
      <w:r w:rsidRPr="00327DAE">
        <w:rPr>
          <w:color w:val="000000"/>
        </w:rPr>
        <w:t>.”</w:t>
      </w:r>
    </w:p>
  </w:footnote>
  <w:footnote w:id="19">
    <w:p w14:paraId="6AD6D818" w14:textId="77777777"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20">
    <w:p w14:paraId="3EFC2E5B" w14:textId="71BDBAEA"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Krāšņs piemērs tiesneša darbam ir uzņēmuma </w:t>
      </w:r>
      <w:r>
        <w:rPr>
          <w:i/>
          <w:color w:val="000000"/>
        </w:rPr>
        <w:t>“</w:t>
      </w:r>
      <w:r w:rsidRPr="00327DAE">
        <w:rPr>
          <w:i/>
          <w:color w:val="000000"/>
        </w:rPr>
        <w:t>Ķeizarmežs</w:t>
      </w:r>
      <w:r>
        <w:rPr>
          <w:i/>
          <w:color w:val="000000"/>
        </w:rPr>
        <w:t>”</w:t>
      </w:r>
      <w:r w:rsidRPr="00327DAE">
        <w:rPr>
          <w:i/>
          <w:color w:val="000000"/>
        </w:rPr>
        <w:t xml:space="preserve"> maksātnespēja. Uzņēmums piedzīvoja nesekmīgus maksātnespējas un tiesiskās aizsardzības procesus Rīgas Ziemeļu rajona tiesā, taču tad nomainīja adresi un iesniedza jaunu pieteikumu Centra rajona tiesā, kur tolaik strādāja Dzenis. Tiesnesis to apstiprināja, neraugoties uz nodrošināto kreditoru — SEB bankas un Parex bankas — iebildumiem, ka plāns paredz ieķīlāto nekustamo īpašumu atsavināšanu pret kredītiestāžu gribu. Banku prasījumi kopumā pārsniedza 13 miljonus eiro</w:t>
      </w:r>
      <w:r w:rsidRPr="00327DAE">
        <w:rPr>
          <w:color w:val="000000"/>
        </w:rPr>
        <w:t>.”</w:t>
      </w:r>
    </w:p>
  </w:footnote>
  <w:footnote w:id="21">
    <w:p w14:paraId="6B8B22C9" w14:textId="58DD2F51"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Tiesnesis Dzenis izrādījās glābiņš arī uzņēmumam </w:t>
      </w:r>
      <w:r>
        <w:rPr>
          <w:i/>
          <w:color w:val="000000"/>
        </w:rPr>
        <w:t>“</w:t>
      </w:r>
      <w:proofErr w:type="spellStart"/>
      <w:r w:rsidRPr="00327DAE">
        <w:rPr>
          <w:i/>
          <w:color w:val="000000"/>
        </w:rPr>
        <w:t>Alkantra</w:t>
      </w:r>
      <w:proofErr w:type="spellEnd"/>
      <w:r>
        <w:rPr>
          <w:i/>
          <w:color w:val="000000"/>
        </w:rPr>
        <w:t>”</w:t>
      </w:r>
      <w:r w:rsidRPr="00327DAE">
        <w:rPr>
          <w:i/>
          <w:color w:val="000000"/>
        </w:rPr>
        <w:t>, kas piedzīvoja četrus nesekmīgus maksātnespējas un tiesiskās aizsardzības procesus Rīgas rajona tiesā, līdz mainīja adresi un pieteica tiesisko aizsardzību Centra rajona tiesā. Arī šī lieta nonāca pie Dzeņa</w:t>
      </w:r>
      <w:r w:rsidRPr="00327DAE">
        <w:rPr>
          <w:color w:val="000000"/>
        </w:rPr>
        <w:t>.”</w:t>
      </w:r>
    </w:p>
  </w:footnote>
  <w:footnote w:id="22">
    <w:p w14:paraId="47208080" w14:textId="4AF0B60E"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Vispirms 2010. gadā </w:t>
      </w:r>
      <w:proofErr w:type="spellStart"/>
      <w:r w:rsidRPr="00327DAE">
        <w:rPr>
          <w:i/>
          <w:color w:val="000000"/>
        </w:rPr>
        <w:t>Grebežniece</w:t>
      </w:r>
      <w:proofErr w:type="spellEnd"/>
      <w:r w:rsidRPr="00327DAE">
        <w:rPr>
          <w:i/>
          <w:color w:val="000000"/>
        </w:rPr>
        <w:t xml:space="preserve"> apstiprināja uzņēmuma </w:t>
      </w:r>
      <w:r>
        <w:rPr>
          <w:i/>
          <w:color w:val="000000"/>
        </w:rPr>
        <w:t>“</w:t>
      </w:r>
      <w:r w:rsidRPr="00327DAE">
        <w:rPr>
          <w:i/>
          <w:color w:val="000000"/>
        </w:rPr>
        <w:t>Jurta</w:t>
      </w:r>
      <w:r>
        <w:rPr>
          <w:i/>
          <w:color w:val="000000"/>
        </w:rPr>
        <w:t>”</w:t>
      </w:r>
      <w:r w:rsidRPr="00327DAE">
        <w:rPr>
          <w:i/>
          <w:color w:val="000000"/>
        </w:rPr>
        <w:t xml:space="preserve"> tiesisko aizsardzību un administratoru Bērziņu. Plāns paredzēja samazināt 716 tūkstošus eiro lielos nenodrošināto kreditoru prasījumus par 90</w:t>
      </w:r>
      <w:r>
        <w:rPr>
          <w:i/>
          <w:color w:val="000000"/>
        </w:rPr>
        <w:t> </w:t>
      </w:r>
      <w:r w:rsidRPr="00327DAE">
        <w:rPr>
          <w:i/>
          <w:color w:val="000000"/>
        </w:rPr>
        <w:t xml:space="preserve">%. Kad par šo lēmumu tika iesniegta sūdzība un AT Senāta rīcības komisijas sēdē tika nolemts protestu nodot izskatīšanai kasācijas instances tiesā, </w:t>
      </w:r>
      <w:proofErr w:type="spellStart"/>
      <w:r w:rsidRPr="00327DAE">
        <w:rPr>
          <w:i/>
          <w:color w:val="000000"/>
        </w:rPr>
        <w:t>Grebežniece</w:t>
      </w:r>
      <w:proofErr w:type="spellEnd"/>
      <w:r w:rsidRPr="00327DAE">
        <w:rPr>
          <w:i/>
          <w:color w:val="000000"/>
        </w:rPr>
        <w:t xml:space="preserve"> divās nedēļās pasludināja uzņēmuma maksātnespēju, tā izbeidzot tiesisko aizsardzību, kuras ierosināšanas likumību AT grasījās pārbaudīt</w:t>
      </w:r>
      <w:r w:rsidRPr="00327DAE">
        <w:rPr>
          <w:color w:val="000000"/>
        </w:rPr>
        <w:t>.”</w:t>
      </w:r>
    </w:p>
  </w:footnote>
  <w:footnote w:id="23">
    <w:p w14:paraId="44EE880A" w14:textId="03EEA516"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proofErr w:type="spellStart"/>
      <w:r w:rsidRPr="00327DAE">
        <w:rPr>
          <w:i/>
          <w:color w:val="000000"/>
        </w:rPr>
        <w:t>Grebežniece</w:t>
      </w:r>
      <w:proofErr w:type="spellEnd"/>
      <w:r w:rsidRPr="00327DAE">
        <w:rPr>
          <w:i/>
          <w:color w:val="000000"/>
        </w:rPr>
        <w:t xml:space="preserve"> pārkāpusi likumu, apstiprinot lauksaimnieku kooperatīva </w:t>
      </w:r>
      <w:r>
        <w:rPr>
          <w:i/>
          <w:color w:val="000000"/>
        </w:rPr>
        <w:t>“</w:t>
      </w:r>
      <w:r w:rsidRPr="00327DAE">
        <w:rPr>
          <w:i/>
          <w:color w:val="000000"/>
        </w:rPr>
        <w:t>Abra</w:t>
      </w:r>
      <w:r>
        <w:rPr>
          <w:i/>
          <w:color w:val="000000"/>
        </w:rPr>
        <w:t>”</w:t>
      </w:r>
      <w:r w:rsidRPr="00327DAE">
        <w:rPr>
          <w:i/>
          <w:color w:val="000000"/>
        </w:rPr>
        <w:t xml:space="preserve"> un zemnieku saimniecības </w:t>
      </w:r>
      <w:r>
        <w:rPr>
          <w:i/>
          <w:color w:val="000000"/>
        </w:rPr>
        <w:t>“</w:t>
      </w:r>
      <w:r w:rsidRPr="00327DAE">
        <w:rPr>
          <w:i/>
          <w:color w:val="000000"/>
        </w:rPr>
        <w:t>Veģi</w:t>
      </w:r>
      <w:r>
        <w:rPr>
          <w:i/>
          <w:color w:val="000000"/>
        </w:rPr>
        <w:t>”</w:t>
      </w:r>
      <w:r w:rsidRPr="00327DAE">
        <w:rPr>
          <w:i/>
          <w:color w:val="000000"/>
        </w:rPr>
        <w:t xml:space="preserve"> tiesiskās aizsardzības procesus. Abus šos procesus bija saskaņojusi </w:t>
      </w:r>
      <w:r>
        <w:rPr>
          <w:i/>
          <w:color w:val="000000"/>
        </w:rPr>
        <w:t>“</w:t>
      </w:r>
      <w:proofErr w:type="spellStart"/>
      <w:r w:rsidRPr="00327DAE">
        <w:rPr>
          <w:i/>
          <w:color w:val="000000"/>
        </w:rPr>
        <w:t>Swedbank</w:t>
      </w:r>
      <w:proofErr w:type="spellEnd"/>
      <w:r>
        <w:rPr>
          <w:i/>
          <w:color w:val="000000"/>
        </w:rPr>
        <w:t>”</w:t>
      </w:r>
      <w:r w:rsidRPr="00327DAE">
        <w:rPr>
          <w:i/>
          <w:color w:val="000000"/>
        </w:rPr>
        <w:t xml:space="preserve">, bet virkne citu kreditoru bija apieti. Piemēram, uzņēmuma </w:t>
      </w:r>
      <w:r>
        <w:rPr>
          <w:i/>
          <w:color w:val="000000"/>
        </w:rPr>
        <w:t>“</w:t>
      </w:r>
      <w:r w:rsidRPr="00327DAE">
        <w:rPr>
          <w:i/>
          <w:color w:val="000000"/>
        </w:rPr>
        <w:t>Abra</w:t>
      </w:r>
      <w:r>
        <w:rPr>
          <w:i/>
          <w:color w:val="000000"/>
        </w:rPr>
        <w:t>”</w:t>
      </w:r>
      <w:r w:rsidRPr="00327DAE">
        <w:rPr>
          <w:i/>
          <w:color w:val="000000"/>
        </w:rPr>
        <w:t xml:space="preserve"> gadījumā vienpusēji izslēgti kreditori, kuru</w:t>
      </w:r>
      <w:r w:rsidRPr="00327DAE">
        <w:rPr>
          <w:color w:val="000000"/>
        </w:rPr>
        <w:t xml:space="preserve"> </w:t>
      </w:r>
      <w:r w:rsidRPr="00327DAE">
        <w:rPr>
          <w:i/>
          <w:color w:val="000000"/>
        </w:rPr>
        <w:t>prasījuma summa veidoja 4,1 miljonu eiro, tā samazinot kreditoru skaitu, kuru piekrišana vajadzīga tiesiskās aizsardzības pasludināšanai</w:t>
      </w:r>
      <w:r w:rsidRPr="00327DAE">
        <w:rPr>
          <w:color w:val="000000"/>
        </w:rPr>
        <w:t>.”</w:t>
      </w:r>
    </w:p>
  </w:footnote>
  <w:footnote w:id="24">
    <w:p w14:paraId="0DE5C3CC" w14:textId="37A48261"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Šoreiz tā ir zemnieku saimniecība </w:t>
      </w:r>
      <w:r>
        <w:rPr>
          <w:i/>
          <w:color w:val="000000"/>
        </w:rPr>
        <w:t>“</w:t>
      </w:r>
      <w:r w:rsidRPr="00327DAE">
        <w:rPr>
          <w:i/>
          <w:color w:val="000000"/>
        </w:rPr>
        <w:t>Zemzari</w:t>
      </w:r>
      <w:r>
        <w:rPr>
          <w:i/>
          <w:color w:val="000000"/>
        </w:rPr>
        <w:t>”</w:t>
      </w:r>
      <w:r w:rsidRPr="00327DAE">
        <w:rPr>
          <w:i/>
          <w:color w:val="000000"/>
        </w:rPr>
        <w:t xml:space="preserve">, kurai tiesnese apstiprina tiesisko aizsardzību un administratoru, taču par šo lēmumu tiek iesniegts protests. Kad AT Civillietu departaments ierosina kasācijas tiesvedību, </w:t>
      </w:r>
      <w:proofErr w:type="spellStart"/>
      <w:r w:rsidRPr="00327DAE">
        <w:rPr>
          <w:i/>
          <w:color w:val="000000"/>
        </w:rPr>
        <w:t>Grebežniece</w:t>
      </w:r>
      <w:proofErr w:type="spellEnd"/>
      <w:r w:rsidRPr="00327DAE">
        <w:rPr>
          <w:i/>
          <w:color w:val="000000"/>
        </w:rPr>
        <w:t>, nesagaidot šīs lietas rezultātu, izbeidza Zemzaru tiesisko aizsardzību, ierosināja uzņēmuma maksātnespēju un par administratoru apstiprināja Bērziņu</w:t>
      </w:r>
      <w:r w:rsidRPr="00327DAE">
        <w:rPr>
          <w:color w:val="000000"/>
        </w:rPr>
        <w:t>.”</w:t>
      </w:r>
    </w:p>
  </w:footnote>
  <w:footnote w:id="25">
    <w:p w14:paraId="42952C9F" w14:textId="77777777"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Arī Veģu procesā līdzīgi bija vienpusēji izslēgts kreditors ar 1,5 miljonu eiro prasījumu</w:t>
      </w:r>
      <w:r w:rsidRPr="00327DAE">
        <w:rPr>
          <w:color w:val="000000"/>
        </w:rPr>
        <w:t>.”</w:t>
      </w:r>
    </w:p>
  </w:footnote>
  <w:footnote w:id="26">
    <w:p w14:paraId="6FDD9C7C" w14:textId="77777777"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Piemēram, firmai BLC bija trīs maksātnespējas procesu mēģinājumi Rīgas rajona tiesā, līdz viņi nonāca pie </w:t>
      </w:r>
      <w:proofErr w:type="spellStart"/>
      <w:r w:rsidRPr="00327DAE">
        <w:rPr>
          <w:i/>
          <w:color w:val="000000"/>
        </w:rPr>
        <w:t>Grebežnieces</w:t>
      </w:r>
      <w:proofErr w:type="spellEnd"/>
      <w:r w:rsidRPr="00327DAE">
        <w:rPr>
          <w:color w:val="000000"/>
        </w:rPr>
        <w:t>.”</w:t>
      </w:r>
    </w:p>
  </w:footnote>
  <w:footnote w:id="27">
    <w:p w14:paraId="2CE983CF" w14:textId="5998647A" w:rsidR="00A94B51" w:rsidRDefault="00A94B51" w:rsidP="00A94B51">
      <w:pPr>
        <w:pStyle w:val="FootnoteText"/>
      </w:pPr>
      <w:r>
        <w:rPr>
          <w:rStyle w:val="FootnoteReference"/>
        </w:rPr>
        <w:footnoteRef/>
      </w:r>
      <w:r>
        <w:t xml:space="preserve"> </w:t>
      </w:r>
      <w:bookmarkStart w:id="39" w:name="_GoBack"/>
      <w:r>
        <w:t>Tieslietu padomes ekspertu komisijas ziņojumā par maksātnespējas un tiesiskās aizsardzības procesu tiesvedību izvērtējumu ietvertās nepatiesās ziņas atsau</w:t>
      </w:r>
      <w:r w:rsidR="00263189">
        <w:t>kums, kas publicēts 2018. gada 17</w:t>
      </w:r>
      <w:r>
        <w:t>.</w:t>
      </w:r>
      <w:r w:rsidR="00263189">
        <w:t> </w:t>
      </w:r>
      <w:r>
        <w:t>decembrī:</w:t>
      </w:r>
    </w:p>
    <w:p w14:paraId="1572766A" w14:textId="61F33B25" w:rsidR="00A94B51" w:rsidRDefault="00A94B51" w:rsidP="00A94B51">
      <w:pPr>
        <w:pStyle w:val="FootnoteText"/>
      </w:pPr>
      <w:r>
        <w:t xml:space="preserve">„Tieslietu padome informē, ka 2018. gada 27. augustā publicētajā ziņojuma par laikā no 2008. gada līdz 2014. gadam notikušo maksātnespējas un tiesiskās aizsardzības procesu tiesvedību izvērtējumu 55. lappusē publicētā ziņa „2011. gada 24. februārī tiesnese V. </w:t>
      </w:r>
      <w:proofErr w:type="spellStart"/>
      <w:r>
        <w:t>Grebežniece</w:t>
      </w:r>
      <w:proofErr w:type="spellEnd"/>
      <w:r>
        <w:t xml:space="preserve"> pieņēma vienu no pirmajiem lēmumiem Latvijas tiesu praksē, atceļot no maksātnespējas procesa administratoru par pilnvaru ļaunprātīgu izmantošanu (administrators Ivars Kronis SIA „</w:t>
      </w:r>
      <w:proofErr w:type="spellStart"/>
      <w:r>
        <w:t>Vesenga</w:t>
      </w:r>
      <w:proofErr w:type="spellEnd"/>
      <w:r>
        <w:t>” maksātnespējas procesā). Šis lēmums apliecina, ka tiesnese spēj identificēt negodprātīgu rīcību” ir nepatiesa. Šis Siguldas tiesas tiesneses lēmums lietā Nr. C35078408, uz kuru atsaucies maksātnespējas un tiesiskās aizsardzības procesu tiesvedību izvērtējuma darba grupas eksperts, ir atcelts ar Rīgas apgabaltiesas Civillietu kolēģijas 2012. gada 13. novembra lēmumu.</w:t>
      </w:r>
    </w:p>
    <w:p w14:paraId="3A0D78D8" w14:textId="4B30D9D3" w:rsidR="00A94B51" w:rsidRDefault="00A94B51" w:rsidP="00A94B51">
      <w:pPr>
        <w:pStyle w:val="FootnoteText"/>
      </w:pPr>
      <w:r>
        <w:t>Izskatījusi maksātnespējas administratora Ivara Kroņa blakus sūdzību par Siguldas tiesas 2011. gada 24. februāra lēmumu SIA „</w:t>
      </w:r>
      <w:proofErr w:type="spellStart"/>
      <w:r>
        <w:t>Vesenga</w:t>
      </w:r>
      <w:proofErr w:type="spellEnd"/>
      <w:r>
        <w:t>” maksātnespējas procesa lietā Rīgas apgabaltiesas Civillietu kolēģija 2012. gada 13. novembra lēmumā norādīja, ka Maksātnespējas aģentūras pieteikumā par maksātnespējas administratora atcelšanu norādītais apstākļu izvērtējums nevar būt par pamatu, lai konstatētu administratora rīcībā ļaunprātību. Vienlaikus Civillietu tiesu kolēģija atzina, ka konkrētās lietas ietvaros konstatētie apstākļi atbilstoši Maksātnespējas likuma 20. panta pirmās daļas 6. punktam (redakcijā, kas bija spēkā līdz 2010. gada 31. oktobrim) ir vērtējami kā tādi, kas rada pamatotas šaubas par administratora objektivitāti un liedz viņam pildīt administratora pienākumus konkrētajā maksātnespējas procesā, un nolēma apmierināt Maksātnespējas administrācijas pieteikumu un saskaņā ar Maksātnespējas likuma 22. panta otrās daļas 1. punktu (redakcijā, kas bija spēkā līdz 2010. gada 31. oktobrim), atceļot administratoru Ivaru Kroni no administratora pienākumu pildīšanas maksātnespējīgās SIA „</w:t>
      </w:r>
      <w:proofErr w:type="spellStart"/>
      <w:r>
        <w:t>Vesenga</w:t>
      </w:r>
      <w:proofErr w:type="spellEnd"/>
      <w:r>
        <w:t>” maksātnespējas procesā.”</w:t>
      </w:r>
      <w:bookmarkEnd w:id="39"/>
    </w:p>
  </w:footnote>
  <w:footnote w:id="28">
    <w:p w14:paraId="2C2F6F9A" w14:textId="7FEF99DE"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Apstiprinot </w:t>
      </w:r>
      <w:r>
        <w:rPr>
          <w:i/>
          <w:color w:val="000000"/>
        </w:rPr>
        <w:t>“</w:t>
      </w:r>
      <w:proofErr w:type="spellStart"/>
      <w:r w:rsidRPr="00327DAE">
        <w:rPr>
          <w:i/>
          <w:color w:val="000000"/>
        </w:rPr>
        <w:t>Tomo</w:t>
      </w:r>
      <w:proofErr w:type="spellEnd"/>
      <w:r>
        <w:rPr>
          <w:i/>
          <w:color w:val="000000"/>
        </w:rPr>
        <w:t>”</w:t>
      </w:r>
      <w:r w:rsidRPr="00327DAE">
        <w:rPr>
          <w:i/>
          <w:color w:val="000000"/>
        </w:rPr>
        <w:t xml:space="preserve"> tiesiskās aizsardzības plānu, kas balstījās uz saskaņojumu ar tikai vienu nodrošināto kreditoru. Belizā reģistrētā uzņēmuma </w:t>
      </w:r>
      <w:r>
        <w:rPr>
          <w:i/>
          <w:color w:val="000000"/>
        </w:rPr>
        <w:t>“</w:t>
      </w:r>
      <w:proofErr w:type="spellStart"/>
      <w:r w:rsidRPr="00327DAE">
        <w:rPr>
          <w:i/>
          <w:color w:val="000000"/>
        </w:rPr>
        <w:t>Rexon</w:t>
      </w:r>
      <w:proofErr w:type="spellEnd"/>
      <w:r w:rsidRPr="00327DAE">
        <w:rPr>
          <w:i/>
          <w:color w:val="000000"/>
        </w:rPr>
        <w:t xml:space="preserve"> </w:t>
      </w:r>
      <w:proofErr w:type="spellStart"/>
      <w:r w:rsidRPr="00327DAE">
        <w:rPr>
          <w:i/>
          <w:color w:val="000000"/>
        </w:rPr>
        <w:t>Properties</w:t>
      </w:r>
      <w:proofErr w:type="spellEnd"/>
      <w:r w:rsidRPr="00327DAE">
        <w:rPr>
          <w:i/>
          <w:color w:val="000000"/>
        </w:rPr>
        <w:t xml:space="preserve"> LTD</w:t>
      </w:r>
      <w:r>
        <w:rPr>
          <w:i/>
          <w:color w:val="000000"/>
        </w:rPr>
        <w:t>”</w:t>
      </w:r>
      <w:r w:rsidRPr="00327DAE">
        <w:rPr>
          <w:i/>
          <w:color w:val="000000"/>
        </w:rPr>
        <w:t xml:space="preserve"> prasījuma tiesības par 11,7 miljoniem eiro bija reģistrētas tikai deviņas dienas pirms plāna sagatavošanas, bet nodrošinājuma ķīla — 1955. gada izlaiduma padomju auto </w:t>
      </w:r>
      <w:r>
        <w:rPr>
          <w:i/>
          <w:color w:val="000000"/>
        </w:rPr>
        <w:t>“</w:t>
      </w:r>
      <w:proofErr w:type="spellStart"/>
      <w:r w:rsidRPr="00327DAE">
        <w:rPr>
          <w:i/>
          <w:color w:val="000000"/>
        </w:rPr>
        <w:t>Pobeda</w:t>
      </w:r>
      <w:proofErr w:type="spellEnd"/>
      <w:r>
        <w:rPr>
          <w:i/>
          <w:color w:val="000000"/>
        </w:rPr>
        <w:t>”</w:t>
      </w:r>
      <w:r w:rsidRPr="00327DAE">
        <w:rPr>
          <w:i/>
          <w:color w:val="000000"/>
        </w:rPr>
        <w:t>. Tiesnese plānu apstiprināja, lai gan otrs nodrošinātais kreditors Latvijas Krājbanka ar 5,3 miljonu eiro prasījumu iebilda un plāns paredzēja samazināt šī kreditora prasījumu par 35</w:t>
      </w:r>
      <w:r>
        <w:rPr>
          <w:i/>
          <w:color w:val="000000"/>
        </w:rPr>
        <w:t> </w:t>
      </w:r>
      <w:r w:rsidRPr="00327DAE">
        <w:rPr>
          <w:i/>
          <w:color w:val="000000"/>
        </w:rPr>
        <w:t>%</w:t>
      </w:r>
      <w:r w:rsidRPr="00327DAE">
        <w:rPr>
          <w:color w:val="000000"/>
        </w:rPr>
        <w:t>.”</w:t>
      </w:r>
    </w:p>
  </w:footnote>
  <w:footnote w:id="29">
    <w:p w14:paraId="32D943A2" w14:textId="312746CB"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Atcelti arī </w:t>
      </w:r>
      <w:proofErr w:type="spellStart"/>
      <w:r w:rsidRPr="00327DAE">
        <w:rPr>
          <w:i/>
          <w:color w:val="000000"/>
        </w:rPr>
        <w:t>Krēvicas</w:t>
      </w:r>
      <w:proofErr w:type="spellEnd"/>
      <w:r w:rsidRPr="00327DAE">
        <w:rPr>
          <w:i/>
          <w:color w:val="000000"/>
        </w:rPr>
        <w:t xml:space="preserve"> lēmumi </w:t>
      </w:r>
      <w:proofErr w:type="spellStart"/>
      <w:r w:rsidRPr="00327DAE">
        <w:rPr>
          <w:i/>
          <w:color w:val="000000"/>
        </w:rPr>
        <w:t>Plaudes-Rēlingeres</w:t>
      </w:r>
      <w:proofErr w:type="spellEnd"/>
      <w:r w:rsidRPr="00327DAE">
        <w:rPr>
          <w:i/>
          <w:color w:val="000000"/>
        </w:rPr>
        <w:t xml:space="preserve"> maksātnespējas lietā — šajā gadījumā tiesnese nav pārliecinājusies, vai nepastāv ierobežojumi uzņēmējas maksātnespējai. Proti, neilgi pirms maksātnespējas </w:t>
      </w:r>
      <w:proofErr w:type="spellStart"/>
      <w:r w:rsidRPr="00327DAE">
        <w:rPr>
          <w:i/>
          <w:color w:val="000000"/>
        </w:rPr>
        <w:t>Plaude-Rēlingere</w:t>
      </w:r>
      <w:proofErr w:type="spellEnd"/>
      <w:r w:rsidRPr="00327DAE">
        <w:rPr>
          <w:i/>
          <w:color w:val="000000"/>
        </w:rPr>
        <w:t xml:space="preserve"> atdāvinājusi, bez atlīdzinājuma atsavinājusi vai ar hipotēku apgrūtinā</w:t>
      </w:r>
      <w:r w:rsidRPr="00327DAE">
        <w:rPr>
          <w:i/>
          <w:color w:val="000000"/>
        </w:rPr>
        <w:softHyphen/>
        <w:t xml:space="preserve">jusi savus īpašumus. Piemēram, savas kapitāldaļas uzņēmumā </w:t>
      </w:r>
      <w:r>
        <w:rPr>
          <w:i/>
          <w:color w:val="000000"/>
        </w:rPr>
        <w:t>“</w:t>
      </w:r>
      <w:r w:rsidRPr="00327DAE">
        <w:rPr>
          <w:i/>
          <w:color w:val="000000"/>
        </w:rPr>
        <w:t xml:space="preserve">Kolonna </w:t>
      </w:r>
      <w:proofErr w:type="spellStart"/>
      <w:r w:rsidRPr="00327DAE">
        <w:rPr>
          <w:i/>
          <w:color w:val="000000"/>
        </w:rPr>
        <w:t>Invest</w:t>
      </w:r>
      <w:proofErr w:type="spellEnd"/>
      <w:r>
        <w:rPr>
          <w:i/>
          <w:color w:val="000000"/>
        </w:rPr>
        <w:t>”</w:t>
      </w:r>
      <w:r w:rsidRPr="00327DAE">
        <w:rPr>
          <w:i/>
          <w:color w:val="000000"/>
        </w:rPr>
        <w:t xml:space="preserve"> septiņu miljonu eiro nominālvērtībā atsavinājusi Menas salā reģistrētai kompānijai </w:t>
      </w:r>
      <w:r>
        <w:rPr>
          <w:i/>
          <w:color w:val="000000"/>
        </w:rPr>
        <w:t>“</w:t>
      </w:r>
      <w:r w:rsidRPr="00327DAE">
        <w:rPr>
          <w:i/>
          <w:color w:val="000000"/>
        </w:rPr>
        <w:t xml:space="preserve">Kolonna </w:t>
      </w:r>
      <w:proofErr w:type="spellStart"/>
      <w:r w:rsidRPr="00327DAE">
        <w:rPr>
          <w:i/>
          <w:color w:val="000000"/>
        </w:rPr>
        <w:t>Limited</w:t>
      </w:r>
      <w:proofErr w:type="spellEnd"/>
      <w:r>
        <w:rPr>
          <w:i/>
          <w:color w:val="000000"/>
        </w:rPr>
        <w:t>”</w:t>
      </w:r>
      <w:r w:rsidRPr="00327DAE">
        <w:rPr>
          <w:color w:val="000000"/>
        </w:rPr>
        <w:t>.”</w:t>
      </w:r>
    </w:p>
  </w:footnote>
  <w:footnote w:id="30">
    <w:p w14:paraId="54046BC7" w14:textId="6CA53904"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Pāris gadus vēlāk līdzīga situācija atkārtojās ar </w:t>
      </w:r>
      <w:proofErr w:type="spellStart"/>
      <w:r w:rsidRPr="00327DAE">
        <w:rPr>
          <w:i/>
          <w:color w:val="000000"/>
        </w:rPr>
        <w:t>Finberga</w:t>
      </w:r>
      <w:proofErr w:type="spellEnd"/>
      <w:r w:rsidRPr="00327DAE">
        <w:rPr>
          <w:i/>
          <w:color w:val="000000"/>
        </w:rPr>
        <w:t xml:space="preserve"> firmu </w:t>
      </w:r>
      <w:r>
        <w:rPr>
          <w:i/>
          <w:color w:val="000000"/>
        </w:rPr>
        <w:t>“</w:t>
      </w:r>
      <w:r w:rsidRPr="00327DAE">
        <w:rPr>
          <w:i/>
          <w:color w:val="000000"/>
        </w:rPr>
        <w:t>Gabriels</w:t>
      </w:r>
      <w:r>
        <w:rPr>
          <w:i/>
          <w:color w:val="000000"/>
        </w:rPr>
        <w:t>”</w:t>
      </w:r>
      <w:r w:rsidRPr="00327DAE">
        <w:rPr>
          <w:i/>
          <w:color w:val="000000"/>
        </w:rPr>
        <w:t>. Šoreiz uzradās nodrošinātais kreditors ar piecu miljonu eiro prasījumu, kas veidojies kā kompensācija par nenotikušu darījumu</w:t>
      </w:r>
      <w:r w:rsidRPr="00327DAE">
        <w:rPr>
          <w:color w:val="000000"/>
        </w:rPr>
        <w:t>.”</w:t>
      </w:r>
    </w:p>
  </w:footnote>
  <w:footnote w:id="31">
    <w:p w14:paraId="48A78789" w14:textId="35D77B06"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Viens no Māra Sprūda administrētajiem uzņēmumiem, kas nav izpelnījies skandalozu slavu vai apaudzis ar kriminālprocesiem, ir firma </w:t>
      </w:r>
      <w:r>
        <w:rPr>
          <w:i/>
          <w:color w:val="000000"/>
        </w:rPr>
        <w:t>“</w:t>
      </w:r>
      <w:r w:rsidRPr="00327DAE">
        <w:rPr>
          <w:i/>
          <w:color w:val="000000"/>
        </w:rPr>
        <w:t>Saimnieks-Serviss</w:t>
      </w:r>
      <w:r>
        <w:rPr>
          <w:i/>
          <w:color w:val="000000"/>
        </w:rPr>
        <w:t>”</w:t>
      </w:r>
      <w:r w:rsidRPr="00327DAE">
        <w:rPr>
          <w:color w:val="000000"/>
        </w:rPr>
        <w:t>.”</w:t>
      </w:r>
    </w:p>
  </w:footnote>
  <w:footnote w:id="32">
    <w:p w14:paraId="5E076F3B" w14:textId="09881241"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Savukārt virkne citu ceļotāju piesaista uzmanību ar vērtīgajiem aktīviem — pie tiesneses </w:t>
      </w:r>
      <w:proofErr w:type="spellStart"/>
      <w:r w:rsidRPr="00327DAE">
        <w:rPr>
          <w:i/>
          <w:color w:val="000000"/>
        </w:rPr>
        <w:t>Krēvicas</w:t>
      </w:r>
      <w:proofErr w:type="spellEnd"/>
      <w:r w:rsidRPr="00327DAE">
        <w:rPr>
          <w:i/>
          <w:color w:val="000000"/>
        </w:rPr>
        <w:t xml:space="preserve"> nonākusi gan tranzīta kompānija </w:t>
      </w:r>
      <w:r>
        <w:rPr>
          <w:i/>
          <w:color w:val="000000"/>
        </w:rPr>
        <w:t>“</w:t>
      </w:r>
      <w:proofErr w:type="spellStart"/>
      <w:r w:rsidRPr="00327DAE">
        <w:rPr>
          <w:i/>
          <w:color w:val="000000"/>
        </w:rPr>
        <w:t>Lasco</w:t>
      </w:r>
      <w:proofErr w:type="spellEnd"/>
      <w:r w:rsidRPr="00327DAE">
        <w:rPr>
          <w:i/>
          <w:color w:val="000000"/>
        </w:rPr>
        <w:t xml:space="preserve"> </w:t>
      </w:r>
      <w:proofErr w:type="spellStart"/>
      <w:r w:rsidRPr="00327DAE">
        <w:rPr>
          <w:i/>
          <w:color w:val="000000"/>
        </w:rPr>
        <w:t>Investment</w:t>
      </w:r>
      <w:proofErr w:type="spellEnd"/>
      <w:r>
        <w:rPr>
          <w:i/>
          <w:color w:val="000000"/>
        </w:rPr>
        <w:t>”</w:t>
      </w:r>
      <w:r w:rsidRPr="00327DAE">
        <w:rPr>
          <w:i/>
          <w:color w:val="000000"/>
        </w:rPr>
        <w:t xml:space="preserve"> ar 78 miljonu eiro aktīviem un 106 miljonu eiro saistībām, gan virkne nekustamo īpašumu attīstītāju, kuriem citās tiesās nav sekmējies</w:t>
      </w:r>
      <w:r w:rsidRPr="00327DAE">
        <w:rPr>
          <w:color w:val="000000"/>
        </w:rPr>
        <w:t>.”</w:t>
      </w:r>
    </w:p>
  </w:footnote>
  <w:footnote w:id="33">
    <w:p w14:paraId="5E4309D1" w14:textId="5C95815E"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Shēmas vīd arī Valērija Kargina dzīvesbiedres tēvam Vladimiram </w:t>
      </w:r>
      <w:proofErr w:type="spellStart"/>
      <w:r w:rsidRPr="00327DAE">
        <w:rPr>
          <w:i/>
          <w:color w:val="000000"/>
        </w:rPr>
        <w:t>Barinovam</w:t>
      </w:r>
      <w:proofErr w:type="spellEnd"/>
      <w:r w:rsidRPr="00327DAE">
        <w:rPr>
          <w:i/>
          <w:color w:val="000000"/>
        </w:rPr>
        <w:t xml:space="preserve"> piederošās viesnīcas </w:t>
      </w:r>
      <w:r>
        <w:rPr>
          <w:i/>
          <w:color w:val="000000"/>
        </w:rPr>
        <w:t>“</w:t>
      </w:r>
      <w:r w:rsidRPr="00327DAE">
        <w:rPr>
          <w:i/>
          <w:color w:val="000000"/>
        </w:rPr>
        <w:t>Majori</w:t>
      </w:r>
      <w:r>
        <w:rPr>
          <w:i/>
          <w:color w:val="000000"/>
        </w:rPr>
        <w:t>”</w:t>
      </w:r>
      <w:r w:rsidRPr="00327DAE">
        <w:rPr>
          <w:i/>
          <w:color w:val="000000"/>
        </w:rPr>
        <w:t xml:space="preserve"> lietā</w:t>
      </w:r>
      <w:r w:rsidRPr="00327DAE">
        <w:rPr>
          <w:color w:val="000000"/>
        </w:rPr>
        <w:t>.”</w:t>
      </w:r>
    </w:p>
  </w:footnote>
  <w:footnote w:id="34">
    <w:p w14:paraId="2855AF98" w14:textId="7CA79DE8"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Nepilns mēnesis — tik vajadzēja kādai kundzei ar 0,9 miljonu eiro parādsaistībām un 3,8 miljonus vērtu mantu, lai nomainītu adresi no Rīgas rajona tiesas piekritības uz Ogres rajonu. </w:t>
      </w:r>
      <w:r>
        <w:rPr>
          <w:i/>
          <w:color w:val="000000"/>
        </w:rPr>
        <w:t>“</w:t>
      </w:r>
      <w:r w:rsidRPr="00327DAE">
        <w:rPr>
          <w:i/>
          <w:color w:val="000000"/>
        </w:rPr>
        <w:t>Kurvīti</w:t>
      </w:r>
      <w:r>
        <w:rPr>
          <w:i/>
          <w:color w:val="000000"/>
        </w:rPr>
        <w:t>”</w:t>
      </w:r>
      <w:r w:rsidRPr="00327DAE">
        <w:rPr>
          <w:i/>
          <w:color w:val="000000"/>
        </w:rPr>
        <w:t xml:space="preserve"> Rīgas rajona tiesā viņa saņēma, jo neilgi pirms maksātnespējas atsavināja piecus savus īpašumus. Turklāt vienu tikai astoņas dienas pirms maksātnespējas ierosināšanas, otru — jau procesa pieteikšanas dienā. Likums neļauj tā pasliktināt kreditoru iespējas atgūt naudu. Pēc maksātnespējas atteikuma sieviete mainīja adresi un sekmīgi iesniedza jaunu pieteikumu Ogrē. Plaudis nevērtēja ne apstākļus par īpašumu atsavināšanu, ne to, kur palikusi darījumos iegūtā nauda. Viņš gan apstiprināja maksātnespēju, gan arī deva zaļo gaismu norēķinu plānam ar kreditoriem, kas neievēro likumā noteiktos termiņus</w:t>
      </w:r>
      <w:r w:rsidRPr="00327DAE">
        <w:rPr>
          <w:color w:val="000000"/>
        </w:rPr>
        <w:t>.”</w:t>
      </w:r>
    </w:p>
  </w:footnote>
  <w:footnote w:id="35">
    <w:p w14:paraId="7A3E3255" w14:textId="0BB6EA32"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Arī šajā gadījumā sieviete ar prāvām saistībām 425 tūkstošu eiro apmērā mainīja dzīvesvietas adresi no Jūrmalas uz Ogri. Jūrmalas tiesa maksātnespēju atteica, jo nepilnus desmit mēnešus iepriekš sieviete bija atsavinājusi savu īpašumu un kapitāldaļas uzņēmumā. Taču Ogrē tas nebija šķērslis. Plaudis apstiprināja maksātnespēju, neraugoties uz kreditora </w:t>
      </w:r>
      <w:r>
        <w:rPr>
          <w:i/>
          <w:color w:val="000000"/>
        </w:rPr>
        <w:t>“</w:t>
      </w:r>
      <w:r w:rsidRPr="00327DAE">
        <w:rPr>
          <w:i/>
          <w:color w:val="000000"/>
        </w:rPr>
        <w:t>Parex banka</w:t>
      </w:r>
      <w:r>
        <w:rPr>
          <w:i/>
          <w:color w:val="000000"/>
        </w:rPr>
        <w:t>”</w:t>
      </w:r>
      <w:r w:rsidRPr="00327DAE">
        <w:rPr>
          <w:i/>
          <w:color w:val="000000"/>
        </w:rPr>
        <w:t xml:space="preserve"> sniegtajām ziņām par īpašumu atsavināšanu</w:t>
      </w:r>
      <w:r w:rsidRPr="00327DAE">
        <w:rPr>
          <w:color w:val="000000"/>
        </w:rPr>
        <w:t>.”</w:t>
      </w:r>
    </w:p>
  </w:footnote>
  <w:footnote w:id="36">
    <w:p w14:paraId="3F1DD819" w14:textId="03432E8C"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No Cēsīm uz Ogri pēc maksātnespējas devies arī kāds Bērzkroga uzņēmējs. Cēsu rajona tiesa atteica maksātnespēju, jo uzņēmēja ienākumi nebija būtiski samazinājušies, tiesa redzēja iespējas kārtot p</w:t>
      </w:r>
      <w:r>
        <w:rPr>
          <w:i/>
          <w:color w:val="000000"/>
        </w:rPr>
        <w:t>a</w:t>
      </w:r>
      <w:r w:rsidRPr="00327DAE">
        <w:rPr>
          <w:i/>
          <w:color w:val="000000"/>
        </w:rPr>
        <w:t>rādsaistības. Uzņēmējs nomainīja adresi un pēc nepilniem četriem mēnešiem iesniedza identisku pieteikumu Ogrē. Plaudis šķēršļus nelika</w:t>
      </w:r>
      <w:r w:rsidRPr="00327DAE">
        <w:rPr>
          <w:color w:val="000000"/>
        </w:rPr>
        <w:t>.”</w:t>
      </w:r>
    </w:p>
  </w:footnote>
  <w:footnote w:id="37">
    <w:p w14:paraId="76F7FC3D" w14:textId="6CB46BEA"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Tad firma ķērās pie pārmaiņām: nomainīja adresi uz Ogri, nosaukumu — uz </w:t>
      </w:r>
      <w:r>
        <w:rPr>
          <w:i/>
          <w:color w:val="000000"/>
        </w:rPr>
        <w:t>“</w:t>
      </w:r>
      <w:proofErr w:type="spellStart"/>
      <w:r w:rsidRPr="00327DAE">
        <w:rPr>
          <w:i/>
          <w:color w:val="000000"/>
        </w:rPr>
        <w:t>Europe</w:t>
      </w:r>
      <w:proofErr w:type="spellEnd"/>
      <w:r w:rsidRPr="00327DAE">
        <w:rPr>
          <w:i/>
          <w:color w:val="000000"/>
        </w:rPr>
        <w:t xml:space="preserve"> </w:t>
      </w:r>
      <w:proofErr w:type="spellStart"/>
      <w:r w:rsidRPr="00327DAE">
        <w:rPr>
          <w:i/>
          <w:color w:val="000000"/>
        </w:rPr>
        <w:t>Chain</w:t>
      </w:r>
      <w:proofErr w:type="spellEnd"/>
      <w:r w:rsidRPr="00327DAE">
        <w:rPr>
          <w:i/>
          <w:color w:val="000000"/>
        </w:rPr>
        <w:t xml:space="preserve"> Store</w:t>
      </w:r>
      <w:r>
        <w:rPr>
          <w:i/>
          <w:color w:val="000000"/>
        </w:rPr>
        <w:t>”</w:t>
      </w:r>
      <w:r w:rsidRPr="00327DAE">
        <w:rPr>
          <w:i/>
          <w:color w:val="000000"/>
        </w:rPr>
        <w:t xml:space="preserve">, bet kā administratori izvēlējās Rīgā, Strēlnieku ielā 9-7, praktizējošo Ivetu </w:t>
      </w:r>
      <w:proofErr w:type="spellStart"/>
      <w:r w:rsidRPr="00327DAE">
        <w:rPr>
          <w:i/>
          <w:color w:val="000000"/>
        </w:rPr>
        <w:t>Gedus</w:t>
      </w:r>
      <w:proofErr w:type="spellEnd"/>
      <w:r w:rsidRPr="00327DAE">
        <w:rPr>
          <w:i/>
          <w:color w:val="000000"/>
        </w:rPr>
        <w:t xml:space="preserve"> [..] Vienlaikus uzņēmumam uzrodas jauns nodrošinātais kreditors, lielākais no visiem — firma </w:t>
      </w:r>
      <w:r>
        <w:rPr>
          <w:i/>
          <w:color w:val="000000"/>
        </w:rPr>
        <w:t>“</w:t>
      </w:r>
      <w:proofErr w:type="spellStart"/>
      <w:r w:rsidRPr="00327DAE">
        <w:rPr>
          <w:i/>
          <w:color w:val="000000"/>
        </w:rPr>
        <w:t>Viktoriuss</w:t>
      </w:r>
      <w:proofErr w:type="spellEnd"/>
      <w:r w:rsidRPr="00327DAE">
        <w:rPr>
          <w:i/>
          <w:color w:val="000000"/>
        </w:rPr>
        <w:t xml:space="preserve"> LPP</w:t>
      </w:r>
      <w:r>
        <w:rPr>
          <w:i/>
          <w:color w:val="000000"/>
        </w:rPr>
        <w:t>”</w:t>
      </w:r>
      <w:r w:rsidRPr="00327DAE">
        <w:rPr>
          <w:i/>
          <w:color w:val="000000"/>
        </w:rPr>
        <w:t xml:space="preserve"> ar prasījumu par 240 tūkstošiem eiro, kas pamatots ar kādu svaigu cesijas darījumu. Tiesnesis Plaudis pieteikumu apstiprina</w:t>
      </w:r>
      <w:r w:rsidRPr="00327DAE">
        <w:rPr>
          <w:color w:val="000000"/>
        </w:rPr>
        <w:t>.”</w:t>
      </w:r>
    </w:p>
  </w:footnote>
  <w:footnote w:id="38">
    <w:p w14:paraId="5641CEED" w14:textId="73600C13"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Viens no tiem ir </w:t>
      </w:r>
      <w:proofErr w:type="spellStart"/>
      <w:r w:rsidRPr="00327DAE">
        <w:rPr>
          <w:i/>
          <w:color w:val="000000"/>
        </w:rPr>
        <w:t>Zaškinas</w:t>
      </w:r>
      <w:proofErr w:type="spellEnd"/>
      <w:r w:rsidRPr="00327DAE">
        <w:rPr>
          <w:i/>
          <w:color w:val="000000"/>
        </w:rPr>
        <w:t xml:space="preserve"> lēmums pasludināt vēja parku attīstītāja </w:t>
      </w:r>
      <w:r>
        <w:rPr>
          <w:i/>
          <w:color w:val="000000"/>
        </w:rPr>
        <w:t>“</w:t>
      </w:r>
      <w:proofErr w:type="spellStart"/>
      <w:r w:rsidRPr="00327DAE">
        <w:rPr>
          <w:i/>
          <w:color w:val="000000"/>
        </w:rPr>
        <w:t>Winergy</w:t>
      </w:r>
      <w:proofErr w:type="spellEnd"/>
      <w:r>
        <w:rPr>
          <w:i/>
          <w:color w:val="000000"/>
        </w:rPr>
        <w:t>”</w:t>
      </w:r>
      <w:r w:rsidRPr="00327DAE">
        <w:rPr>
          <w:i/>
          <w:color w:val="000000"/>
        </w:rPr>
        <w:t xml:space="preserve"> maksātnespēju. Šī uzņēmuma vārds plašāk izskanējis saistībā ar Igaunijas pilsoņa iesniegtu prasību starptautiskajā šķīrējtiesā pret Latviju par vismaz 51 miljona eiro zaudējumu nodarīšanu, ko viņš vēlāk gan atsauca. Arī </w:t>
      </w:r>
      <w:r>
        <w:rPr>
          <w:i/>
          <w:color w:val="000000"/>
        </w:rPr>
        <w:t>“</w:t>
      </w:r>
      <w:proofErr w:type="spellStart"/>
      <w:r w:rsidRPr="00327DAE">
        <w:rPr>
          <w:i/>
          <w:color w:val="000000"/>
        </w:rPr>
        <w:t>Winergy</w:t>
      </w:r>
      <w:proofErr w:type="spellEnd"/>
      <w:r>
        <w:rPr>
          <w:i/>
          <w:color w:val="000000"/>
        </w:rPr>
        <w:t>”</w:t>
      </w:r>
      <w:r w:rsidRPr="00327DAE">
        <w:rPr>
          <w:i/>
          <w:color w:val="000000"/>
        </w:rPr>
        <w:t xml:space="preserve"> bija </w:t>
      </w:r>
      <w:r w:rsidRPr="00327DAE">
        <w:rPr>
          <w:color w:val="000000"/>
        </w:rPr>
        <w:t>“</w:t>
      </w:r>
      <w:r w:rsidRPr="00327DAE">
        <w:rPr>
          <w:i/>
          <w:color w:val="000000"/>
        </w:rPr>
        <w:t>ceļojošais</w:t>
      </w:r>
      <w:r>
        <w:rPr>
          <w:i/>
          <w:color w:val="000000"/>
        </w:rPr>
        <w:t>”</w:t>
      </w:r>
      <w:r w:rsidRPr="00327DAE">
        <w:rPr>
          <w:i/>
          <w:color w:val="000000"/>
        </w:rPr>
        <w:t xml:space="preserve"> uzņēmums, kas adresi uz Latgales priekšpilsētas tiesas teritoriju nomainīja nepilnu nedēļu pirms aizsardzības pieteikšanas</w:t>
      </w:r>
      <w:r w:rsidRPr="00327DAE">
        <w:rPr>
          <w:color w:val="000000"/>
        </w:rPr>
        <w:t>.”</w:t>
      </w:r>
    </w:p>
  </w:footnote>
  <w:footnote w:id="39">
    <w:p w14:paraId="35AC361C" w14:textId="3B31B6DF"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Neskaitot </w:t>
      </w:r>
      <w:r w:rsidRPr="00327DAE">
        <w:t>“</w:t>
      </w:r>
      <w:r w:rsidRPr="00327DAE">
        <w:rPr>
          <w:i/>
          <w:color w:val="000000"/>
        </w:rPr>
        <w:t>ceļotājus</w:t>
      </w:r>
      <w:r w:rsidRPr="00327DAE">
        <w:rPr>
          <w:color w:val="000000"/>
        </w:rPr>
        <w:t>”</w:t>
      </w:r>
      <w:r w:rsidRPr="00327DAE">
        <w:rPr>
          <w:i/>
          <w:color w:val="000000"/>
        </w:rPr>
        <w:t xml:space="preserve">, pie </w:t>
      </w:r>
      <w:proofErr w:type="spellStart"/>
      <w:r w:rsidRPr="00327DAE">
        <w:rPr>
          <w:i/>
          <w:color w:val="000000"/>
        </w:rPr>
        <w:t>Zaškinas</w:t>
      </w:r>
      <w:proofErr w:type="spellEnd"/>
      <w:r w:rsidRPr="00327DAE">
        <w:rPr>
          <w:i/>
          <w:color w:val="000000"/>
        </w:rPr>
        <w:t xml:space="preserve"> nonākuši vēl vismaz trīs ar Antonijas ielu 7 saistītu profesionāļu lietas, kurās uzņēmumi pirms tam nav mainījuši juridisko adresi. Turklāt to skaitā ir uzņēmuma </w:t>
      </w:r>
      <w:r>
        <w:rPr>
          <w:i/>
          <w:color w:val="000000"/>
        </w:rPr>
        <w:t>“</w:t>
      </w:r>
      <w:r w:rsidRPr="00327DAE">
        <w:rPr>
          <w:i/>
          <w:color w:val="000000"/>
        </w:rPr>
        <w:t>Peltes īpašumi</w:t>
      </w:r>
      <w:r>
        <w:rPr>
          <w:i/>
          <w:color w:val="000000"/>
        </w:rPr>
        <w:t>”</w:t>
      </w:r>
      <w:r w:rsidRPr="00327DAE">
        <w:rPr>
          <w:i/>
          <w:color w:val="000000"/>
        </w:rPr>
        <w:t xml:space="preserve"> maksātnespēja</w:t>
      </w:r>
      <w:r w:rsidRPr="00327DAE">
        <w:rPr>
          <w:color w:val="000000"/>
        </w:rPr>
        <w:t>.”</w:t>
      </w:r>
    </w:p>
  </w:footnote>
  <w:footnote w:id="40">
    <w:p w14:paraId="4543E02C" w14:textId="77777777" w:rsidR="008A7DC2" w:rsidRPr="00327DAE" w:rsidRDefault="008A7DC2" w:rsidP="00902141">
      <w:pPr>
        <w:pStyle w:val="FootnoteText"/>
        <w:tabs>
          <w:tab w:val="left" w:pos="8364"/>
          <w:tab w:val="left" w:pos="8505"/>
          <w:tab w:val="left" w:pos="8789"/>
        </w:tabs>
      </w:pPr>
      <w:r w:rsidRPr="00327DAE">
        <w:rPr>
          <w:rStyle w:val="FootnoteReference"/>
        </w:rPr>
        <w:footnoteRef/>
      </w:r>
      <w:r w:rsidRPr="00327DAE">
        <w:t xml:space="preserve"> Maksātnespējas procesos lieta nav izlemta, kamēr notiek maksātnespējas process.</w:t>
      </w:r>
    </w:p>
  </w:footnote>
  <w:footnote w:id="41">
    <w:p w14:paraId="0671AFB5" w14:textId="77777777" w:rsidR="008A7DC2" w:rsidRPr="00327DAE" w:rsidRDefault="008A7DC2" w:rsidP="00902141">
      <w:pPr>
        <w:pStyle w:val="FootnoteText"/>
        <w:tabs>
          <w:tab w:val="left" w:pos="8364"/>
          <w:tab w:val="left" w:pos="8505"/>
          <w:tab w:val="left" w:pos="8789"/>
        </w:tabs>
      </w:pPr>
      <w:r w:rsidRPr="00327DAE">
        <w:rPr>
          <w:rStyle w:val="FootnoteReference"/>
        </w:rPr>
        <w:footnoteRef/>
      </w:r>
      <w:r w:rsidRPr="00327DAE">
        <w:t xml:space="preserve"> Tiesu administrācijas sagatavota informācija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68ED" w14:textId="77777777" w:rsidR="008A7DC2" w:rsidRDefault="008A7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2414" w14:textId="69E13448" w:rsidR="008A7DC2" w:rsidRDefault="008A7DC2" w:rsidP="00D16064">
    <w:pPr>
      <w:pStyle w:val="Header"/>
      <w:jc w:val="center"/>
    </w:pPr>
    <w:r>
      <w:t>Ziņojums Tieslietu padomei (2</w:t>
    </w:r>
    <w:r w:rsidR="00AB52E0">
      <w:t>1</w:t>
    </w:r>
    <w:r>
      <w:t>.08.2018.) – izpildot 05.02.2018. lēmuma 1.punktu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0BA8" w14:textId="77777777" w:rsidR="008A7DC2" w:rsidRDefault="008A7D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3DC6" w14:textId="77777777" w:rsidR="008A7DC2" w:rsidRDefault="008A7DC2">
    <w:pPr>
      <w:pStyle w:val="Header"/>
    </w:pPr>
  </w:p>
  <w:p w14:paraId="0D9A6C7D" w14:textId="77777777" w:rsidR="008A7DC2" w:rsidRDefault="008A7D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6D17" w14:textId="77777777" w:rsidR="00C2771E" w:rsidRDefault="00C2771E" w:rsidP="00C2771E">
    <w:pPr>
      <w:pStyle w:val="Header"/>
      <w:jc w:val="center"/>
    </w:pPr>
    <w:r>
      <w:t>Ziņojums Tieslietu padomei (21.08.2018.) – izpildot 05.02.2018. lēmuma 1.punktu</w:t>
    </w:r>
  </w:p>
  <w:p w14:paraId="60E4DD74" w14:textId="77777777" w:rsidR="008A7DC2" w:rsidRDefault="008A7DC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946FA" w14:textId="77777777" w:rsidR="008A7DC2" w:rsidRDefault="008A7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72F4B"/>
    <w:multiLevelType w:val="hybridMultilevel"/>
    <w:tmpl w:val="590A2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672108"/>
    <w:multiLevelType w:val="hybridMultilevel"/>
    <w:tmpl w:val="BF387F58"/>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 w15:restartNumberingAfterBreak="0">
    <w:nsid w:val="36D263BA"/>
    <w:multiLevelType w:val="multilevel"/>
    <w:tmpl w:val="9386F6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6478A"/>
    <w:multiLevelType w:val="hybridMultilevel"/>
    <w:tmpl w:val="29C60BBA"/>
    <w:lvl w:ilvl="0" w:tplc="41548C3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A307FE5"/>
    <w:multiLevelType w:val="hybridMultilevel"/>
    <w:tmpl w:val="F4C26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4A46EC"/>
    <w:multiLevelType w:val="hybridMultilevel"/>
    <w:tmpl w:val="426A505C"/>
    <w:lvl w:ilvl="0" w:tplc="04260001">
      <w:start w:val="1"/>
      <w:numFmt w:val="bullet"/>
      <w:lvlText w:val=""/>
      <w:lvlJc w:val="left"/>
      <w:pPr>
        <w:ind w:left="1004" w:hanging="360"/>
      </w:pPr>
      <w:rPr>
        <w:rFonts w:ascii="Symbol" w:hAnsi="Symbol"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BAF727E"/>
    <w:multiLevelType w:val="hybridMultilevel"/>
    <w:tmpl w:val="EFDA0850"/>
    <w:lvl w:ilvl="0" w:tplc="33221DC2">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BB18C2"/>
    <w:multiLevelType w:val="hybridMultilevel"/>
    <w:tmpl w:val="512A5296"/>
    <w:lvl w:ilvl="0" w:tplc="69321D6E">
      <w:numFmt w:val="bullet"/>
      <w:lvlText w:val="-"/>
      <w:lvlJc w:val="left"/>
      <w:pPr>
        <w:ind w:left="420" w:hanging="360"/>
      </w:pPr>
      <w:rPr>
        <w:rFonts w:ascii="Calibri" w:eastAsia="Times New Roman" w:hAnsi="Calibri" w:cs="Calibri" w:hint="default"/>
        <w:sz w:val="27"/>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1723E9E"/>
    <w:multiLevelType w:val="hybridMultilevel"/>
    <w:tmpl w:val="84F0959E"/>
    <w:lvl w:ilvl="0" w:tplc="9AE4A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40F0D38"/>
    <w:multiLevelType w:val="hybridMultilevel"/>
    <w:tmpl w:val="7F08D0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D35085"/>
    <w:multiLevelType w:val="hybridMultilevel"/>
    <w:tmpl w:val="679C33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54084E"/>
    <w:multiLevelType w:val="hybridMultilevel"/>
    <w:tmpl w:val="C7B4CF2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0"/>
  </w:num>
  <w:num w:numId="9">
    <w:abstractNumId w:val="3"/>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42"/>
    <w:rsid w:val="00000410"/>
    <w:rsid w:val="000010BB"/>
    <w:rsid w:val="000067A2"/>
    <w:rsid w:val="0001528E"/>
    <w:rsid w:val="00022BB7"/>
    <w:rsid w:val="0002402A"/>
    <w:rsid w:val="00034A20"/>
    <w:rsid w:val="000404E8"/>
    <w:rsid w:val="00040D2B"/>
    <w:rsid w:val="000416BC"/>
    <w:rsid w:val="000505B6"/>
    <w:rsid w:val="00052DC0"/>
    <w:rsid w:val="000574BC"/>
    <w:rsid w:val="00057A25"/>
    <w:rsid w:val="00092608"/>
    <w:rsid w:val="00092E36"/>
    <w:rsid w:val="00095F64"/>
    <w:rsid w:val="000A09B4"/>
    <w:rsid w:val="000A7BD3"/>
    <w:rsid w:val="000A7E83"/>
    <w:rsid w:val="000B7247"/>
    <w:rsid w:val="000C0C2E"/>
    <w:rsid w:val="000C0DA2"/>
    <w:rsid w:val="000C18FA"/>
    <w:rsid w:val="000C3B35"/>
    <w:rsid w:val="000D000F"/>
    <w:rsid w:val="000D08E4"/>
    <w:rsid w:val="000D23D3"/>
    <w:rsid w:val="000D52FC"/>
    <w:rsid w:val="000E177D"/>
    <w:rsid w:val="000E6E37"/>
    <w:rsid w:val="000F03B6"/>
    <w:rsid w:val="000F2AE0"/>
    <w:rsid w:val="000F3C50"/>
    <w:rsid w:val="00101674"/>
    <w:rsid w:val="00101FD9"/>
    <w:rsid w:val="00102253"/>
    <w:rsid w:val="001064F8"/>
    <w:rsid w:val="0011373E"/>
    <w:rsid w:val="00115AC2"/>
    <w:rsid w:val="0011603F"/>
    <w:rsid w:val="0011713A"/>
    <w:rsid w:val="00123969"/>
    <w:rsid w:val="0012416C"/>
    <w:rsid w:val="00127ECC"/>
    <w:rsid w:val="001409AA"/>
    <w:rsid w:val="00140A7A"/>
    <w:rsid w:val="001478D5"/>
    <w:rsid w:val="00150D81"/>
    <w:rsid w:val="0015418F"/>
    <w:rsid w:val="0015658C"/>
    <w:rsid w:val="00160444"/>
    <w:rsid w:val="00161810"/>
    <w:rsid w:val="00163F13"/>
    <w:rsid w:val="00164AA3"/>
    <w:rsid w:val="00165F7C"/>
    <w:rsid w:val="00170B69"/>
    <w:rsid w:val="00174554"/>
    <w:rsid w:val="001751AB"/>
    <w:rsid w:val="0018191C"/>
    <w:rsid w:val="00182AEE"/>
    <w:rsid w:val="001835B1"/>
    <w:rsid w:val="00184688"/>
    <w:rsid w:val="00191BC6"/>
    <w:rsid w:val="001974E1"/>
    <w:rsid w:val="001A47BA"/>
    <w:rsid w:val="001B1DFE"/>
    <w:rsid w:val="001C2BD2"/>
    <w:rsid w:val="001C54A2"/>
    <w:rsid w:val="001C6083"/>
    <w:rsid w:val="001D0C89"/>
    <w:rsid w:val="001D6918"/>
    <w:rsid w:val="001D6994"/>
    <w:rsid w:val="001E268C"/>
    <w:rsid w:val="001E32A9"/>
    <w:rsid w:val="001E5F83"/>
    <w:rsid w:val="001E6A81"/>
    <w:rsid w:val="001E7B78"/>
    <w:rsid w:val="001F01BD"/>
    <w:rsid w:val="001F311B"/>
    <w:rsid w:val="001F6F07"/>
    <w:rsid w:val="00200352"/>
    <w:rsid w:val="0020329A"/>
    <w:rsid w:val="00207BE7"/>
    <w:rsid w:val="002150CE"/>
    <w:rsid w:val="00230F97"/>
    <w:rsid w:val="002344C6"/>
    <w:rsid w:val="002415E1"/>
    <w:rsid w:val="002469D2"/>
    <w:rsid w:val="00246E58"/>
    <w:rsid w:val="00250DAB"/>
    <w:rsid w:val="0025238A"/>
    <w:rsid w:val="0025317F"/>
    <w:rsid w:val="00253547"/>
    <w:rsid w:val="00263189"/>
    <w:rsid w:val="00263780"/>
    <w:rsid w:val="0026403B"/>
    <w:rsid w:val="00270C0C"/>
    <w:rsid w:val="00271279"/>
    <w:rsid w:val="002738A6"/>
    <w:rsid w:val="002763E6"/>
    <w:rsid w:val="002766EE"/>
    <w:rsid w:val="00286C78"/>
    <w:rsid w:val="002A3963"/>
    <w:rsid w:val="002A6034"/>
    <w:rsid w:val="002A71D4"/>
    <w:rsid w:val="002B6F30"/>
    <w:rsid w:val="002C6EA5"/>
    <w:rsid w:val="002D2E20"/>
    <w:rsid w:val="002D7D2C"/>
    <w:rsid w:val="002E2DBC"/>
    <w:rsid w:val="002F421A"/>
    <w:rsid w:val="002F42AF"/>
    <w:rsid w:val="002F556F"/>
    <w:rsid w:val="003007CA"/>
    <w:rsid w:val="00300AD8"/>
    <w:rsid w:val="00302854"/>
    <w:rsid w:val="003115CC"/>
    <w:rsid w:val="003152AF"/>
    <w:rsid w:val="00315FEF"/>
    <w:rsid w:val="00316DF7"/>
    <w:rsid w:val="00325141"/>
    <w:rsid w:val="003269A3"/>
    <w:rsid w:val="00327DAE"/>
    <w:rsid w:val="003403C5"/>
    <w:rsid w:val="003427B1"/>
    <w:rsid w:val="0034383A"/>
    <w:rsid w:val="0034632C"/>
    <w:rsid w:val="003474DE"/>
    <w:rsid w:val="00352E71"/>
    <w:rsid w:val="00357ACF"/>
    <w:rsid w:val="00367841"/>
    <w:rsid w:val="0037173B"/>
    <w:rsid w:val="00371D20"/>
    <w:rsid w:val="003720AE"/>
    <w:rsid w:val="00372202"/>
    <w:rsid w:val="00391718"/>
    <w:rsid w:val="003A0EE6"/>
    <w:rsid w:val="003A2386"/>
    <w:rsid w:val="003A3F1F"/>
    <w:rsid w:val="003A556A"/>
    <w:rsid w:val="003A70B9"/>
    <w:rsid w:val="003B5401"/>
    <w:rsid w:val="003D1847"/>
    <w:rsid w:val="003D793F"/>
    <w:rsid w:val="003E4BCB"/>
    <w:rsid w:val="003F6AA1"/>
    <w:rsid w:val="00403B72"/>
    <w:rsid w:val="0040476C"/>
    <w:rsid w:val="00413AC6"/>
    <w:rsid w:val="00427094"/>
    <w:rsid w:val="00435D11"/>
    <w:rsid w:val="00437AED"/>
    <w:rsid w:val="0044308A"/>
    <w:rsid w:val="00443288"/>
    <w:rsid w:val="00443874"/>
    <w:rsid w:val="00447692"/>
    <w:rsid w:val="00450D1F"/>
    <w:rsid w:val="004529AC"/>
    <w:rsid w:val="004544C1"/>
    <w:rsid w:val="004545D6"/>
    <w:rsid w:val="004546C7"/>
    <w:rsid w:val="00464DFA"/>
    <w:rsid w:val="00466B17"/>
    <w:rsid w:val="00472136"/>
    <w:rsid w:val="0047397A"/>
    <w:rsid w:val="004742C5"/>
    <w:rsid w:val="004763DE"/>
    <w:rsid w:val="004809A5"/>
    <w:rsid w:val="00486C18"/>
    <w:rsid w:val="004905EB"/>
    <w:rsid w:val="004A5FDA"/>
    <w:rsid w:val="004C44BB"/>
    <w:rsid w:val="004C7644"/>
    <w:rsid w:val="004D5054"/>
    <w:rsid w:val="004D6B1C"/>
    <w:rsid w:val="004E16C9"/>
    <w:rsid w:val="004E2888"/>
    <w:rsid w:val="004F49B1"/>
    <w:rsid w:val="004F4AA9"/>
    <w:rsid w:val="004F5934"/>
    <w:rsid w:val="004F749A"/>
    <w:rsid w:val="005013C5"/>
    <w:rsid w:val="00504EDD"/>
    <w:rsid w:val="00515EBC"/>
    <w:rsid w:val="00536A07"/>
    <w:rsid w:val="005459B5"/>
    <w:rsid w:val="00551A2A"/>
    <w:rsid w:val="00563B0D"/>
    <w:rsid w:val="00565C57"/>
    <w:rsid w:val="00574BB5"/>
    <w:rsid w:val="0058031C"/>
    <w:rsid w:val="0059474A"/>
    <w:rsid w:val="00595C92"/>
    <w:rsid w:val="005A156B"/>
    <w:rsid w:val="005A3AE7"/>
    <w:rsid w:val="005B01F5"/>
    <w:rsid w:val="005B370B"/>
    <w:rsid w:val="005C1DF6"/>
    <w:rsid w:val="005C570B"/>
    <w:rsid w:val="005D4F6D"/>
    <w:rsid w:val="005D605D"/>
    <w:rsid w:val="005E4FD3"/>
    <w:rsid w:val="005E6D26"/>
    <w:rsid w:val="00603EC4"/>
    <w:rsid w:val="006107B7"/>
    <w:rsid w:val="0062061A"/>
    <w:rsid w:val="00625E8C"/>
    <w:rsid w:val="006346AD"/>
    <w:rsid w:val="00636BA2"/>
    <w:rsid w:val="00636C17"/>
    <w:rsid w:val="00636EFF"/>
    <w:rsid w:val="00640654"/>
    <w:rsid w:val="006420A4"/>
    <w:rsid w:val="00642812"/>
    <w:rsid w:val="0064377B"/>
    <w:rsid w:val="00651890"/>
    <w:rsid w:val="006518A0"/>
    <w:rsid w:val="006600F4"/>
    <w:rsid w:val="00662A65"/>
    <w:rsid w:val="00664E8D"/>
    <w:rsid w:val="006678D4"/>
    <w:rsid w:val="00670963"/>
    <w:rsid w:val="00677CA1"/>
    <w:rsid w:val="006838EA"/>
    <w:rsid w:val="00691BC7"/>
    <w:rsid w:val="00692A46"/>
    <w:rsid w:val="006949D1"/>
    <w:rsid w:val="006A0BBA"/>
    <w:rsid w:val="006A2DE6"/>
    <w:rsid w:val="006A37C1"/>
    <w:rsid w:val="006B53DC"/>
    <w:rsid w:val="006B75AD"/>
    <w:rsid w:val="006B7629"/>
    <w:rsid w:val="006C34AF"/>
    <w:rsid w:val="006E008F"/>
    <w:rsid w:val="006E322B"/>
    <w:rsid w:val="006E3FC5"/>
    <w:rsid w:val="006E72EE"/>
    <w:rsid w:val="006F6917"/>
    <w:rsid w:val="006F71CD"/>
    <w:rsid w:val="007022EA"/>
    <w:rsid w:val="00702BB2"/>
    <w:rsid w:val="00720932"/>
    <w:rsid w:val="00732D12"/>
    <w:rsid w:val="0073320A"/>
    <w:rsid w:val="00734CC0"/>
    <w:rsid w:val="00735466"/>
    <w:rsid w:val="00735E8E"/>
    <w:rsid w:val="00741A18"/>
    <w:rsid w:val="00747072"/>
    <w:rsid w:val="00750D30"/>
    <w:rsid w:val="0075210C"/>
    <w:rsid w:val="007567F6"/>
    <w:rsid w:val="00766868"/>
    <w:rsid w:val="00767426"/>
    <w:rsid w:val="00792718"/>
    <w:rsid w:val="00797AAA"/>
    <w:rsid w:val="007A2D7F"/>
    <w:rsid w:val="007A33DC"/>
    <w:rsid w:val="007B025B"/>
    <w:rsid w:val="007B4922"/>
    <w:rsid w:val="007C13D2"/>
    <w:rsid w:val="007C521F"/>
    <w:rsid w:val="007D4267"/>
    <w:rsid w:val="007E3D1F"/>
    <w:rsid w:val="007E4DBF"/>
    <w:rsid w:val="007F644F"/>
    <w:rsid w:val="0080171A"/>
    <w:rsid w:val="0080293E"/>
    <w:rsid w:val="008067F3"/>
    <w:rsid w:val="008211BB"/>
    <w:rsid w:val="00827CBE"/>
    <w:rsid w:val="008405D0"/>
    <w:rsid w:val="008411D4"/>
    <w:rsid w:val="00841F1B"/>
    <w:rsid w:val="0084417F"/>
    <w:rsid w:val="0084699D"/>
    <w:rsid w:val="008501DA"/>
    <w:rsid w:val="00857149"/>
    <w:rsid w:val="0086023A"/>
    <w:rsid w:val="008651D2"/>
    <w:rsid w:val="0088381C"/>
    <w:rsid w:val="00890231"/>
    <w:rsid w:val="00893D2A"/>
    <w:rsid w:val="00895712"/>
    <w:rsid w:val="00895FC7"/>
    <w:rsid w:val="008A2204"/>
    <w:rsid w:val="008A7DC2"/>
    <w:rsid w:val="008B40AD"/>
    <w:rsid w:val="008B472F"/>
    <w:rsid w:val="008C2218"/>
    <w:rsid w:val="008C608B"/>
    <w:rsid w:val="008C6B2C"/>
    <w:rsid w:val="008C6B2F"/>
    <w:rsid w:val="008D12EC"/>
    <w:rsid w:val="008E0602"/>
    <w:rsid w:val="008E6681"/>
    <w:rsid w:val="008E6C96"/>
    <w:rsid w:val="008F3EDF"/>
    <w:rsid w:val="008F574E"/>
    <w:rsid w:val="00901940"/>
    <w:rsid w:val="00902141"/>
    <w:rsid w:val="009029DC"/>
    <w:rsid w:val="0090385B"/>
    <w:rsid w:val="009051A7"/>
    <w:rsid w:val="00917C22"/>
    <w:rsid w:val="00920FE6"/>
    <w:rsid w:val="00922310"/>
    <w:rsid w:val="00922390"/>
    <w:rsid w:val="00924ED8"/>
    <w:rsid w:val="009308CE"/>
    <w:rsid w:val="00932183"/>
    <w:rsid w:val="00932E1F"/>
    <w:rsid w:val="00933F9B"/>
    <w:rsid w:val="009409DC"/>
    <w:rsid w:val="00942BB9"/>
    <w:rsid w:val="009451F1"/>
    <w:rsid w:val="00951D10"/>
    <w:rsid w:val="009521FE"/>
    <w:rsid w:val="00952FF7"/>
    <w:rsid w:val="00953017"/>
    <w:rsid w:val="00974B71"/>
    <w:rsid w:val="00976BFE"/>
    <w:rsid w:val="00980956"/>
    <w:rsid w:val="009874D9"/>
    <w:rsid w:val="00991915"/>
    <w:rsid w:val="00991B54"/>
    <w:rsid w:val="00995808"/>
    <w:rsid w:val="009A4D8A"/>
    <w:rsid w:val="009A509F"/>
    <w:rsid w:val="009A7CE6"/>
    <w:rsid w:val="009B7210"/>
    <w:rsid w:val="009C00E8"/>
    <w:rsid w:val="009C0F8C"/>
    <w:rsid w:val="009C123D"/>
    <w:rsid w:val="009C3310"/>
    <w:rsid w:val="009C455C"/>
    <w:rsid w:val="009C6208"/>
    <w:rsid w:val="009D11F9"/>
    <w:rsid w:val="009D376C"/>
    <w:rsid w:val="009D7B3F"/>
    <w:rsid w:val="009E3594"/>
    <w:rsid w:val="009F3013"/>
    <w:rsid w:val="009F7149"/>
    <w:rsid w:val="00A00FC2"/>
    <w:rsid w:val="00A01FAF"/>
    <w:rsid w:val="00A0355C"/>
    <w:rsid w:val="00A1017F"/>
    <w:rsid w:val="00A10611"/>
    <w:rsid w:val="00A2218C"/>
    <w:rsid w:val="00A23FB2"/>
    <w:rsid w:val="00A265D3"/>
    <w:rsid w:val="00A31D71"/>
    <w:rsid w:val="00A35B44"/>
    <w:rsid w:val="00A46CB7"/>
    <w:rsid w:val="00A46CF4"/>
    <w:rsid w:val="00A5282C"/>
    <w:rsid w:val="00A57C3A"/>
    <w:rsid w:val="00A61EB0"/>
    <w:rsid w:val="00A6328A"/>
    <w:rsid w:val="00A75539"/>
    <w:rsid w:val="00A77BA8"/>
    <w:rsid w:val="00A805D0"/>
    <w:rsid w:val="00A81B40"/>
    <w:rsid w:val="00A83F0C"/>
    <w:rsid w:val="00A84510"/>
    <w:rsid w:val="00A84A84"/>
    <w:rsid w:val="00A91491"/>
    <w:rsid w:val="00A917EC"/>
    <w:rsid w:val="00A92FA9"/>
    <w:rsid w:val="00A94B51"/>
    <w:rsid w:val="00A9547F"/>
    <w:rsid w:val="00AA11A9"/>
    <w:rsid w:val="00AB2475"/>
    <w:rsid w:val="00AB4F91"/>
    <w:rsid w:val="00AB52E0"/>
    <w:rsid w:val="00AB7168"/>
    <w:rsid w:val="00AC4D98"/>
    <w:rsid w:val="00AD19E4"/>
    <w:rsid w:val="00AD6C68"/>
    <w:rsid w:val="00AE07E7"/>
    <w:rsid w:val="00AE5B7C"/>
    <w:rsid w:val="00AF1EE9"/>
    <w:rsid w:val="00B111C7"/>
    <w:rsid w:val="00B12131"/>
    <w:rsid w:val="00B17121"/>
    <w:rsid w:val="00B226A8"/>
    <w:rsid w:val="00B308A7"/>
    <w:rsid w:val="00B33B44"/>
    <w:rsid w:val="00B3409F"/>
    <w:rsid w:val="00B3452A"/>
    <w:rsid w:val="00B36FB9"/>
    <w:rsid w:val="00B40B6F"/>
    <w:rsid w:val="00B40DAA"/>
    <w:rsid w:val="00B462B1"/>
    <w:rsid w:val="00B561F9"/>
    <w:rsid w:val="00B568D9"/>
    <w:rsid w:val="00B576BE"/>
    <w:rsid w:val="00B61516"/>
    <w:rsid w:val="00B7585E"/>
    <w:rsid w:val="00B831FB"/>
    <w:rsid w:val="00B85A45"/>
    <w:rsid w:val="00B954E3"/>
    <w:rsid w:val="00B979EA"/>
    <w:rsid w:val="00BA0D3E"/>
    <w:rsid w:val="00BA11C9"/>
    <w:rsid w:val="00BA4C66"/>
    <w:rsid w:val="00BB0F30"/>
    <w:rsid w:val="00BB38A8"/>
    <w:rsid w:val="00BB47A8"/>
    <w:rsid w:val="00BB4E6C"/>
    <w:rsid w:val="00BC04AA"/>
    <w:rsid w:val="00BC3BC8"/>
    <w:rsid w:val="00BC6105"/>
    <w:rsid w:val="00BD15C6"/>
    <w:rsid w:val="00BD270C"/>
    <w:rsid w:val="00BD5F56"/>
    <w:rsid w:val="00BE04C4"/>
    <w:rsid w:val="00BE50D2"/>
    <w:rsid w:val="00BE7385"/>
    <w:rsid w:val="00BF0442"/>
    <w:rsid w:val="00BF1674"/>
    <w:rsid w:val="00BF2853"/>
    <w:rsid w:val="00C027FA"/>
    <w:rsid w:val="00C02F6B"/>
    <w:rsid w:val="00C06CD6"/>
    <w:rsid w:val="00C157EF"/>
    <w:rsid w:val="00C276DE"/>
    <w:rsid w:val="00C2771E"/>
    <w:rsid w:val="00C429FA"/>
    <w:rsid w:val="00C42EF8"/>
    <w:rsid w:val="00C547DE"/>
    <w:rsid w:val="00C72379"/>
    <w:rsid w:val="00C77017"/>
    <w:rsid w:val="00C84DEC"/>
    <w:rsid w:val="00C86249"/>
    <w:rsid w:val="00C86405"/>
    <w:rsid w:val="00C87FE0"/>
    <w:rsid w:val="00C93139"/>
    <w:rsid w:val="00C93231"/>
    <w:rsid w:val="00C96943"/>
    <w:rsid w:val="00CB2987"/>
    <w:rsid w:val="00CB3B2A"/>
    <w:rsid w:val="00CB4EBE"/>
    <w:rsid w:val="00CC27A4"/>
    <w:rsid w:val="00CC364B"/>
    <w:rsid w:val="00CD5766"/>
    <w:rsid w:val="00CE5959"/>
    <w:rsid w:val="00CE6612"/>
    <w:rsid w:val="00CF40BD"/>
    <w:rsid w:val="00D01C22"/>
    <w:rsid w:val="00D033A2"/>
    <w:rsid w:val="00D06A71"/>
    <w:rsid w:val="00D125EA"/>
    <w:rsid w:val="00D136A5"/>
    <w:rsid w:val="00D16064"/>
    <w:rsid w:val="00D1770B"/>
    <w:rsid w:val="00D17CD2"/>
    <w:rsid w:val="00D210ED"/>
    <w:rsid w:val="00D21F7E"/>
    <w:rsid w:val="00D33E0A"/>
    <w:rsid w:val="00D371C2"/>
    <w:rsid w:val="00D40DCA"/>
    <w:rsid w:val="00D45308"/>
    <w:rsid w:val="00D45B9E"/>
    <w:rsid w:val="00D46BA9"/>
    <w:rsid w:val="00D52577"/>
    <w:rsid w:val="00D53229"/>
    <w:rsid w:val="00D6757A"/>
    <w:rsid w:val="00D8090D"/>
    <w:rsid w:val="00D832BF"/>
    <w:rsid w:val="00D84CE9"/>
    <w:rsid w:val="00DA5069"/>
    <w:rsid w:val="00DA58E7"/>
    <w:rsid w:val="00DB205A"/>
    <w:rsid w:val="00DB4E92"/>
    <w:rsid w:val="00DB4F38"/>
    <w:rsid w:val="00DB61D3"/>
    <w:rsid w:val="00DB6212"/>
    <w:rsid w:val="00DC395A"/>
    <w:rsid w:val="00DC476F"/>
    <w:rsid w:val="00DD0963"/>
    <w:rsid w:val="00DD67AD"/>
    <w:rsid w:val="00DE37BC"/>
    <w:rsid w:val="00DF34B5"/>
    <w:rsid w:val="00DF4B0F"/>
    <w:rsid w:val="00E02807"/>
    <w:rsid w:val="00E0782A"/>
    <w:rsid w:val="00E17840"/>
    <w:rsid w:val="00E27399"/>
    <w:rsid w:val="00E3077E"/>
    <w:rsid w:val="00E579E9"/>
    <w:rsid w:val="00E662DC"/>
    <w:rsid w:val="00E71432"/>
    <w:rsid w:val="00E732C1"/>
    <w:rsid w:val="00E80740"/>
    <w:rsid w:val="00E81010"/>
    <w:rsid w:val="00E81FE0"/>
    <w:rsid w:val="00E84A5B"/>
    <w:rsid w:val="00E8568B"/>
    <w:rsid w:val="00E9122C"/>
    <w:rsid w:val="00E96349"/>
    <w:rsid w:val="00EA0497"/>
    <w:rsid w:val="00EA4A6A"/>
    <w:rsid w:val="00EA6E12"/>
    <w:rsid w:val="00EB575F"/>
    <w:rsid w:val="00EB67B4"/>
    <w:rsid w:val="00EB745F"/>
    <w:rsid w:val="00ED6C52"/>
    <w:rsid w:val="00EE698A"/>
    <w:rsid w:val="00EE6CD1"/>
    <w:rsid w:val="00EE6D5F"/>
    <w:rsid w:val="00EF2270"/>
    <w:rsid w:val="00EF2C13"/>
    <w:rsid w:val="00F00590"/>
    <w:rsid w:val="00F0159A"/>
    <w:rsid w:val="00F06E07"/>
    <w:rsid w:val="00F15C73"/>
    <w:rsid w:val="00F430AA"/>
    <w:rsid w:val="00F4593F"/>
    <w:rsid w:val="00F52CE0"/>
    <w:rsid w:val="00F5726E"/>
    <w:rsid w:val="00F6598F"/>
    <w:rsid w:val="00F70C9D"/>
    <w:rsid w:val="00F77312"/>
    <w:rsid w:val="00F80FE7"/>
    <w:rsid w:val="00F87680"/>
    <w:rsid w:val="00F91EB7"/>
    <w:rsid w:val="00F9713F"/>
    <w:rsid w:val="00F97495"/>
    <w:rsid w:val="00FB1025"/>
    <w:rsid w:val="00FC106F"/>
    <w:rsid w:val="00FD0FC9"/>
    <w:rsid w:val="00FD2836"/>
    <w:rsid w:val="00FD6FDF"/>
    <w:rsid w:val="00FE5107"/>
    <w:rsid w:val="00FF1C15"/>
    <w:rsid w:val="00FF5540"/>
    <w:rsid w:val="00FF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F9"/>
    <w:pPr>
      <w:widowControl w:val="0"/>
      <w:adjustRightInd w:val="0"/>
      <w:spacing w:after="0" w:line="240" w:lineRule="auto"/>
      <w:jc w:val="both"/>
      <w:textAlignment w:val="baseline"/>
    </w:pPr>
    <w:rPr>
      <w:rFonts w:ascii="Times New Roman" w:eastAsia="Times New Roman" w:hAnsi="Times New Roman" w:cs="Times New Roman"/>
      <w:sz w:val="20"/>
      <w:szCs w:val="20"/>
      <w:lang w:eastAsia="lv-LV"/>
    </w:rPr>
  </w:style>
  <w:style w:type="paragraph" w:styleId="Heading1">
    <w:name w:val="heading 1"/>
    <w:basedOn w:val="Heading2"/>
    <w:next w:val="Normal"/>
    <w:link w:val="Heading1Char"/>
    <w:uiPriority w:val="9"/>
    <w:qFormat/>
    <w:rsid w:val="00C06CD6"/>
    <w:pPr>
      <w:jc w:val="center"/>
      <w:outlineLvl w:val="0"/>
    </w:pPr>
    <w:rPr>
      <w:u w:val="none"/>
    </w:rPr>
  </w:style>
  <w:style w:type="paragraph" w:styleId="Heading2">
    <w:name w:val="heading 2"/>
    <w:basedOn w:val="Normal"/>
    <w:next w:val="Normal"/>
    <w:link w:val="Heading2Char"/>
    <w:uiPriority w:val="9"/>
    <w:unhideWhenUsed/>
    <w:qFormat/>
    <w:rsid w:val="00C06CD6"/>
    <w:pPr>
      <w:keepNext/>
      <w:keepLines/>
      <w:spacing w:before="120" w:after="120"/>
      <w:outlineLvl w:val="1"/>
    </w:pPr>
    <w:rPr>
      <w:rFonts w:cstheme="majorBidi"/>
      <w:b/>
      <w:sz w:val="24"/>
      <w:szCs w:val="26"/>
      <w:u w:val="single"/>
    </w:rPr>
  </w:style>
  <w:style w:type="paragraph" w:styleId="Heading3">
    <w:name w:val="heading 3"/>
    <w:basedOn w:val="Normal"/>
    <w:next w:val="Normal"/>
    <w:link w:val="Heading3Char"/>
    <w:uiPriority w:val="9"/>
    <w:unhideWhenUsed/>
    <w:qFormat/>
    <w:rsid w:val="009D11F9"/>
    <w:pPr>
      <w:keepNext/>
      <w:keepLines/>
      <w:spacing w:before="40" w:after="120"/>
      <w:jc w:val="left"/>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DA5069"/>
    <w:pPr>
      <w:keepNext/>
      <w:keepLines/>
      <w:spacing w:before="40" w:after="120"/>
      <w:jc w:val="left"/>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442"/>
    <w:rPr>
      <w:color w:val="0563C1"/>
      <w:u w:val="single"/>
    </w:rPr>
  </w:style>
  <w:style w:type="paragraph" w:styleId="FootnoteText">
    <w:name w:val="footnote text"/>
    <w:basedOn w:val="Normal"/>
    <w:link w:val="FootnoteTextChar"/>
    <w:uiPriority w:val="99"/>
    <w:semiHidden/>
    <w:unhideWhenUsed/>
    <w:rsid w:val="009F7149"/>
  </w:style>
  <w:style w:type="character" w:customStyle="1" w:styleId="FootnoteTextChar">
    <w:name w:val="Footnote Text Char"/>
    <w:basedOn w:val="DefaultParagraphFont"/>
    <w:link w:val="FootnoteText"/>
    <w:uiPriority w:val="99"/>
    <w:semiHidden/>
    <w:rsid w:val="009F7149"/>
    <w:rPr>
      <w:rFonts w:ascii="Calibri" w:hAnsi="Calibri" w:cs="Calibri"/>
      <w:sz w:val="20"/>
      <w:szCs w:val="20"/>
    </w:rPr>
  </w:style>
  <w:style w:type="character" w:styleId="FootnoteReference">
    <w:name w:val="footnote reference"/>
    <w:basedOn w:val="DefaultParagraphFont"/>
    <w:uiPriority w:val="99"/>
    <w:semiHidden/>
    <w:unhideWhenUsed/>
    <w:rsid w:val="009F7149"/>
    <w:rPr>
      <w:vertAlign w:val="superscript"/>
    </w:rPr>
  </w:style>
  <w:style w:type="paragraph" w:styleId="Header">
    <w:name w:val="header"/>
    <w:basedOn w:val="Normal"/>
    <w:link w:val="HeaderChar"/>
    <w:uiPriority w:val="99"/>
    <w:unhideWhenUsed/>
    <w:rsid w:val="00A01FAF"/>
    <w:pPr>
      <w:tabs>
        <w:tab w:val="center" w:pos="4153"/>
        <w:tab w:val="right" w:pos="8306"/>
      </w:tabs>
    </w:pPr>
  </w:style>
  <w:style w:type="character" w:customStyle="1" w:styleId="HeaderChar">
    <w:name w:val="Header Char"/>
    <w:basedOn w:val="DefaultParagraphFont"/>
    <w:link w:val="Header"/>
    <w:uiPriority w:val="99"/>
    <w:rsid w:val="00A01FAF"/>
    <w:rPr>
      <w:rFonts w:ascii="Calibri" w:hAnsi="Calibri" w:cs="Calibri"/>
    </w:rPr>
  </w:style>
  <w:style w:type="paragraph" w:styleId="Footer">
    <w:name w:val="footer"/>
    <w:basedOn w:val="Normal"/>
    <w:link w:val="FooterChar"/>
    <w:uiPriority w:val="99"/>
    <w:unhideWhenUsed/>
    <w:rsid w:val="00A01FAF"/>
    <w:pPr>
      <w:tabs>
        <w:tab w:val="center" w:pos="4153"/>
        <w:tab w:val="right" w:pos="8306"/>
      </w:tabs>
    </w:pPr>
  </w:style>
  <w:style w:type="character" w:customStyle="1" w:styleId="FooterChar">
    <w:name w:val="Footer Char"/>
    <w:basedOn w:val="DefaultParagraphFont"/>
    <w:link w:val="Footer"/>
    <w:uiPriority w:val="99"/>
    <w:rsid w:val="00A01FAF"/>
    <w:rPr>
      <w:rFonts w:ascii="Calibri" w:hAnsi="Calibri" w:cs="Calibri"/>
    </w:rPr>
  </w:style>
  <w:style w:type="character" w:customStyle="1" w:styleId="Heading2Char">
    <w:name w:val="Heading 2 Char"/>
    <w:basedOn w:val="DefaultParagraphFont"/>
    <w:link w:val="Heading2"/>
    <w:uiPriority w:val="9"/>
    <w:rsid w:val="00C06CD6"/>
    <w:rPr>
      <w:rFonts w:ascii="Times New Roman" w:eastAsia="Times New Roman" w:hAnsi="Times New Roman" w:cstheme="majorBidi"/>
      <w:b/>
      <w:sz w:val="24"/>
      <w:szCs w:val="26"/>
      <w:u w:val="single"/>
      <w:lang w:eastAsia="lv-LV"/>
    </w:rPr>
  </w:style>
  <w:style w:type="character" w:customStyle="1" w:styleId="Heading1Char">
    <w:name w:val="Heading 1 Char"/>
    <w:basedOn w:val="DefaultParagraphFont"/>
    <w:link w:val="Heading1"/>
    <w:uiPriority w:val="9"/>
    <w:rsid w:val="00C06CD6"/>
    <w:rPr>
      <w:rFonts w:ascii="Times New Roman" w:eastAsia="Times New Roman" w:hAnsi="Times New Roman" w:cstheme="majorBidi"/>
      <w:b/>
      <w:sz w:val="24"/>
      <w:szCs w:val="26"/>
      <w:lang w:eastAsia="lv-LV"/>
    </w:rPr>
  </w:style>
  <w:style w:type="paragraph" w:styleId="TOCHeading">
    <w:name w:val="TOC Heading"/>
    <w:basedOn w:val="Heading1"/>
    <w:next w:val="Normal"/>
    <w:uiPriority w:val="39"/>
    <w:unhideWhenUsed/>
    <w:qFormat/>
    <w:rsid w:val="003A556A"/>
    <w:pPr>
      <w:spacing w:line="259" w:lineRule="auto"/>
      <w:outlineLvl w:val="9"/>
    </w:pPr>
    <w:rPr>
      <w:lang w:val="en-US"/>
    </w:rPr>
  </w:style>
  <w:style w:type="paragraph" w:styleId="TOC2">
    <w:name w:val="toc 2"/>
    <w:basedOn w:val="Normal"/>
    <w:next w:val="Normal"/>
    <w:autoRedefine/>
    <w:uiPriority w:val="39"/>
    <w:unhideWhenUsed/>
    <w:rsid w:val="003A556A"/>
    <w:pPr>
      <w:spacing w:after="100"/>
      <w:ind w:left="220"/>
    </w:pPr>
  </w:style>
  <w:style w:type="paragraph" w:styleId="ListParagraph">
    <w:name w:val="List Paragraph"/>
    <w:basedOn w:val="Normal"/>
    <w:uiPriority w:val="34"/>
    <w:qFormat/>
    <w:rsid w:val="007B025B"/>
    <w:pPr>
      <w:ind w:left="720"/>
      <w:contextualSpacing/>
    </w:pPr>
  </w:style>
  <w:style w:type="character" w:styleId="CommentReference">
    <w:name w:val="annotation reference"/>
    <w:basedOn w:val="DefaultParagraphFont"/>
    <w:uiPriority w:val="99"/>
    <w:semiHidden/>
    <w:unhideWhenUsed/>
    <w:rsid w:val="002F556F"/>
    <w:rPr>
      <w:sz w:val="16"/>
      <w:szCs w:val="16"/>
    </w:rPr>
  </w:style>
  <w:style w:type="paragraph" w:styleId="CommentText">
    <w:name w:val="annotation text"/>
    <w:basedOn w:val="Normal"/>
    <w:link w:val="CommentTextChar"/>
    <w:uiPriority w:val="99"/>
    <w:semiHidden/>
    <w:unhideWhenUsed/>
    <w:rsid w:val="002F556F"/>
  </w:style>
  <w:style w:type="character" w:customStyle="1" w:styleId="CommentTextChar">
    <w:name w:val="Comment Text Char"/>
    <w:basedOn w:val="DefaultParagraphFont"/>
    <w:link w:val="CommentText"/>
    <w:uiPriority w:val="99"/>
    <w:semiHidden/>
    <w:rsid w:val="002F556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F556F"/>
    <w:rPr>
      <w:b/>
      <w:bCs/>
    </w:rPr>
  </w:style>
  <w:style w:type="character" w:customStyle="1" w:styleId="CommentSubjectChar">
    <w:name w:val="Comment Subject Char"/>
    <w:basedOn w:val="CommentTextChar"/>
    <w:link w:val="CommentSubject"/>
    <w:uiPriority w:val="99"/>
    <w:semiHidden/>
    <w:rsid w:val="002F556F"/>
    <w:rPr>
      <w:rFonts w:ascii="Calibri" w:hAnsi="Calibri" w:cs="Calibri"/>
      <w:b/>
      <w:bCs/>
      <w:sz w:val="20"/>
      <w:szCs w:val="20"/>
    </w:rPr>
  </w:style>
  <w:style w:type="paragraph" w:styleId="BalloonText">
    <w:name w:val="Balloon Text"/>
    <w:basedOn w:val="Normal"/>
    <w:link w:val="BalloonTextChar"/>
    <w:uiPriority w:val="99"/>
    <w:semiHidden/>
    <w:unhideWhenUsed/>
    <w:rsid w:val="002F5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6F"/>
    <w:rPr>
      <w:rFonts w:ascii="Segoe UI" w:hAnsi="Segoe UI" w:cs="Segoe UI"/>
      <w:sz w:val="18"/>
      <w:szCs w:val="18"/>
    </w:rPr>
  </w:style>
  <w:style w:type="paragraph" w:styleId="TOC1">
    <w:name w:val="toc 1"/>
    <w:basedOn w:val="Normal"/>
    <w:next w:val="Normal"/>
    <w:autoRedefine/>
    <w:uiPriority w:val="39"/>
    <w:unhideWhenUsed/>
    <w:rsid w:val="002D7D2C"/>
    <w:pPr>
      <w:spacing w:after="100"/>
    </w:pPr>
  </w:style>
  <w:style w:type="character" w:customStyle="1" w:styleId="Heading3Char">
    <w:name w:val="Heading 3 Char"/>
    <w:basedOn w:val="DefaultParagraphFont"/>
    <w:link w:val="Heading3"/>
    <w:uiPriority w:val="9"/>
    <w:rsid w:val="009D11F9"/>
    <w:rPr>
      <w:rFonts w:ascii="Times New Roman" w:eastAsiaTheme="majorEastAsia" w:hAnsi="Times New Roman" w:cstheme="majorBidi"/>
      <w:b/>
      <w:sz w:val="24"/>
      <w:szCs w:val="20"/>
      <w:lang w:eastAsia="lv-LV"/>
    </w:rPr>
  </w:style>
  <w:style w:type="character" w:customStyle="1" w:styleId="Heading4Char">
    <w:name w:val="Heading 4 Char"/>
    <w:basedOn w:val="DefaultParagraphFont"/>
    <w:link w:val="Heading4"/>
    <w:uiPriority w:val="9"/>
    <w:rsid w:val="00DA5069"/>
    <w:rPr>
      <w:rFonts w:ascii="Times New Roman" w:eastAsiaTheme="majorEastAsia" w:hAnsi="Times New Roman" w:cstheme="majorBidi"/>
      <w:b/>
      <w:iCs/>
      <w:sz w:val="24"/>
      <w:szCs w:val="20"/>
      <w:lang w:eastAsia="lv-LV"/>
    </w:rPr>
  </w:style>
  <w:style w:type="paragraph" w:styleId="TOC3">
    <w:name w:val="toc 3"/>
    <w:basedOn w:val="Normal"/>
    <w:next w:val="Normal"/>
    <w:autoRedefine/>
    <w:uiPriority w:val="39"/>
    <w:unhideWhenUsed/>
    <w:rsid w:val="006A2DE6"/>
    <w:pPr>
      <w:spacing w:after="100"/>
      <w:ind w:left="440"/>
    </w:pPr>
  </w:style>
  <w:style w:type="paragraph" w:styleId="TOC4">
    <w:name w:val="toc 4"/>
    <w:basedOn w:val="Normal"/>
    <w:next w:val="Normal"/>
    <w:autoRedefine/>
    <w:uiPriority w:val="39"/>
    <w:unhideWhenUsed/>
    <w:rsid w:val="006A2DE6"/>
    <w:pPr>
      <w:spacing w:after="100"/>
      <w:ind w:left="660"/>
    </w:pPr>
  </w:style>
  <w:style w:type="character" w:customStyle="1" w:styleId="apple-tab-span">
    <w:name w:val="apple-tab-span"/>
    <w:basedOn w:val="DefaultParagraphFont"/>
    <w:rsid w:val="00DB4F38"/>
  </w:style>
  <w:style w:type="paragraph" w:styleId="TOC5">
    <w:name w:val="toc 5"/>
    <w:basedOn w:val="Normal"/>
    <w:next w:val="Normal"/>
    <w:autoRedefine/>
    <w:uiPriority w:val="39"/>
    <w:unhideWhenUsed/>
    <w:rsid w:val="00246E58"/>
    <w:pPr>
      <w:widowControl/>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46E58"/>
    <w:pPr>
      <w:widowControl/>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46E58"/>
    <w:pPr>
      <w:widowControl/>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46E58"/>
    <w:pPr>
      <w:widowControl/>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46E58"/>
    <w:pPr>
      <w:widowControl/>
      <w:adjustRightInd/>
      <w:spacing w:after="100" w:line="259" w:lineRule="auto"/>
      <w:ind w:left="1760"/>
      <w:jc w:val="left"/>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5130237">
      <w:bodyDiv w:val="1"/>
      <w:marLeft w:val="0"/>
      <w:marRight w:val="0"/>
      <w:marTop w:val="0"/>
      <w:marBottom w:val="0"/>
      <w:divBdr>
        <w:top w:val="none" w:sz="0" w:space="0" w:color="auto"/>
        <w:left w:val="none" w:sz="0" w:space="0" w:color="auto"/>
        <w:bottom w:val="none" w:sz="0" w:space="0" w:color="auto"/>
        <w:right w:val="none" w:sz="0" w:space="0" w:color="auto"/>
      </w:divBdr>
    </w:div>
    <w:div w:id="38944539">
      <w:bodyDiv w:val="1"/>
      <w:marLeft w:val="0"/>
      <w:marRight w:val="0"/>
      <w:marTop w:val="0"/>
      <w:marBottom w:val="0"/>
      <w:divBdr>
        <w:top w:val="none" w:sz="0" w:space="0" w:color="auto"/>
        <w:left w:val="none" w:sz="0" w:space="0" w:color="auto"/>
        <w:bottom w:val="none" w:sz="0" w:space="0" w:color="auto"/>
        <w:right w:val="none" w:sz="0" w:space="0" w:color="auto"/>
      </w:divBdr>
    </w:div>
    <w:div w:id="43675037">
      <w:bodyDiv w:val="1"/>
      <w:marLeft w:val="0"/>
      <w:marRight w:val="0"/>
      <w:marTop w:val="0"/>
      <w:marBottom w:val="0"/>
      <w:divBdr>
        <w:top w:val="none" w:sz="0" w:space="0" w:color="auto"/>
        <w:left w:val="none" w:sz="0" w:space="0" w:color="auto"/>
        <w:bottom w:val="none" w:sz="0" w:space="0" w:color="auto"/>
        <w:right w:val="none" w:sz="0" w:space="0" w:color="auto"/>
      </w:divBdr>
    </w:div>
    <w:div w:id="55977872">
      <w:bodyDiv w:val="1"/>
      <w:marLeft w:val="0"/>
      <w:marRight w:val="0"/>
      <w:marTop w:val="0"/>
      <w:marBottom w:val="0"/>
      <w:divBdr>
        <w:top w:val="none" w:sz="0" w:space="0" w:color="auto"/>
        <w:left w:val="none" w:sz="0" w:space="0" w:color="auto"/>
        <w:bottom w:val="none" w:sz="0" w:space="0" w:color="auto"/>
        <w:right w:val="none" w:sz="0" w:space="0" w:color="auto"/>
      </w:divBdr>
    </w:div>
    <w:div w:id="61295509">
      <w:bodyDiv w:val="1"/>
      <w:marLeft w:val="0"/>
      <w:marRight w:val="0"/>
      <w:marTop w:val="0"/>
      <w:marBottom w:val="0"/>
      <w:divBdr>
        <w:top w:val="none" w:sz="0" w:space="0" w:color="auto"/>
        <w:left w:val="none" w:sz="0" w:space="0" w:color="auto"/>
        <w:bottom w:val="none" w:sz="0" w:space="0" w:color="auto"/>
        <w:right w:val="none" w:sz="0" w:space="0" w:color="auto"/>
      </w:divBdr>
    </w:div>
    <w:div w:id="82147078">
      <w:bodyDiv w:val="1"/>
      <w:marLeft w:val="0"/>
      <w:marRight w:val="0"/>
      <w:marTop w:val="0"/>
      <w:marBottom w:val="0"/>
      <w:divBdr>
        <w:top w:val="none" w:sz="0" w:space="0" w:color="auto"/>
        <w:left w:val="none" w:sz="0" w:space="0" w:color="auto"/>
        <w:bottom w:val="none" w:sz="0" w:space="0" w:color="auto"/>
        <w:right w:val="none" w:sz="0" w:space="0" w:color="auto"/>
      </w:divBdr>
    </w:div>
    <w:div w:id="96103498">
      <w:bodyDiv w:val="1"/>
      <w:marLeft w:val="0"/>
      <w:marRight w:val="0"/>
      <w:marTop w:val="0"/>
      <w:marBottom w:val="0"/>
      <w:divBdr>
        <w:top w:val="none" w:sz="0" w:space="0" w:color="auto"/>
        <w:left w:val="none" w:sz="0" w:space="0" w:color="auto"/>
        <w:bottom w:val="none" w:sz="0" w:space="0" w:color="auto"/>
        <w:right w:val="none" w:sz="0" w:space="0" w:color="auto"/>
      </w:divBdr>
    </w:div>
    <w:div w:id="135533068">
      <w:bodyDiv w:val="1"/>
      <w:marLeft w:val="0"/>
      <w:marRight w:val="0"/>
      <w:marTop w:val="0"/>
      <w:marBottom w:val="0"/>
      <w:divBdr>
        <w:top w:val="none" w:sz="0" w:space="0" w:color="auto"/>
        <w:left w:val="none" w:sz="0" w:space="0" w:color="auto"/>
        <w:bottom w:val="none" w:sz="0" w:space="0" w:color="auto"/>
        <w:right w:val="none" w:sz="0" w:space="0" w:color="auto"/>
      </w:divBdr>
    </w:div>
    <w:div w:id="157044292">
      <w:bodyDiv w:val="1"/>
      <w:marLeft w:val="0"/>
      <w:marRight w:val="0"/>
      <w:marTop w:val="0"/>
      <w:marBottom w:val="0"/>
      <w:divBdr>
        <w:top w:val="none" w:sz="0" w:space="0" w:color="auto"/>
        <w:left w:val="none" w:sz="0" w:space="0" w:color="auto"/>
        <w:bottom w:val="none" w:sz="0" w:space="0" w:color="auto"/>
        <w:right w:val="none" w:sz="0" w:space="0" w:color="auto"/>
      </w:divBdr>
    </w:div>
    <w:div w:id="192352239">
      <w:bodyDiv w:val="1"/>
      <w:marLeft w:val="0"/>
      <w:marRight w:val="0"/>
      <w:marTop w:val="0"/>
      <w:marBottom w:val="0"/>
      <w:divBdr>
        <w:top w:val="none" w:sz="0" w:space="0" w:color="auto"/>
        <w:left w:val="none" w:sz="0" w:space="0" w:color="auto"/>
        <w:bottom w:val="none" w:sz="0" w:space="0" w:color="auto"/>
        <w:right w:val="none" w:sz="0" w:space="0" w:color="auto"/>
      </w:divBdr>
    </w:div>
    <w:div w:id="202405520">
      <w:bodyDiv w:val="1"/>
      <w:marLeft w:val="0"/>
      <w:marRight w:val="0"/>
      <w:marTop w:val="0"/>
      <w:marBottom w:val="0"/>
      <w:divBdr>
        <w:top w:val="none" w:sz="0" w:space="0" w:color="auto"/>
        <w:left w:val="none" w:sz="0" w:space="0" w:color="auto"/>
        <w:bottom w:val="none" w:sz="0" w:space="0" w:color="auto"/>
        <w:right w:val="none" w:sz="0" w:space="0" w:color="auto"/>
      </w:divBdr>
    </w:div>
    <w:div w:id="231936214">
      <w:bodyDiv w:val="1"/>
      <w:marLeft w:val="0"/>
      <w:marRight w:val="0"/>
      <w:marTop w:val="0"/>
      <w:marBottom w:val="0"/>
      <w:divBdr>
        <w:top w:val="none" w:sz="0" w:space="0" w:color="auto"/>
        <w:left w:val="none" w:sz="0" w:space="0" w:color="auto"/>
        <w:bottom w:val="none" w:sz="0" w:space="0" w:color="auto"/>
        <w:right w:val="none" w:sz="0" w:space="0" w:color="auto"/>
      </w:divBdr>
    </w:div>
    <w:div w:id="259722910">
      <w:bodyDiv w:val="1"/>
      <w:marLeft w:val="0"/>
      <w:marRight w:val="0"/>
      <w:marTop w:val="0"/>
      <w:marBottom w:val="0"/>
      <w:divBdr>
        <w:top w:val="none" w:sz="0" w:space="0" w:color="auto"/>
        <w:left w:val="none" w:sz="0" w:space="0" w:color="auto"/>
        <w:bottom w:val="none" w:sz="0" w:space="0" w:color="auto"/>
        <w:right w:val="none" w:sz="0" w:space="0" w:color="auto"/>
      </w:divBdr>
    </w:div>
    <w:div w:id="267274359">
      <w:bodyDiv w:val="1"/>
      <w:marLeft w:val="0"/>
      <w:marRight w:val="0"/>
      <w:marTop w:val="0"/>
      <w:marBottom w:val="0"/>
      <w:divBdr>
        <w:top w:val="none" w:sz="0" w:space="0" w:color="auto"/>
        <w:left w:val="none" w:sz="0" w:space="0" w:color="auto"/>
        <w:bottom w:val="none" w:sz="0" w:space="0" w:color="auto"/>
        <w:right w:val="none" w:sz="0" w:space="0" w:color="auto"/>
      </w:divBdr>
    </w:div>
    <w:div w:id="26916337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290092635">
      <w:bodyDiv w:val="1"/>
      <w:marLeft w:val="0"/>
      <w:marRight w:val="0"/>
      <w:marTop w:val="0"/>
      <w:marBottom w:val="0"/>
      <w:divBdr>
        <w:top w:val="none" w:sz="0" w:space="0" w:color="auto"/>
        <w:left w:val="none" w:sz="0" w:space="0" w:color="auto"/>
        <w:bottom w:val="none" w:sz="0" w:space="0" w:color="auto"/>
        <w:right w:val="none" w:sz="0" w:space="0" w:color="auto"/>
      </w:divBdr>
    </w:div>
    <w:div w:id="313415902">
      <w:bodyDiv w:val="1"/>
      <w:marLeft w:val="0"/>
      <w:marRight w:val="0"/>
      <w:marTop w:val="0"/>
      <w:marBottom w:val="0"/>
      <w:divBdr>
        <w:top w:val="none" w:sz="0" w:space="0" w:color="auto"/>
        <w:left w:val="none" w:sz="0" w:space="0" w:color="auto"/>
        <w:bottom w:val="none" w:sz="0" w:space="0" w:color="auto"/>
        <w:right w:val="none" w:sz="0" w:space="0" w:color="auto"/>
      </w:divBdr>
    </w:div>
    <w:div w:id="333578841">
      <w:bodyDiv w:val="1"/>
      <w:marLeft w:val="0"/>
      <w:marRight w:val="0"/>
      <w:marTop w:val="0"/>
      <w:marBottom w:val="0"/>
      <w:divBdr>
        <w:top w:val="none" w:sz="0" w:space="0" w:color="auto"/>
        <w:left w:val="none" w:sz="0" w:space="0" w:color="auto"/>
        <w:bottom w:val="none" w:sz="0" w:space="0" w:color="auto"/>
        <w:right w:val="none" w:sz="0" w:space="0" w:color="auto"/>
      </w:divBdr>
    </w:div>
    <w:div w:id="335036302">
      <w:bodyDiv w:val="1"/>
      <w:marLeft w:val="0"/>
      <w:marRight w:val="0"/>
      <w:marTop w:val="0"/>
      <w:marBottom w:val="0"/>
      <w:divBdr>
        <w:top w:val="none" w:sz="0" w:space="0" w:color="auto"/>
        <w:left w:val="none" w:sz="0" w:space="0" w:color="auto"/>
        <w:bottom w:val="none" w:sz="0" w:space="0" w:color="auto"/>
        <w:right w:val="none" w:sz="0" w:space="0" w:color="auto"/>
      </w:divBdr>
    </w:div>
    <w:div w:id="339311111">
      <w:bodyDiv w:val="1"/>
      <w:marLeft w:val="0"/>
      <w:marRight w:val="0"/>
      <w:marTop w:val="0"/>
      <w:marBottom w:val="0"/>
      <w:divBdr>
        <w:top w:val="none" w:sz="0" w:space="0" w:color="auto"/>
        <w:left w:val="none" w:sz="0" w:space="0" w:color="auto"/>
        <w:bottom w:val="none" w:sz="0" w:space="0" w:color="auto"/>
        <w:right w:val="none" w:sz="0" w:space="0" w:color="auto"/>
      </w:divBdr>
    </w:div>
    <w:div w:id="341275957">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83717549">
      <w:bodyDiv w:val="1"/>
      <w:marLeft w:val="0"/>
      <w:marRight w:val="0"/>
      <w:marTop w:val="0"/>
      <w:marBottom w:val="0"/>
      <w:divBdr>
        <w:top w:val="none" w:sz="0" w:space="0" w:color="auto"/>
        <w:left w:val="none" w:sz="0" w:space="0" w:color="auto"/>
        <w:bottom w:val="none" w:sz="0" w:space="0" w:color="auto"/>
        <w:right w:val="none" w:sz="0" w:space="0" w:color="auto"/>
      </w:divBdr>
    </w:div>
    <w:div w:id="390274074">
      <w:bodyDiv w:val="1"/>
      <w:marLeft w:val="0"/>
      <w:marRight w:val="0"/>
      <w:marTop w:val="0"/>
      <w:marBottom w:val="0"/>
      <w:divBdr>
        <w:top w:val="none" w:sz="0" w:space="0" w:color="auto"/>
        <w:left w:val="none" w:sz="0" w:space="0" w:color="auto"/>
        <w:bottom w:val="none" w:sz="0" w:space="0" w:color="auto"/>
        <w:right w:val="none" w:sz="0" w:space="0" w:color="auto"/>
      </w:divBdr>
    </w:div>
    <w:div w:id="442922827">
      <w:bodyDiv w:val="1"/>
      <w:marLeft w:val="0"/>
      <w:marRight w:val="0"/>
      <w:marTop w:val="0"/>
      <w:marBottom w:val="0"/>
      <w:divBdr>
        <w:top w:val="none" w:sz="0" w:space="0" w:color="auto"/>
        <w:left w:val="none" w:sz="0" w:space="0" w:color="auto"/>
        <w:bottom w:val="none" w:sz="0" w:space="0" w:color="auto"/>
        <w:right w:val="none" w:sz="0" w:space="0" w:color="auto"/>
      </w:divBdr>
    </w:div>
    <w:div w:id="449398631">
      <w:bodyDiv w:val="1"/>
      <w:marLeft w:val="0"/>
      <w:marRight w:val="0"/>
      <w:marTop w:val="0"/>
      <w:marBottom w:val="0"/>
      <w:divBdr>
        <w:top w:val="none" w:sz="0" w:space="0" w:color="auto"/>
        <w:left w:val="none" w:sz="0" w:space="0" w:color="auto"/>
        <w:bottom w:val="none" w:sz="0" w:space="0" w:color="auto"/>
        <w:right w:val="none" w:sz="0" w:space="0" w:color="auto"/>
      </w:divBdr>
    </w:div>
    <w:div w:id="470561888">
      <w:bodyDiv w:val="1"/>
      <w:marLeft w:val="0"/>
      <w:marRight w:val="0"/>
      <w:marTop w:val="0"/>
      <w:marBottom w:val="0"/>
      <w:divBdr>
        <w:top w:val="none" w:sz="0" w:space="0" w:color="auto"/>
        <w:left w:val="none" w:sz="0" w:space="0" w:color="auto"/>
        <w:bottom w:val="none" w:sz="0" w:space="0" w:color="auto"/>
        <w:right w:val="none" w:sz="0" w:space="0" w:color="auto"/>
      </w:divBdr>
    </w:div>
    <w:div w:id="475217959">
      <w:bodyDiv w:val="1"/>
      <w:marLeft w:val="0"/>
      <w:marRight w:val="0"/>
      <w:marTop w:val="0"/>
      <w:marBottom w:val="0"/>
      <w:divBdr>
        <w:top w:val="none" w:sz="0" w:space="0" w:color="auto"/>
        <w:left w:val="none" w:sz="0" w:space="0" w:color="auto"/>
        <w:bottom w:val="none" w:sz="0" w:space="0" w:color="auto"/>
        <w:right w:val="none" w:sz="0" w:space="0" w:color="auto"/>
      </w:divBdr>
    </w:div>
    <w:div w:id="479075712">
      <w:bodyDiv w:val="1"/>
      <w:marLeft w:val="0"/>
      <w:marRight w:val="0"/>
      <w:marTop w:val="0"/>
      <w:marBottom w:val="0"/>
      <w:divBdr>
        <w:top w:val="none" w:sz="0" w:space="0" w:color="auto"/>
        <w:left w:val="none" w:sz="0" w:space="0" w:color="auto"/>
        <w:bottom w:val="none" w:sz="0" w:space="0" w:color="auto"/>
        <w:right w:val="none" w:sz="0" w:space="0" w:color="auto"/>
      </w:divBdr>
    </w:div>
    <w:div w:id="497161991">
      <w:bodyDiv w:val="1"/>
      <w:marLeft w:val="0"/>
      <w:marRight w:val="0"/>
      <w:marTop w:val="0"/>
      <w:marBottom w:val="0"/>
      <w:divBdr>
        <w:top w:val="none" w:sz="0" w:space="0" w:color="auto"/>
        <w:left w:val="none" w:sz="0" w:space="0" w:color="auto"/>
        <w:bottom w:val="none" w:sz="0" w:space="0" w:color="auto"/>
        <w:right w:val="none" w:sz="0" w:space="0" w:color="auto"/>
      </w:divBdr>
    </w:div>
    <w:div w:id="523904978">
      <w:bodyDiv w:val="1"/>
      <w:marLeft w:val="0"/>
      <w:marRight w:val="0"/>
      <w:marTop w:val="0"/>
      <w:marBottom w:val="0"/>
      <w:divBdr>
        <w:top w:val="none" w:sz="0" w:space="0" w:color="auto"/>
        <w:left w:val="none" w:sz="0" w:space="0" w:color="auto"/>
        <w:bottom w:val="none" w:sz="0" w:space="0" w:color="auto"/>
        <w:right w:val="none" w:sz="0" w:space="0" w:color="auto"/>
      </w:divBdr>
    </w:div>
    <w:div w:id="569659735">
      <w:bodyDiv w:val="1"/>
      <w:marLeft w:val="0"/>
      <w:marRight w:val="0"/>
      <w:marTop w:val="0"/>
      <w:marBottom w:val="0"/>
      <w:divBdr>
        <w:top w:val="none" w:sz="0" w:space="0" w:color="auto"/>
        <w:left w:val="none" w:sz="0" w:space="0" w:color="auto"/>
        <w:bottom w:val="none" w:sz="0" w:space="0" w:color="auto"/>
        <w:right w:val="none" w:sz="0" w:space="0" w:color="auto"/>
      </w:divBdr>
    </w:div>
    <w:div w:id="590941551">
      <w:bodyDiv w:val="1"/>
      <w:marLeft w:val="0"/>
      <w:marRight w:val="0"/>
      <w:marTop w:val="0"/>
      <w:marBottom w:val="0"/>
      <w:divBdr>
        <w:top w:val="none" w:sz="0" w:space="0" w:color="auto"/>
        <w:left w:val="none" w:sz="0" w:space="0" w:color="auto"/>
        <w:bottom w:val="none" w:sz="0" w:space="0" w:color="auto"/>
        <w:right w:val="none" w:sz="0" w:space="0" w:color="auto"/>
      </w:divBdr>
    </w:div>
    <w:div w:id="591740512">
      <w:bodyDiv w:val="1"/>
      <w:marLeft w:val="0"/>
      <w:marRight w:val="0"/>
      <w:marTop w:val="0"/>
      <w:marBottom w:val="0"/>
      <w:divBdr>
        <w:top w:val="none" w:sz="0" w:space="0" w:color="auto"/>
        <w:left w:val="none" w:sz="0" w:space="0" w:color="auto"/>
        <w:bottom w:val="none" w:sz="0" w:space="0" w:color="auto"/>
        <w:right w:val="none" w:sz="0" w:space="0" w:color="auto"/>
      </w:divBdr>
    </w:div>
    <w:div w:id="595483831">
      <w:bodyDiv w:val="1"/>
      <w:marLeft w:val="0"/>
      <w:marRight w:val="0"/>
      <w:marTop w:val="0"/>
      <w:marBottom w:val="0"/>
      <w:divBdr>
        <w:top w:val="none" w:sz="0" w:space="0" w:color="auto"/>
        <w:left w:val="none" w:sz="0" w:space="0" w:color="auto"/>
        <w:bottom w:val="none" w:sz="0" w:space="0" w:color="auto"/>
        <w:right w:val="none" w:sz="0" w:space="0" w:color="auto"/>
      </w:divBdr>
    </w:div>
    <w:div w:id="596059440">
      <w:bodyDiv w:val="1"/>
      <w:marLeft w:val="0"/>
      <w:marRight w:val="0"/>
      <w:marTop w:val="0"/>
      <w:marBottom w:val="0"/>
      <w:divBdr>
        <w:top w:val="none" w:sz="0" w:space="0" w:color="auto"/>
        <w:left w:val="none" w:sz="0" w:space="0" w:color="auto"/>
        <w:bottom w:val="none" w:sz="0" w:space="0" w:color="auto"/>
        <w:right w:val="none" w:sz="0" w:space="0" w:color="auto"/>
      </w:divBdr>
    </w:div>
    <w:div w:id="603539498">
      <w:bodyDiv w:val="1"/>
      <w:marLeft w:val="0"/>
      <w:marRight w:val="0"/>
      <w:marTop w:val="0"/>
      <w:marBottom w:val="0"/>
      <w:divBdr>
        <w:top w:val="none" w:sz="0" w:space="0" w:color="auto"/>
        <w:left w:val="none" w:sz="0" w:space="0" w:color="auto"/>
        <w:bottom w:val="none" w:sz="0" w:space="0" w:color="auto"/>
        <w:right w:val="none" w:sz="0" w:space="0" w:color="auto"/>
      </w:divBdr>
    </w:div>
    <w:div w:id="613101557">
      <w:bodyDiv w:val="1"/>
      <w:marLeft w:val="0"/>
      <w:marRight w:val="0"/>
      <w:marTop w:val="0"/>
      <w:marBottom w:val="0"/>
      <w:divBdr>
        <w:top w:val="none" w:sz="0" w:space="0" w:color="auto"/>
        <w:left w:val="none" w:sz="0" w:space="0" w:color="auto"/>
        <w:bottom w:val="none" w:sz="0" w:space="0" w:color="auto"/>
        <w:right w:val="none" w:sz="0" w:space="0" w:color="auto"/>
      </w:divBdr>
    </w:div>
    <w:div w:id="621688946">
      <w:bodyDiv w:val="1"/>
      <w:marLeft w:val="0"/>
      <w:marRight w:val="0"/>
      <w:marTop w:val="0"/>
      <w:marBottom w:val="0"/>
      <w:divBdr>
        <w:top w:val="none" w:sz="0" w:space="0" w:color="auto"/>
        <w:left w:val="none" w:sz="0" w:space="0" w:color="auto"/>
        <w:bottom w:val="none" w:sz="0" w:space="0" w:color="auto"/>
        <w:right w:val="none" w:sz="0" w:space="0" w:color="auto"/>
      </w:divBdr>
    </w:div>
    <w:div w:id="643042360">
      <w:bodyDiv w:val="1"/>
      <w:marLeft w:val="0"/>
      <w:marRight w:val="0"/>
      <w:marTop w:val="0"/>
      <w:marBottom w:val="0"/>
      <w:divBdr>
        <w:top w:val="none" w:sz="0" w:space="0" w:color="auto"/>
        <w:left w:val="none" w:sz="0" w:space="0" w:color="auto"/>
        <w:bottom w:val="none" w:sz="0" w:space="0" w:color="auto"/>
        <w:right w:val="none" w:sz="0" w:space="0" w:color="auto"/>
      </w:divBdr>
    </w:div>
    <w:div w:id="646012485">
      <w:bodyDiv w:val="1"/>
      <w:marLeft w:val="0"/>
      <w:marRight w:val="0"/>
      <w:marTop w:val="0"/>
      <w:marBottom w:val="0"/>
      <w:divBdr>
        <w:top w:val="none" w:sz="0" w:space="0" w:color="auto"/>
        <w:left w:val="none" w:sz="0" w:space="0" w:color="auto"/>
        <w:bottom w:val="none" w:sz="0" w:space="0" w:color="auto"/>
        <w:right w:val="none" w:sz="0" w:space="0" w:color="auto"/>
      </w:divBdr>
    </w:div>
    <w:div w:id="650793542">
      <w:bodyDiv w:val="1"/>
      <w:marLeft w:val="0"/>
      <w:marRight w:val="0"/>
      <w:marTop w:val="0"/>
      <w:marBottom w:val="0"/>
      <w:divBdr>
        <w:top w:val="none" w:sz="0" w:space="0" w:color="auto"/>
        <w:left w:val="none" w:sz="0" w:space="0" w:color="auto"/>
        <w:bottom w:val="none" w:sz="0" w:space="0" w:color="auto"/>
        <w:right w:val="none" w:sz="0" w:space="0" w:color="auto"/>
      </w:divBdr>
    </w:div>
    <w:div w:id="655299086">
      <w:bodyDiv w:val="1"/>
      <w:marLeft w:val="0"/>
      <w:marRight w:val="0"/>
      <w:marTop w:val="0"/>
      <w:marBottom w:val="0"/>
      <w:divBdr>
        <w:top w:val="none" w:sz="0" w:space="0" w:color="auto"/>
        <w:left w:val="none" w:sz="0" w:space="0" w:color="auto"/>
        <w:bottom w:val="none" w:sz="0" w:space="0" w:color="auto"/>
        <w:right w:val="none" w:sz="0" w:space="0" w:color="auto"/>
      </w:divBdr>
    </w:div>
    <w:div w:id="661083024">
      <w:bodyDiv w:val="1"/>
      <w:marLeft w:val="0"/>
      <w:marRight w:val="0"/>
      <w:marTop w:val="0"/>
      <w:marBottom w:val="0"/>
      <w:divBdr>
        <w:top w:val="none" w:sz="0" w:space="0" w:color="auto"/>
        <w:left w:val="none" w:sz="0" w:space="0" w:color="auto"/>
        <w:bottom w:val="none" w:sz="0" w:space="0" w:color="auto"/>
        <w:right w:val="none" w:sz="0" w:space="0" w:color="auto"/>
      </w:divBdr>
    </w:div>
    <w:div w:id="666638771">
      <w:bodyDiv w:val="1"/>
      <w:marLeft w:val="0"/>
      <w:marRight w:val="0"/>
      <w:marTop w:val="0"/>
      <w:marBottom w:val="0"/>
      <w:divBdr>
        <w:top w:val="none" w:sz="0" w:space="0" w:color="auto"/>
        <w:left w:val="none" w:sz="0" w:space="0" w:color="auto"/>
        <w:bottom w:val="none" w:sz="0" w:space="0" w:color="auto"/>
        <w:right w:val="none" w:sz="0" w:space="0" w:color="auto"/>
      </w:divBdr>
    </w:div>
    <w:div w:id="718286330">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42145601">
      <w:bodyDiv w:val="1"/>
      <w:marLeft w:val="0"/>
      <w:marRight w:val="0"/>
      <w:marTop w:val="0"/>
      <w:marBottom w:val="0"/>
      <w:divBdr>
        <w:top w:val="none" w:sz="0" w:space="0" w:color="auto"/>
        <w:left w:val="none" w:sz="0" w:space="0" w:color="auto"/>
        <w:bottom w:val="none" w:sz="0" w:space="0" w:color="auto"/>
        <w:right w:val="none" w:sz="0" w:space="0" w:color="auto"/>
      </w:divBdr>
    </w:div>
    <w:div w:id="743377874">
      <w:bodyDiv w:val="1"/>
      <w:marLeft w:val="0"/>
      <w:marRight w:val="0"/>
      <w:marTop w:val="0"/>
      <w:marBottom w:val="0"/>
      <w:divBdr>
        <w:top w:val="none" w:sz="0" w:space="0" w:color="auto"/>
        <w:left w:val="none" w:sz="0" w:space="0" w:color="auto"/>
        <w:bottom w:val="none" w:sz="0" w:space="0" w:color="auto"/>
        <w:right w:val="none" w:sz="0" w:space="0" w:color="auto"/>
      </w:divBdr>
    </w:div>
    <w:div w:id="751468207">
      <w:bodyDiv w:val="1"/>
      <w:marLeft w:val="0"/>
      <w:marRight w:val="0"/>
      <w:marTop w:val="0"/>
      <w:marBottom w:val="0"/>
      <w:divBdr>
        <w:top w:val="none" w:sz="0" w:space="0" w:color="auto"/>
        <w:left w:val="none" w:sz="0" w:space="0" w:color="auto"/>
        <w:bottom w:val="none" w:sz="0" w:space="0" w:color="auto"/>
        <w:right w:val="none" w:sz="0" w:space="0" w:color="auto"/>
      </w:divBdr>
    </w:div>
    <w:div w:id="764306493">
      <w:bodyDiv w:val="1"/>
      <w:marLeft w:val="0"/>
      <w:marRight w:val="0"/>
      <w:marTop w:val="0"/>
      <w:marBottom w:val="0"/>
      <w:divBdr>
        <w:top w:val="none" w:sz="0" w:space="0" w:color="auto"/>
        <w:left w:val="none" w:sz="0" w:space="0" w:color="auto"/>
        <w:bottom w:val="none" w:sz="0" w:space="0" w:color="auto"/>
        <w:right w:val="none" w:sz="0" w:space="0" w:color="auto"/>
      </w:divBdr>
    </w:div>
    <w:div w:id="799539262">
      <w:bodyDiv w:val="1"/>
      <w:marLeft w:val="0"/>
      <w:marRight w:val="0"/>
      <w:marTop w:val="0"/>
      <w:marBottom w:val="0"/>
      <w:divBdr>
        <w:top w:val="none" w:sz="0" w:space="0" w:color="auto"/>
        <w:left w:val="none" w:sz="0" w:space="0" w:color="auto"/>
        <w:bottom w:val="none" w:sz="0" w:space="0" w:color="auto"/>
        <w:right w:val="none" w:sz="0" w:space="0" w:color="auto"/>
      </w:divBdr>
    </w:div>
    <w:div w:id="827675575">
      <w:bodyDiv w:val="1"/>
      <w:marLeft w:val="0"/>
      <w:marRight w:val="0"/>
      <w:marTop w:val="0"/>
      <w:marBottom w:val="0"/>
      <w:divBdr>
        <w:top w:val="none" w:sz="0" w:space="0" w:color="auto"/>
        <w:left w:val="none" w:sz="0" w:space="0" w:color="auto"/>
        <w:bottom w:val="none" w:sz="0" w:space="0" w:color="auto"/>
        <w:right w:val="none" w:sz="0" w:space="0" w:color="auto"/>
      </w:divBdr>
    </w:div>
    <w:div w:id="828598950">
      <w:bodyDiv w:val="1"/>
      <w:marLeft w:val="0"/>
      <w:marRight w:val="0"/>
      <w:marTop w:val="0"/>
      <w:marBottom w:val="0"/>
      <w:divBdr>
        <w:top w:val="none" w:sz="0" w:space="0" w:color="auto"/>
        <w:left w:val="none" w:sz="0" w:space="0" w:color="auto"/>
        <w:bottom w:val="none" w:sz="0" w:space="0" w:color="auto"/>
        <w:right w:val="none" w:sz="0" w:space="0" w:color="auto"/>
      </w:divBdr>
    </w:div>
    <w:div w:id="835730926">
      <w:bodyDiv w:val="1"/>
      <w:marLeft w:val="0"/>
      <w:marRight w:val="0"/>
      <w:marTop w:val="0"/>
      <w:marBottom w:val="0"/>
      <w:divBdr>
        <w:top w:val="none" w:sz="0" w:space="0" w:color="auto"/>
        <w:left w:val="none" w:sz="0" w:space="0" w:color="auto"/>
        <w:bottom w:val="none" w:sz="0" w:space="0" w:color="auto"/>
        <w:right w:val="none" w:sz="0" w:space="0" w:color="auto"/>
      </w:divBdr>
    </w:div>
    <w:div w:id="850293792">
      <w:bodyDiv w:val="1"/>
      <w:marLeft w:val="0"/>
      <w:marRight w:val="0"/>
      <w:marTop w:val="0"/>
      <w:marBottom w:val="0"/>
      <w:divBdr>
        <w:top w:val="none" w:sz="0" w:space="0" w:color="auto"/>
        <w:left w:val="none" w:sz="0" w:space="0" w:color="auto"/>
        <w:bottom w:val="none" w:sz="0" w:space="0" w:color="auto"/>
        <w:right w:val="none" w:sz="0" w:space="0" w:color="auto"/>
      </w:divBdr>
    </w:div>
    <w:div w:id="852454190">
      <w:bodyDiv w:val="1"/>
      <w:marLeft w:val="0"/>
      <w:marRight w:val="0"/>
      <w:marTop w:val="0"/>
      <w:marBottom w:val="0"/>
      <w:divBdr>
        <w:top w:val="none" w:sz="0" w:space="0" w:color="auto"/>
        <w:left w:val="none" w:sz="0" w:space="0" w:color="auto"/>
        <w:bottom w:val="none" w:sz="0" w:space="0" w:color="auto"/>
        <w:right w:val="none" w:sz="0" w:space="0" w:color="auto"/>
      </w:divBdr>
    </w:div>
    <w:div w:id="867723807">
      <w:bodyDiv w:val="1"/>
      <w:marLeft w:val="0"/>
      <w:marRight w:val="0"/>
      <w:marTop w:val="0"/>
      <w:marBottom w:val="0"/>
      <w:divBdr>
        <w:top w:val="none" w:sz="0" w:space="0" w:color="auto"/>
        <w:left w:val="none" w:sz="0" w:space="0" w:color="auto"/>
        <w:bottom w:val="none" w:sz="0" w:space="0" w:color="auto"/>
        <w:right w:val="none" w:sz="0" w:space="0" w:color="auto"/>
      </w:divBdr>
    </w:div>
    <w:div w:id="879821129">
      <w:bodyDiv w:val="1"/>
      <w:marLeft w:val="0"/>
      <w:marRight w:val="0"/>
      <w:marTop w:val="0"/>
      <w:marBottom w:val="0"/>
      <w:divBdr>
        <w:top w:val="none" w:sz="0" w:space="0" w:color="auto"/>
        <w:left w:val="none" w:sz="0" w:space="0" w:color="auto"/>
        <w:bottom w:val="none" w:sz="0" w:space="0" w:color="auto"/>
        <w:right w:val="none" w:sz="0" w:space="0" w:color="auto"/>
      </w:divBdr>
    </w:div>
    <w:div w:id="880897032">
      <w:bodyDiv w:val="1"/>
      <w:marLeft w:val="0"/>
      <w:marRight w:val="0"/>
      <w:marTop w:val="0"/>
      <w:marBottom w:val="0"/>
      <w:divBdr>
        <w:top w:val="none" w:sz="0" w:space="0" w:color="auto"/>
        <w:left w:val="none" w:sz="0" w:space="0" w:color="auto"/>
        <w:bottom w:val="none" w:sz="0" w:space="0" w:color="auto"/>
        <w:right w:val="none" w:sz="0" w:space="0" w:color="auto"/>
      </w:divBdr>
    </w:div>
    <w:div w:id="931816395">
      <w:bodyDiv w:val="1"/>
      <w:marLeft w:val="0"/>
      <w:marRight w:val="0"/>
      <w:marTop w:val="0"/>
      <w:marBottom w:val="0"/>
      <w:divBdr>
        <w:top w:val="none" w:sz="0" w:space="0" w:color="auto"/>
        <w:left w:val="none" w:sz="0" w:space="0" w:color="auto"/>
        <w:bottom w:val="none" w:sz="0" w:space="0" w:color="auto"/>
        <w:right w:val="none" w:sz="0" w:space="0" w:color="auto"/>
      </w:divBdr>
    </w:div>
    <w:div w:id="932321703">
      <w:bodyDiv w:val="1"/>
      <w:marLeft w:val="0"/>
      <w:marRight w:val="0"/>
      <w:marTop w:val="0"/>
      <w:marBottom w:val="0"/>
      <w:divBdr>
        <w:top w:val="none" w:sz="0" w:space="0" w:color="auto"/>
        <w:left w:val="none" w:sz="0" w:space="0" w:color="auto"/>
        <w:bottom w:val="none" w:sz="0" w:space="0" w:color="auto"/>
        <w:right w:val="none" w:sz="0" w:space="0" w:color="auto"/>
      </w:divBdr>
    </w:div>
    <w:div w:id="939411369">
      <w:bodyDiv w:val="1"/>
      <w:marLeft w:val="0"/>
      <w:marRight w:val="0"/>
      <w:marTop w:val="0"/>
      <w:marBottom w:val="0"/>
      <w:divBdr>
        <w:top w:val="none" w:sz="0" w:space="0" w:color="auto"/>
        <w:left w:val="none" w:sz="0" w:space="0" w:color="auto"/>
        <w:bottom w:val="none" w:sz="0" w:space="0" w:color="auto"/>
        <w:right w:val="none" w:sz="0" w:space="0" w:color="auto"/>
      </w:divBdr>
    </w:div>
    <w:div w:id="941567922">
      <w:bodyDiv w:val="1"/>
      <w:marLeft w:val="0"/>
      <w:marRight w:val="0"/>
      <w:marTop w:val="0"/>
      <w:marBottom w:val="0"/>
      <w:divBdr>
        <w:top w:val="none" w:sz="0" w:space="0" w:color="auto"/>
        <w:left w:val="none" w:sz="0" w:space="0" w:color="auto"/>
        <w:bottom w:val="none" w:sz="0" w:space="0" w:color="auto"/>
        <w:right w:val="none" w:sz="0" w:space="0" w:color="auto"/>
      </w:divBdr>
    </w:div>
    <w:div w:id="945384919">
      <w:bodyDiv w:val="1"/>
      <w:marLeft w:val="0"/>
      <w:marRight w:val="0"/>
      <w:marTop w:val="0"/>
      <w:marBottom w:val="0"/>
      <w:divBdr>
        <w:top w:val="none" w:sz="0" w:space="0" w:color="auto"/>
        <w:left w:val="none" w:sz="0" w:space="0" w:color="auto"/>
        <w:bottom w:val="none" w:sz="0" w:space="0" w:color="auto"/>
        <w:right w:val="none" w:sz="0" w:space="0" w:color="auto"/>
      </w:divBdr>
    </w:div>
    <w:div w:id="963774494">
      <w:bodyDiv w:val="1"/>
      <w:marLeft w:val="0"/>
      <w:marRight w:val="0"/>
      <w:marTop w:val="0"/>
      <w:marBottom w:val="0"/>
      <w:divBdr>
        <w:top w:val="none" w:sz="0" w:space="0" w:color="auto"/>
        <w:left w:val="none" w:sz="0" w:space="0" w:color="auto"/>
        <w:bottom w:val="none" w:sz="0" w:space="0" w:color="auto"/>
        <w:right w:val="none" w:sz="0" w:space="0" w:color="auto"/>
      </w:divBdr>
    </w:div>
    <w:div w:id="992101314">
      <w:bodyDiv w:val="1"/>
      <w:marLeft w:val="0"/>
      <w:marRight w:val="0"/>
      <w:marTop w:val="0"/>
      <w:marBottom w:val="0"/>
      <w:divBdr>
        <w:top w:val="none" w:sz="0" w:space="0" w:color="auto"/>
        <w:left w:val="none" w:sz="0" w:space="0" w:color="auto"/>
        <w:bottom w:val="none" w:sz="0" w:space="0" w:color="auto"/>
        <w:right w:val="none" w:sz="0" w:space="0" w:color="auto"/>
      </w:divBdr>
    </w:div>
    <w:div w:id="992493656">
      <w:bodyDiv w:val="1"/>
      <w:marLeft w:val="0"/>
      <w:marRight w:val="0"/>
      <w:marTop w:val="0"/>
      <w:marBottom w:val="0"/>
      <w:divBdr>
        <w:top w:val="none" w:sz="0" w:space="0" w:color="auto"/>
        <w:left w:val="none" w:sz="0" w:space="0" w:color="auto"/>
        <w:bottom w:val="none" w:sz="0" w:space="0" w:color="auto"/>
        <w:right w:val="none" w:sz="0" w:space="0" w:color="auto"/>
      </w:divBdr>
    </w:div>
    <w:div w:id="1036124868">
      <w:bodyDiv w:val="1"/>
      <w:marLeft w:val="0"/>
      <w:marRight w:val="0"/>
      <w:marTop w:val="0"/>
      <w:marBottom w:val="0"/>
      <w:divBdr>
        <w:top w:val="none" w:sz="0" w:space="0" w:color="auto"/>
        <w:left w:val="none" w:sz="0" w:space="0" w:color="auto"/>
        <w:bottom w:val="none" w:sz="0" w:space="0" w:color="auto"/>
        <w:right w:val="none" w:sz="0" w:space="0" w:color="auto"/>
      </w:divBdr>
    </w:div>
    <w:div w:id="1076248115">
      <w:bodyDiv w:val="1"/>
      <w:marLeft w:val="0"/>
      <w:marRight w:val="0"/>
      <w:marTop w:val="0"/>
      <w:marBottom w:val="0"/>
      <w:divBdr>
        <w:top w:val="none" w:sz="0" w:space="0" w:color="auto"/>
        <w:left w:val="none" w:sz="0" w:space="0" w:color="auto"/>
        <w:bottom w:val="none" w:sz="0" w:space="0" w:color="auto"/>
        <w:right w:val="none" w:sz="0" w:space="0" w:color="auto"/>
      </w:divBdr>
    </w:div>
    <w:div w:id="1079062545">
      <w:bodyDiv w:val="1"/>
      <w:marLeft w:val="0"/>
      <w:marRight w:val="0"/>
      <w:marTop w:val="0"/>
      <w:marBottom w:val="0"/>
      <w:divBdr>
        <w:top w:val="none" w:sz="0" w:space="0" w:color="auto"/>
        <w:left w:val="none" w:sz="0" w:space="0" w:color="auto"/>
        <w:bottom w:val="none" w:sz="0" w:space="0" w:color="auto"/>
        <w:right w:val="none" w:sz="0" w:space="0" w:color="auto"/>
      </w:divBdr>
    </w:div>
    <w:div w:id="1103381899">
      <w:bodyDiv w:val="1"/>
      <w:marLeft w:val="0"/>
      <w:marRight w:val="0"/>
      <w:marTop w:val="0"/>
      <w:marBottom w:val="0"/>
      <w:divBdr>
        <w:top w:val="none" w:sz="0" w:space="0" w:color="auto"/>
        <w:left w:val="none" w:sz="0" w:space="0" w:color="auto"/>
        <w:bottom w:val="none" w:sz="0" w:space="0" w:color="auto"/>
        <w:right w:val="none" w:sz="0" w:space="0" w:color="auto"/>
      </w:divBdr>
    </w:div>
    <w:div w:id="1121920390">
      <w:bodyDiv w:val="1"/>
      <w:marLeft w:val="0"/>
      <w:marRight w:val="0"/>
      <w:marTop w:val="0"/>
      <w:marBottom w:val="0"/>
      <w:divBdr>
        <w:top w:val="none" w:sz="0" w:space="0" w:color="auto"/>
        <w:left w:val="none" w:sz="0" w:space="0" w:color="auto"/>
        <w:bottom w:val="none" w:sz="0" w:space="0" w:color="auto"/>
        <w:right w:val="none" w:sz="0" w:space="0" w:color="auto"/>
      </w:divBdr>
    </w:div>
    <w:div w:id="1138382420">
      <w:bodyDiv w:val="1"/>
      <w:marLeft w:val="0"/>
      <w:marRight w:val="0"/>
      <w:marTop w:val="0"/>
      <w:marBottom w:val="0"/>
      <w:divBdr>
        <w:top w:val="none" w:sz="0" w:space="0" w:color="auto"/>
        <w:left w:val="none" w:sz="0" w:space="0" w:color="auto"/>
        <w:bottom w:val="none" w:sz="0" w:space="0" w:color="auto"/>
        <w:right w:val="none" w:sz="0" w:space="0" w:color="auto"/>
      </w:divBdr>
    </w:div>
    <w:div w:id="1139952785">
      <w:bodyDiv w:val="1"/>
      <w:marLeft w:val="0"/>
      <w:marRight w:val="0"/>
      <w:marTop w:val="0"/>
      <w:marBottom w:val="0"/>
      <w:divBdr>
        <w:top w:val="none" w:sz="0" w:space="0" w:color="auto"/>
        <w:left w:val="none" w:sz="0" w:space="0" w:color="auto"/>
        <w:bottom w:val="none" w:sz="0" w:space="0" w:color="auto"/>
        <w:right w:val="none" w:sz="0" w:space="0" w:color="auto"/>
      </w:divBdr>
    </w:div>
    <w:div w:id="1140459992">
      <w:bodyDiv w:val="1"/>
      <w:marLeft w:val="0"/>
      <w:marRight w:val="0"/>
      <w:marTop w:val="0"/>
      <w:marBottom w:val="0"/>
      <w:divBdr>
        <w:top w:val="none" w:sz="0" w:space="0" w:color="auto"/>
        <w:left w:val="none" w:sz="0" w:space="0" w:color="auto"/>
        <w:bottom w:val="none" w:sz="0" w:space="0" w:color="auto"/>
        <w:right w:val="none" w:sz="0" w:space="0" w:color="auto"/>
      </w:divBdr>
    </w:div>
    <w:div w:id="1146702585">
      <w:bodyDiv w:val="1"/>
      <w:marLeft w:val="0"/>
      <w:marRight w:val="0"/>
      <w:marTop w:val="0"/>
      <w:marBottom w:val="0"/>
      <w:divBdr>
        <w:top w:val="none" w:sz="0" w:space="0" w:color="auto"/>
        <w:left w:val="none" w:sz="0" w:space="0" w:color="auto"/>
        <w:bottom w:val="none" w:sz="0" w:space="0" w:color="auto"/>
        <w:right w:val="none" w:sz="0" w:space="0" w:color="auto"/>
      </w:divBdr>
    </w:div>
    <w:div w:id="1155678787">
      <w:bodyDiv w:val="1"/>
      <w:marLeft w:val="0"/>
      <w:marRight w:val="0"/>
      <w:marTop w:val="0"/>
      <w:marBottom w:val="0"/>
      <w:divBdr>
        <w:top w:val="none" w:sz="0" w:space="0" w:color="auto"/>
        <w:left w:val="none" w:sz="0" w:space="0" w:color="auto"/>
        <w:bottom w:val="none" w:sz="0" w:space="0" w:color="auto"/>
        <w:right w:val="none" w:sz="0" w:space="0" w:color="auto"/>
      </w:divBdr>
    </w:div>
    <w:div w:id="1161193022">
      <w:bodyDiv w:val="1"/>
      <w:marLeft w:val="0"/>
      <w:marRight w:val="0"/>
      <w:marTop w:val="0"/>
      <w:marBottom w:val="0"/>
      <w:divBdr>
        <w:top w:val="none" w:sz="0" w:space="0" w:color="auto"/>
        <w:left w:val="none" w:sz="0" w:space="0" w:color="auto"/>
        <w:bottom w:val="none" w:sz="0" w:space="0" w:color="auto"/>
        <w:right w:val="none" w:sz="0" w:space="0" w:color="auto"/>
      </w:divBdr>
    </w:div>
    <w:div w:id="1170293571">
      <w:bodyDiv w:val="1"/>
      <w:marLeft w:val="0"/>
      <w:marRight w:val="0"/>
      <w:marTop w:val="0"/>
      <w:marBottom w:val="0"/>
      <w:divBdr>
        <w:top w:val="none" w:sz="0" w:space="0" w:color="auto"/>
        <w:left w:val="none" w:sz="0" w:space="0" w:color="auto"/>
        <w:bottom w:val="none" w:sz="0" w:space="0" w:color="auto"/>
        <w:right w:val="none" w:sz="0" w:space="0" w:color="auto"/>
      </w:divBdr>
    </w:div>
    <w:div w:id="1242057022">
      <w:bodyDiv w:val="1"/>
      <w:marLeft w:val="0"/>
      <w:marRight w:val="0"/>
      <w:marTop w:val="0"/>
      <w:marBottom w:val="0"/>
      <w:divBdr>
        <w:top w:val="none" w:sz="0" w:space="0" w:color="auto"/>
        <w:left w:val="none" w:sz="0" w:space="0" w:color="auto"/>
        <w:bottom w:val="none" w:sz="0" w:space="0" w:color="auto"/>
        <w:right w:val="none" w:sz="0" w:space="0" w:color="auto"/>
      </w:divBdr>
    </w:div>
    <w:div w:id="1289438188">
      <w:bodyDiv w:val="1"/>
      <w:marLeft w:val="0"/>
      <w:marRight w:val="0"/>
      <w:marTop w:val="0"/>
      <w:marBottom w:val="0"/>
      <w:divBdr>
        <w:top w:val="none" w:sz="0" w:space="0" w:color="auto"/>
        <w:left w:val="none" w:sz="0" w:space="0" w:color="auto"/>
        <w:bottom w:val="none" w:sz="0" w:space="0" w:color="auto"/>
        <w:right w:val="none" w:sz="0" w:space="0" w:color="auto"/>
      </w:divBdr>
    </w:div>
    <w:div w:id="1295793555">
      <w:bodyDiv w:val="1"/>
      <w:marLeft w:val="0"/>
      <w:marRight w:val="0"/>
      <w:marTop w:val="0"/>
      <w:marBottom w:val="0"/>
      <w:divBdr>
        <w:top w:val="none" w:sz="0" w:space="0" w:color="auto"/>
        <w:left w:val="none" w:sz="0" w:space="0" w:color="auto"/>
        <w:bottom w:val="none" w:sz="0" w:space="0" w:color="auto"/>
        <w:right w:val="none" w:sz="0" w:space="0" w:color="auto"/>
      </w:divBdr>
    </w:div>
    <w:div w:id="1324043616">
      <w:bodyDiv w:val="1"/>
      <w:marLeft w:val="0"/>
      <w:marRight w:val="0"/>
      <w:marTop w:val="0"/>
      <w:marBottom w:val="0"/>
      <w:divBdr>
        <w:top w:val="none" w:sz="0" w:space="0" w:color="auto"/>
        <w:left w:val="none" w:sz="0" w:space="0" w:color="auto"/>
        <w:bottom w:val="none" w:sz="0" w:space="0" w:color="auto"/>
        <w:right w:val="none" w:sz="0" w:space="0" w:color="auto"/>
      </w:divBdr>
    </w:div>
    <w:div w:id="1327175201">
      <w:bodyDiv w:val="1"/>
      <w:marLeft w:val="0"/>
      <w:marRight w:val="0"/>
      <w:marTop w:val="0"/>
      <w:marBottom w:val="0"/>
      <w:divBdr>
        <w:top w:val="none" w:sz="0" w:space="0" w:color="auto"/>
        <w:left w:val="none" w:sz="0" w:space="0" w:color="auto"/>
        <w:bottom w:val="none" w:sz="0" w:space="0" w:color="auto"/>
        <w:right w:val="none" w:sz="0" w:space="0" w:color="auto"/>
      </w:divBdr>
    </w:div>
    <w:div w:id="1337266806">
      <w:bodyDiv w:val="1"/>
      <w:marLeft w:val="0"/>
      <w:marRight w:val="0"/>
      <w:marTop w:val="0"/>
      <w:marBottom w:val="0"/>
      <w:divBdr>
        <w:top w:val="none" w:sz="0" w:space="0" w:color="auto"/>
        <w:left w:val="none" w:sz="0" w:space="0" w:color="auto"/>
        <w:bottom w:val="none" w:sz="0" w:space="0" w:color="auto"/>
        <w:right w:val="none" w:sz="0" w:space="0" w:color="auto"/>
      </w:divBdr>
    </w:div>
    <w:div w:id="1346399650">
      <w:bodyDiv w:val="1"/>
      <w:marLeft w:val="0"/>
      <w:marRight w:val="0"/>
      <w:marTop w:val="0"/>
      <w:marBottom w:val="0"/>
      <w:divBdr>
        <w:top w:val="none" w:sz="0" w:space="0" w:color="auto"/>
        <w:left w:val="none" w:sz="0" w:space="0" w:color="auto"/>
        <w:bottom w:val="none" w:sz="0" w:space="0" w:color="auto"/>
        <w:right w:val="none" w:sz="0" w:space="0" w:color="auto"/>
      </w:divBdr>
    </w:div>
    <w:div w:id="1349025021">
      <w:bodyDiv w:val="1"/>
      <w:marLeft w:val="0"/>
      <w:marRight w:val="0"/>
      <w:marTop w:val="0"/>
      <w:marBottom w:val="0"/>
      <w:divBdr>
        <w:top w:val="none" w:sz="0" w:space="0" w:color="auto"/>
        <w:left w:val="none" w:sz="0" w:space="0" w:color="auto"/>
        <w:bottom w:val="none" w:sz="0" w:space="0" w:color="auto"/>
        <w:right w:val="none" w:sz="0" w:space="0" w:color="auto"/>
      </w:divBdr>
    </w:div>
    <w:div w:id="1362633175">
      <w:bodyDiv w:val="1"/>
      <w:marLeft w:val="0"/>
      <w:marRight w:val="0"/>
      <w:marTop w:val="0"/>
      <w:marBottom w:val="0"/>
      <w:divBdr>
        <w:top w:val="none" w:sz="0" w:space="0" w:color="auto"/>
        <w:left w:val="none" w:sz="0" w:space="0" w:color="auto"/>
        <w:bottom w:val="none" w:sz="0" w:space="0" w:color="auto"/>
        <w:right w:val="none" w:sz="0" w:space="0" w:color="auto"/>
      </w:divBdr>
    </w:div>
    <w:div w:id="1366826598">
      <w:bodyDiv w:val="1"/>
      <w:marLeft w:val="0"/>
      <w:marRight w:val="0"/>
      <w:marTop w:val="0"/>
      <w:marBottom w:val="0"/>
      <w:divBdr>
        <w:top w:val="none" w:sz="0" w:space="0" w:color="auto"/>
        <w:left w:val="none" w:sz="0" w:space="0" w:color="auto"/>
        <w:bottom w:val="none" w:sz="0" w:space="0" w:color="auto"/>
        <w:right w:val="none" w:sz="0" w:space="0" w:color="auto"/>
      </w:divBdr>
    </w:div>
    <w:div w:id="1370227032">
      <w:bodyDiv w:val="1"/>
      <w:marLeft w:val="0"/>
      <w:marRight w:val="0"/>
      <w:marTop w:val="0"/>
      <w:marBottom w:val="0"/>
      <w:divBdr>
        <w:top w:val="none" w:sz="0" w:space="0" w:color="auto"/>
        <w:left w:val="none" w:sz="0" w:space="0" w:color="auto"/>
        <w:bottom w:val="none" w:sz="0" w:space="0" w:color="auto"/>
        <w:right w:val="none" w:sz="0" w:space="0" w:color="auto"/>
      </w:divBdr>
    </w:div>
    <w:div w:id="1371145731">
      <w:bodyDiv w:val="1"/>
      <w:marLeft w:val="0"/>
      <w:marRight w:val="0"/>
      <w:marTop w:val="0"/>
      <w:marBottom w:val="0"/>
      <w:divBdr>
        <w:top w:val="none" w:sz="0" w:space="0" w:color="auto"/>
        <w:left w:val="none" w:sz="0" w:space="0" w:color="auto"/>
        <w:bottom w:val="none" w:sz="0" w:space="0" w:color="auto"/>
        <w:right w:val="none" w:sz="0" w:space="0" w:color="auto"/>
      </w:divBdr>
    </w:div>
    <w:div w:id="1386681175">
      <w:bodyDiv w:val="1"/>
      <w:marLeft w:val="0"/>
      <w:marRight w:val="0"/>
      <w:marTop w:val="0"/>
      <w:marBottom w:val="0"/>
      <w:divBdr>
        <w:top w:val="none" w:sz="0" w:space="0" w:color="auto"/>
        <w:left w:val="none" w:sz="0" w:space="0" w:color="auto"/>
        <w:bottom w:val="none" w:sz="0" w:space="0" w:color="auto"/>
        <w:right w:val="none" w:sz="0" w:space="0" w:color="auto"/>
      </w:divBdr>
    </w:div>
    <w:div w:id="1409113507">
      <w:bodyDiv w:val="1"/>
      <w:marLeft w:val="0"/>
      <w:marRight w:val="0"/>
      <w:marTop w:val="0"/>
      <w:marBottom w:val="0"/>
      <w:divBdr>
        <w:top w:val="none" w:sz="0" w:space="0" w:color="auto"/>
        <w:left w:val="none" w:sz="0" w:space="0" w:color="auto"/>
        <w:bottom w:val="none" w:sz="0" w:space="0" w:color="auto"/>
        <w:right w:val="none" w:sz="0" w:space="0" w:color="auto"/>
      </w:divBdr>
    </w:div>
    <w:div w:id="1426462941">
      <w:bodyDiv w:val="1"/>
      <w:marLeft w:val="0"/>
      <w:marRight w:val="0"/>
      <w:marTop w:val="0"/>
      <w:marBottom w:val="0"/>
      <w:divBdr>
        <w:top w:val="none" w:sz="0" w:space="0" w:color="auto"/>
        <w:left w:val="none" w:sz="0" w:space="0" w:color="auto"/>
        <w:bottom w:val="none" w:sz="0" w:space="0" w:color="auto"/>
        <w:right w:val="none" w:sz="0" w:space="0" w:color="auto"/>
      </w:divBdr>
    </w:div>
    <w:div w:id="1455948152">
      <w:bodyDiv w:val="1"/>
      <w:marLeft w:val="0"/>
      <w:marRight w:val="0"/>
      <w:marTop w:val="0"/>
      <w:marBottom w:val="0"/>
      <w:divBdr>
        <w:top w:val="none" w:sz="0" w:space="0" w:color="auto"/>
        <w:left w:val="none" w:sz="0" w:space="0" w:color="auto"/>
        <w:bottom w:val="none" w:sz="0" w:space="0" w:color="auto"/>
        <w:right w:val="none" w:sz="0" w:space="0" w:color="auto"/>
      </w:divBdr>
    </w:div>
    <w:div w:id="1457479494">
      <w:bodyDiv w:val="1"/>
      <w:marLeft w:val="0"/>
      <w:marRight w:val="0"/>
      <w:marTop w:val="0"/>
      <w:marBottom w:val="0"/>
      <w:divBdr>
        <w:top w:val="none" w:sz="0" w:space="0" w:color="auto"/>
        <w:left w:val="none" w:sz="0" w:space="0" w:color="auto"/>
        <w:bottom w:val="none" w:sz="0" w:space="0" w:color="auto"/>
        <w:right w:val="none" w:sz="0" w:space="0" w:color="auto"/>
      </w:divBdr>
    </w:div>
    <w:div w:id="1471704305">
      <w:bodyDiv w:val="1"/>
      <w:marLeft w:val="0"/>
      <w:marRight w:val="0"/>
      <w:marTop w:val="0"/>
      <w:marBottom w:val="0"/>
      <w:divBdr>
        <w:top w:val="none" w:sz="0" w:space="0" w:color="auto"/>
        <w:left w:val="none" w:sz="0" w:space="0" w:color="auto"/>
        <w:bottom w:val="none" w:sz="0" w:space="0" w:color="auto"/>
        <w:right w:val="none" w:sz="0" w:space="0" w:color="auto"/>
      </w:divBdr>
    </w:div>
    <w:div w:id="1475832638">
      <w:bodyDiv w:val="1"/>
      <w:marLeft w:val="0"/>
      <w:marRight w:val="0"/>
      <w:marTop w:val="0"/>
      <w:marBottom w:val="0"/>
      <w:divBdr>
        <w:top w:val="none" w:sz="0" w:space="0" w:color="auto"/>
        <w:left w:val="none" w:sz="0" w:space="0" w:color="auto"/>
        <w:bottom w:val="none" w:sz="0" w:space="0" w:color="auto"/>
        <w:right w:val="none" w:sz="0" w:space="0" w:color="auto"/>
      </w:divBdr>
    </w:div>
    <w:div w:id="1543664598">
      <w:bodyDiv w:val="1"/>
      <w:marLeft w:val="0"/>
      <w:marRight w:val="0"/>
      <w:marTop w:val="0"/>
      <w:marBottom w:val="0"/>
      <w:divBdr>
        <w:top w:val="none" w:sz="0" w:space="0" w:color="auto"/>
        <w:left w:val="none" w:sz="0" w:space="0" w:color="auto"/>
        <w:bottom w:val="none" w:sz="0" w:space="0" w:color="auto"/>
        <w:right w:val="none" w:sz="0" w:space="0" w:color="auto"/>
      </w:divBdr>
    </w:div>
    <w:div w:id="1552375309">
      <w:bodyDiv w:val="1"/>
      <w:marLeft w:val="0"/>
      <w:marRight w:val="0"/>
      <w:marTop w:val="0"/>
      <w:marBottom w:val="0"/>
      <w:divBdr>
        <w:top w:val="none" w:sz="0" w:space="0" w:color="auto"/>
        <w:left w:val="none" w:sz="0" w:space="0" w:color="auto"/>
        <w:bottom w:val="none" w:sz="0" w:space="0" w:color="auto"/>
        <w:right w:val="none" w:sz="0" w:space="0" w:color="auto"/>
      </w:divBdr>
    </w:div>
    <w:div w:id="1555890690">
      <w:bodyDiv w:val="1"/>
      <w:marLeft w:val="0"/>
      <w:marRight w:val="0"/>
      <w:marTop w:val="0"/>
      <w:marBottom w:val="0"/>
      <w:divBdr>
        <w:top w:val="none" w:sz="0" w:space="0" w:color="auto"/>
        <w:left w:val="none" w:sz="0" w:space="0" w:color="auto"/>
        <w:bottom w:val="none" w:sz="0" w:space="0" w:color="auto"/>
        <w:right w:val="none" w:sz="0" w:space="0" w:color="auto"/>
      </w:divBdr>
    </w:div>
    <w:div w:id="1556773925">
      <w:bodyDiv w:val="1"/>
      <w:marLeft w:val="0"/>
      <w:marRight w:val="0"/>
      <w:marTop w:val="0"/>
      <w:marBottom w:val="0"/>
      <w:divBdr>
        <w:top w:val="none" w:sz="0" w:space="0" w:color="auto"/>
        <w:left w:val="none" w:sz="0" w:space="0" w:color="auto"/>
        <w:bottom w:val="none" w:sz="0" w:space="0" w:color="auto"/>
        <w:right w:val="none" w:sz="0" w:space="0" w:color="auto"/>
      </w:divBdr>
    </w:div>
    <w:div w:id="1557816948">
      <w:bodyDiv w:val="1"/>
      <w:marLeft w:val="0"/>
      <w:marRight w:val="0"/>
      <w:marTop w:val="0"/>
      <w:marBottom w:val="0"/>
      <w:divBdr>
        <w:top w:val="none" w:sz="0" w:space="0" w:color="auto"/>
        <w:left w:val="none" w:sz="0" w:space="0" w:color="auto"/>
        <w:bottom w:val="none" w:sz="0" w:space="0" w:color="auto"/>
        <w:right w:val="none" w:sz="0" w:space="0" w:color="auto"/>
      </w:divBdr>
    </w:div>
    <w:div w:id="1574464175">
      <w:bodyDiv w:val="1"/>
      <w:marLeft w:val="0"/>
      <w:marRight w:val="0"/>
      <w:marTop w:val="0"/>
      <w:marBottom w:val="0"/>
      <w:divBdr>
        <w:top w:val="none" w:sz="0" w:space="0" w:color="auto"/>
        <w:left w:val="none" w:sz="0" w:space="0" w:color="auto"/>
        <w:bottom w:val="none" w:sz="0" w:space="0" w:color="auto"/>
        <w:right w:val="none" w:sz="0" w:space="0" w:color="auto"/>
      </w:divBdr>
    </w:div>
    <w:div w:id="1578126793">
      <w:bodyDiv w:val="1"/>
      <w:marLeft w:val="0"/>
      <w:marRight w:val="0"/>
      <w:marTop w:val="0"/>
      <w:marBottom w:val="0"/>
      <w:divBdr>
        <w:top w:val="none" w:sz="0" w:space="0" w:color="auto"/>
        <w:left w:val="none" w:sz="0" w:space="0" w:color="auto"/>
        <w:bottom w:val="none" w:sz="0" w:space="0" w:color="auto"/>
        <w:right w:val="none" w:sz="0" w:space="0" w:color="auto"/>
      </w:divBdr>
    </w:div>
    <w:div w:id="1600913556">
      <w:bodyDiv w:val="1"/>
      <w:marLeft w:val="0"/>
      <w:marRight w:val="0"/>
      <w:marTop w:val="0"/>
      <w:marBottom w:val="0"/>
      <w:divBdr>
        <w:top w:val="none" w:sz="0" w:space="0" w:color="auto"/>
        <w:left w:val="none" w:sz="0" w:space="0" w:color="auto"/>
        <w:bottom w:val="none" w:sz="0" w:space="0" w:color="auto"/>
        <w:right w:val="none" w:sz="0" w:space="0" w:color="auto"/>
      </w:divBdr>
    </w:div>
    <w:div w:id="1603878833">
      <w:bodyDiv w:val="1"/>
      <w:marLeft w:val="0"/>
      <w:marRight w:val="0"/>
      <w:marTop w:val="0"/>
      <w:marBottom w:val="0"/>
      <w:divBdr>
        <w:top w:val="none" w:sz="0" w:space="0" w:color="auto"/>
        <w:left w:val="none" w:sz="0" w:space="0" w:color="auto"/>
        <w:bottom w:val="none" w:sz="0" w:space="0" w:color="auto"/>
        <w:right w:val="none" w:sz="0" w:space="0" w:color="auto"/>
      </w:divBdr>
    </w:div>
    <w:div w:id="1608003310">
      <w:bodyDiv w:val="1"/>
      <w:marLeft w:val="0"/>
      <w:marRight w:val="0"/>
      <w:marTop w:val="0"/>
      <w:marBottom w:val="0"/>
      <w:divBdr>
        <w:top w:val="none" w:sz="0" w:space="0" w:color="auto"/>
        <w:left w:val="none" w:sz="0" w:space="0" w:color="auto"/>
        <w:bottom w:val="none" w:sz="0" w:space="0" w:color="auto"/>
        <w:right w:val="none" w:sz="0" w:space="0" w:color="auto"/>
      </w:divBdr>
    </w:div>
    <w:div w:id="1618870821">
      <w:bodyDiv w:val="1"/>
      <w:marLeft w:val="0"/>
      <w:marRight w:val="0"/>
      <w:marTop w:val="0"/>
      <w:marBottom w:val="0"/>
      <w:divBdr>
        <w:top w:val="none" w:sz="0" w:space="0" w:color="auto"/>
        <w:left w:val="none" w:sz="0" w:space="0" w:color="auto"/>
        <w:bottom w:val="none" w:sz="0" w:space="0" w:color="auto"/>
        <w:right w:val="none" w:sz="0" w:space="0" w:color="auto"/>
      </w:divBdr>
    </w:div>
    <w:div w:id="1627663301">
      <w:bodyDiv w:val="1"/>
      <w:marLeft w:val="0"/>
      <w:marRight w:val="0"/>
      <w:marTop w:val="0"/>
      <w:marBottom w:val="0"/>
      <w:divBdr>
        <w:top w:val="none" w:sz="0" w:space="0" w:color="auto"/>
        <w:left w:val="none" w:sz="0" w:space="0" w:color="auto"/>
        <w:bottom w:val="none" w:sz="0" w:space="0" w:color="auto"/>
        <w:right w:val="none" w:sz="0" w:space="0" w:color="auto"/>
      </w:divBdr>
    </w:div>
    <w:div w:id="1636911204">
      <w:bodyDiv w:val="1"/>
      <w:marLeft w:val="0"/>
      <w:marRight w:val="0"/>
      <w:marTop w:val="0"/>
      <w:marBottom w:val="0"/>
      <w:divBdr>
        <w:top w:val="none" w:sz="0" w:space="0" w:color="auto"/>
        <w:left w:val="none" w:sz="0" w:space="0" w:color="auto"/>
        <w:bottom w:val="none" w:sz="0" w:space="0" w:color="auto"/>
        <w:right w:val="none" w:sz="0" w:space="0" w:color="auto"/>
      </w:divBdr>
    </w:div>
    <w:div w:id="1660763871">
      <w:bodyDiv w:val="1"/>
      <w:marLeft w:val="0"/>
      <w:marRight w:val="0"/>
      <w:marTop w:val="0"/>
      <w:marBottom w:val="0"/>
      <w:divBdr>
        <w:top w:val="none" w:sz="0" w:space="0" w:color="auto"/>
        <w:left w:val="none" w:sz="0" w:space="0" w:color="auto"/>
        <w:bottom w:val="none" w:sz="0" w:space="0" w:color="auto"/>
        <w:right w:val="none" w:sz="0" w:space="0" w:color="auto"/>
      </w:divBdr>
    </w:div>
    <w:div w:id="1684090358">
      <w:bodyDiv w:val="1"/>
      <w:marLeft w:val="0"/>
      <w:marRight w:val="0"/>
      <w:marTop w:val="0"/>
      <w:marBottom w:val="0"/>
      <w:divBdr>
        <w:top w:val="none" w:sz="0" w:space="0" w:color="auto"/>
        <w:left w:val="none" w:sz="0" w:space="0" w:color="auto"/>
        <w:bottom w:val="none" w:sz="0" w:space="0" w:color="auto"/>
        <w:right w:val="none" w:sz="0" w:space="0" w:color="auto"/>
      </w:divBdr>
    </w:div>
    <w:div w:id="1688865214">
      <w:bodyDiv w:val="1"/>
      <w:marLeft w:val="0"/>
      <w:marRight w:val="0"/>
      <w:marTop w:val="0"/>
      <w:marBottom w:val="0"/>
      <w:divBdr>
        <w:top w:val="none" w:sz="0" w:space="0" w:color="auto"/>
        <w:left w:val="none" w:sz="0" w:space="0" w:color="auto"/>
        <w:bottom w:val="none" w:sz="0" w:space="0" w:color="auto"/>
        <w:right w:val="none" w:sz="0" w:space="0" w:color="auto"/>
      </w:divBdr>
    </w:div>
    <w:div w:id="1691642579">
      <w:bodyDiv w:val="1"/>
      <w:marLeft w:val="0"/>
      <w:marRight w:val="0"/>
      <w:marTop w:val="0"/>
      <w:marBottom w:val="0"/>
      <w:divBdr>
        <w:top w:val="none" w:sz="0" w:space="0" w:color="auto"/>
        <w:left w:val="none" w:sz="0" w:space="0" w:color="auto"/>
        <w:bottom w:val="none" w:sz="0" w:space="0" w:color="auto"/>
        <w:right w:val="none" w:sz="0" w:space="0" w:color="auto"/>
      </w:divBdr>
    </w:div>
    <w:div w:id="1695181866">
      <w:bodyDiv w:val="1"/>
      <w:marLeft w:val="0"/>
      <w:marRight w:val="0"/>
      <w:marTop w:val="0"/>
      <w:marBottom w:val="0"/>
      <w:divBdr>
        <w:top w:val="none" w:sz="0" w:space="0" w:color="auto"/>
        <w:left w:val="none" w:sz="0" w:space="0" w:color="auto"/>
        <w:bottom w:val="none" w:sz="0" w:space="0" w:color="auto"/>
        <w:right w:val="none" w:sz="0" w:space="0" w:color="auto"/>
      </w:divBdr>
    </w:div>
    <w:div w:id="1728063133">
      <w:bodyDiv w:val="1"/>
      <w:marLeft w:val="0"/>
      <w:marRight w:val="0"/>
      <w:marTop w:val="0"/>
      <w:marBottom w:val="0"/>
      <w:divBdr>
        <w:top w:val="none" w:sz="0" w:space="0" w:color="auto"/>
        <w:left w:val="none" w:sz="0" w:space="0" w:color="auto"/>
        <w:bottom w:val="none" w:sz="0" w:space="0" w:color="auto"/>
        <w:right w:val="none" w:sz="0" w:space="0" w:color="auto"/>
      </w:divBdr>
    </w:div>
    <w:div w:id="1741059865">
      <w:bodyDiv w:val="1"/>
      <w:marLeft w:val="0"/>
      <w:marRight w:val="0"/>
      <w:marTop w:val="0"/>
      <w:marBottom w:val="0"/>
      <w:divBdr>
        <w:top w:val="none" w:sz="0" w:space="0" w:color="auto"/>
        <w:left w:val="none" w:sz="0" w:space="0" w:color="auto"/>
        <w:bottom w:val="none" w:sz="0" w:space="0" w:color="auto"/>
        <w:right w:val="none" w:sz="0" w:space="0" w:color="auto"/>
      </w:divBdr>
    </w:div>
    <w:div w:id="1745566773">
      <w:bodyDiv w:val="1"/>
      <w:marLeft w:val="0"/>
      <w:marRight w:val="0"/>
      <w:marTop w:val="0"/>
      <w:marBottom w:val="0"/>
      <w:divBdr>
        <w:top w:val="none" w:sz="0" w:space="0" w:color="auto"/>
        <w:left w:val="none" w:sz="0" w:space="0" w:color="auto"/>
        <w:bottom w:val="none" w:sz="0" w:space="0" w:color="auto"/>
        <w:right w:val="none" w:sz="0" w:space="0" w:color="auto"/>
      </w:divBdr>
    </w:div>
    <w:div w:id="1781029941">
      <w:bodyDiv w:val="1"/>
      <w:marLeft w:val="0"/>
      <w:marRight w:val="0"/>
      <w:marTop w:val="0"/>
      <w:marBottom w:val="0"/>
      <w:divBdr>
        <w:top w:val="none" w:sz="0" w:space="0" w:color="auto"/>
        <w:left w:val="none" w:sz="0" w:space="0" w:color="auto"/>
        <w:bottom w:val="none" w:sz="0" w:space="0" w:color="auto"/>
        <w:right w:val="none" w:sz="0" w:space="0" w:color="auto"/>
      </w:divBdr>
    </w:div>
    <w:div w:id="1801680677">
      <w:bodyDiv w:val="1"/>
      <w:marLeft w:val="0"/>
      <w:marRight w:val="0"/>
      <w:marTop w:val="0"/>
      <w:marBottom w:val="0"/>
      <w:divBdr>
        <w:top w:val="none" w:sz="0" w:space="0" w:color="auto"/>
        <w:left w:val="none" w:sz="0" w:space="0" w:color="auto"/>
        <w:bottom w:val="none" w:sz="0" w:space="0" w:color="auto"/>
        <w:right w:val="none" w:sz="0" w:space="0" w:color="auto"/>
      </w:divBdr>
    </w:div>
    <w:div w:id="1814366280">
      <w:bodyDiv w:val="1"/>
      <w:marLeft w:val="0"/>
      <w:marRight w:val="0"/>
      <w:marTop w:val="0"/>
      <w:marBottom w:val="0"/>
      <w:divBdr>
        <w:top w:val="none" w:sz="0" w:space="0" w:color="auto"/>
        <w:left w:val="none" w:sz="0" w:space="0" w:color="auto"/>
        <w:bottom w:val="none" w:sz="0" w:space="0" w:color="auto"/>
        <w:right w:val="none" w:sz="0" w:space="0" w:color="auto"/>
      </w:divBdr>
    </w:div>
    <w:div w:id="1842353619">
      <w:bodyDiv w:val="1"/>
      <w:marLeft w:val="0"/>
      <w:marRight w:val="0"/>
      <w:marTop w:val="0"/>
      <w:marBottom w:val="0"/>
      <w:divBdr>
        <w:top w:val="none" w:sz="0" w:space="0" w:color="auto"/>
        <w:left w:val="none" w:sz="0" w:space="0" w:color="auto"/>
        <w:bottom w:val="none" w:sz="0" w:space="0" w:color="auto"/>
        <w:right w:val="none" w:sz="0" w:space="0" w:color="auto"/>
      </w:divBdr>
    </w:div>
    <w:div w:id="1870876333">
      <w:bodyDiv w:val="1"/>
      <w:marLeft w:val="0"/>
      <w:marRight w:val="0"/>
      <w:marTop w:val="0"/>
      <w:marBottom w:val="0"/>
      <w:divBdr>
        <w:top w:val="none" w:sz="0" w:space="0" w:color="auto"/>
        <w:left w:val="none" w:sz="0" w:space="0" w:color="auto"/>
        <w:bottom w:val="none" w:sz="0" w:space="0" w:color="auto"/>
        <w:right w:val="none" w:sz="0" w:space="0" w:color="auto"/>
      </w:divBdr>
    </w:div>
    <w:div w:id="1877500179">
      <w:bodyDiv w:val="1"/>
      <w:marLeft w:val="0"/>
      <w:marRight w:val="0"/>
      <w:marTop w:val="0"/>
      <w:marBottom w:val="0"/>
      <w:divBdr>
        <w:top w:val="none" w:sz="0" w:space="0" w:color="auto"/>
        <w:left w:val="none" w:sz="0" w:space="0" w:color="auto"/>
        <w:bottom w:val="none" w:sz="0" w:space="0" w:color="auto"/>
        <w:right w:val="none" w:sz="0" w:space="0" w:color="auto"/>
      </w:divBdr>
    </w:div>
    <w:div w:id="1878347876">
      <w:bodyDiv w:val="1"/>
      <w:marLeft w:val="0"/>
      <w:marRight w:val="0"/>
      <w:marTop w:val="0"/>
      <w:marBottom w:val="0"/>
      <w:divBdr>
        <w:top w:val="none" w:sz="0" w:space="0" w:color="auto"/>
        <w:left w:val="none" w:sz="0" w:space="0" w:color="auto"/>
        <w:bottom w:val="none" w:sz="0" w:space="0" w:color="auto"/>
        <w:right w:val="none" w:sz="0" w:space="0" w:color="auto"/>
      </w:divBdr>
    </w:div>
    <w:div w:id="1880050863">
      <w:bodyDiv w:val="1"/>
      <w:marLeft w:val="0"/>
      <w:marRight w:val="0"/>
      <w:marTop w:val="0"/>
      <w:marBottom w:val="0"/>
      <w:divBdr>
        <w:top w:val="none" w:sz="0" w:space="0" w:color="auto"/>
        <w:left w:val="none" w:sz="0" w:space="0" w:color="auto"/>
        <w:bottom w:val="none" w:sz="0" w:space="0" w:color="auto"/>
        <w:right w:val="none" w:sz="0" w:space="0" w:color="auto"/>
      </w:divBdr>
    </w:div>
    <w:div w:id="1887989906">
      <w:bodyDiv w:val="1"/>
      <w:marLeft w:val="0"/>
      <w:marRight w:val="0"/>
      <w:marTop w:val="0"/>
      <w:marBottom w:val="0"/>
      <w:divBdr>
        <w:top w:val="none" w:sz="0" w:space="0" w:color="auto"/>
        <w:left w:val="none" w:sz="0" w:space="0" w:color="auto"/>
        <w:bottom w:val="none" w:sz="0" w:space="0" w:color="auto"/>
        <w:right w:val="none" w:sz="0" w:space="0" w:color="auto"/>
      </w:divBdr>
    </w:div>
    <w:div w:id="1909340434">
      <w:bodyDiv w:val="1"/>
      <w:marLeft w:val="0"/>
      <w:marRight w:val="0"/>
      <w:marTop w:val="0"/>
      <w:marBottom w:val="0"/>
      <w:divBdr>
        <w:top w:val="none" w:sz="0" w:space="0" w:color="auto"/>
        <w:left w:val="none" w:sz="0" w:space="0" w:color="auto"/>
        <w:bottom w:val="none" w:sz="0" w:space="0" w:color="auto"/>
        <w:right w:val="none" w:sz="0" w:space="0" w:color="auto"/>
      </w:divBdr>
    </w:div>
    <w:div w:id="1949190595">
      <w:bodyDiv w:val="1"/>
      <w:marLeft w:val="0"/>
      <w:marRight w:val="0"/>
      <w:marTop w:val="0"/>
      <w:marBottom w:val="0"/>
      <w:divBdr>
        <w:top w:val="none" w:sz="0" w:space="0" w:color="auto"/>
        <w:left w:val="none" w:sz="0" w:space="0" w:color="auto"/>
        <w:bottom w:val="none" w:sz="0" w:space="0" w:color="auto"/>
        <w:right w:val="none" w:sz="0" w:space="0" w:color="auto"/>
      </w:divBdr>
    </w:div>
    <w:div w:id="1956018131">
      <w:bodyDiv w:val="1"/>
      <w:marLeft w:val="0"/>
      <w:marRight w:val="0"/>
      <w:marTop w:val="0"/>
      <w:marBottom w:val="0"/>
      <w:divBdr>
        <w:top w:val="none" w:sz="0" w:space="0" w:color="auto"/>
        <w:left w:val="none" w:sz="0" w:space="0" w:color="auto"/>
        <w:bottom w:val="none" w:sz="0" w:space="0" w:color="auto"/>
        <w:right w:val="none" w:sz="0" w:space="0" w:color="auto"/>
      </w:divBdr>
    </w:div>
    <w:div w:id="1986274127">
      <w:bodyDiv w:val="1"/>
      <w:marLeft w:val="0"/>
      <w:marRight w:val="0"/>
      <w:marTop w:val="0"/>
      <w:marBottom w:val="0"/>
      <w:divBdr>
        <w:top w:val="none" w:sz="0" w:space="0" w:color="auto"/>
        <w:left w:val="none" w:sz="0" w:space="0" w:color="auto"/>
        <w:bottom w:val="none" w:sz="0" w:space="0" w:color="auto"/>
        <w:right w:val="none" w:sz="0" w:space="0" w:color="auto"/>
      </w:divBdr>
    </w:div>
    <w:div w:id="2010908456">
      <w:bodyDiv w:val="1"/>
      <w:marLeft w:val="0"/>
      <w:marRight w:val="0"/>
      <w:marTop w:val="0"/>
      <w:marBottom w:val="0"/>
      <w:divBdr>
        <w:top w:val="none" w:sz="0" w:space="0" w:color="auto"/>
        <w:left w:val="none" w:sz="0" w:space="0" w:color="auto"/>
        <w:bottom w:val="none" w:sz="0" w:space="0" w:color="auto"/>
        <w:right w:val="none" w:sz="0" w:space="0" w:color="auto"/>
      </w:divBdr>
    </w:div>
    <w:div w:id="2011640401">
      <w:bodyDiv w:val="1"/>
      <w:marLeft w:val="0"/>
      <w:marRight w:val="0"/>
      <w:marTop w:val="0"/>
      <w:marBottom w:val="0"/>
      <w:divBdr>
        <w:top w:val="none" w:sz="0" w:space="0" w:color="auto"/>
        <w:left w:val="none" w:sz="0" w:space="0" w:color="auto"/>
        <w:bottom w:val="none" w:sz="0" w:space="0" w:color="auto"/>
        <w:right w:val="none" w:sz="0" w:space="0" w:color="auto"/>
      </w:divBdr>
    </w:div>
    <w:div w:id="2028826519">
      <w:bodyDiv w:val="1"/>
      <w:marLeft w:val="0"/>
      <w:marRight w:val="0"/>
      <w:marTop w:val="0"/>
      <w:marBottom w:val="0"/>
      <w:divBdr>
        <w:top w:val="none" w:sz="0" w:space="0" w:color="auto"/>
        <w:left w:val="none" w:sz="0" w:space="0" w:color="auto"/>
        <w:bottom w:val="none" w:sz="0" w:space="0" w:color="auto"/>
        <w:right w:val="none" w:sz="0" w:space="0" w:color="auto"/>
      </w:divBdr>
    </w:div>
    <w:div w:id="2075662156">
      <w:bodyDiv w:val="1"/>
      <w:marLeft w:val="0"/>
      <w:marRight w:val="0"/>
      <w:marTop w:val="0"/>
      <w:marBottom w:val="0"/>
      <w:divBdr>
        <w:top w:val="none" w:sz="0" w:space="0" w:color="auto"/>
        <w:left w:val="none" w:sz="0" w:space="0" w:color="auto"/>
        <w:bottom w:val="none" w:sz="0" w:space="0" w:color="auto"/>
        <w:right w:val="none" w:sz="0" w:space="0" w:color="auto"/>
      </w:divBdr>
    </w:div>
    <w:div w:id="2080514750">
      <w:bodyDiv w:val="1"/>
      <w:marLeft w:val="0"/>
      <w:marRight w:val="0"/>
      <w:marTop w:val="0"/>
      <w:marBottom w:val="0"/>
      <w:divBdr>
        <w:top w:val="none" w:sz="0" w:space="0" w:color="auto"/>
        <w:left w:val="none" w:sz="0" w:space="0" w:color="auto"/>
        <w:bottom w:val="none" w:sz="0" w:space="0" w:color="auto"/>
        <w:right w:val="none" w:sz="0" w:space="0" w:color="auto"/>
      </w:divBdr>
    </w:div>
    <w:div w:id="2110619307">
      <w:bodyDiv w:val="1"/>
      <w:marLeft w:val="0"/>
      <w:marRight w:val="0"/>
      <w:marTop w:val="0"/>
      <w:marBottom w:val="0"/>
      <w:divBdr>
        <w:top w:val="none" w:sz="0" w:space="0" w:color="auto"/>
        <w:left w:val="none" w:sz="0" w:space="0" w:color="auto"/>
        <w:bottom w:val="none" w:sz="0" w:space="0" w:color="auto"/>
        <w:right w:val="none" w:sz="0" w:space="0" w:color="auto"/>
      </w:divBdr>
    </w:div>
    <w:div w:id="2114354418">
      <w:bodyDiv w:val="1"/>
      <w:marLeft w:val="0"/>
      <w:marRight w:val="0"/>
      <w:marTop w:val="0"/>
      <w:marBottom w:val="0"/>
      <w:divBdr>
        <w:top w:val="none" w:sz="0" w:space="0" w:color="auto"/>
        <w:left w:val="none" w:sz="0" w:space="0" w:color="auto"/>
        <w:bottom w:val="none" w:sz="0" w:space="0" w:color="auto"/>
        <w:right w:val="none" w:sz="0" w:space="0" w:color="auto"/>
      </w:divBdr>
    </w:div>
    <w:div w:id="2117215581">
      <w:bodyDiv w:val="1"/>
      <w:marLeft w:val="0"/>
      <w:marRight w:val="0"/>
      <w:marTop w:val="0"/>
      <w:marBottom w:val="0"/>
      <w:divBdr>
        <w:top w:val="none" w:sz="0" w:space="0" w:color="auto"/>
        <w:left w:val="none" w:sz="0" w:space="0" w:color="auto"/>
        <w:bottom w:val="none" w:sz="0" w:space="0" w:color="auto"/>
        <w:right w:val="none" w:sz="0" w:space="0" w:color="auto"/>
      </w:divBdr>
    </w:div>
    <w:div w:id="21357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PROCVIEW&amp;procid=1760591&amp;callfrom=" TargetMode="External"/><Relationship Id="rId13" Type="http://schemas.openxmlformats.org/officeDocument/2006/relationships/hyperlink" Target="https://tis.ta.gov.lv/tisreal?Form=STATPROCVIEW&amp;procid=51812594&amp;callfr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tis.ta.gov.lv/tisreal?Form=STATPROCVIEW&amp;procid=1833125&amp;callfro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PROCVIEW&amp;procid=1768146&amp;callfrom="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tis.ta.gov.lv/tisreal?Form=STATPROCVIEW&amp;procid=2084743&amp;callfr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s.ta.gov.lv/tisreal?Form=STATPROCVIEW&amp;procid=1945371&amp;callfrom="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upremecourt.uk/cases/docs/uksc-2016-0196-judgment.pdf" TargetMode="External"/><Relationship Id="rId2" Type="http://schemas.openxmlformats.org/officeDocument/2006/relationships/hyperlink" Target="https://en.wikipedia.org/wiki/Enemies_of_the_People_(headline)" TargetMode="External"/><Relationship Id="rId1" Type="http://schemas.openxmlformats.org/officeDocument/2006/relationships/hyperlink" Target="https://tbinternet.ohchr.org/_layouts/treatybodyexternal/Download.aspx?symbolno=CCPR%2fC%2fGC%2f32&amp;Lang=en" TargetMode="External"/><Relationship Id="rId5" Type="http://schemas.openxmlformats.org/officeDocument/2006/relationships/hyperlink" Target="https://www.cids.ch/academic-forum" TargetMode="External"/><Relationship Id="rId4" Type="http://schemas.openxmlformats.org/officeDocument/2006/relationships/hyperlink" Target="http://www.uncitral.org/uncitral/en/commission/working_groups/3Investor_S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3234-E5EA-4CB5-B832-47ACA2B5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143748</Words>
  <Characters>81937</Characters>
  <Application>Microsoft Office Word</Application>
  <DocSecurity>0</DocSecurity>
  <Lines>682</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2018-12-17T13:35:00Z</dcterms:created>
  <dcterms:modified xsi:type="dcterms:W3CDTF">2018-12-17T13:41:00Z</dcterms:modified>
</cp:coreProperties>
</file>