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104EF" w14:textId="417881E6" w:rsidR="00D50355" w:rsidRPr="00D50355" w:rsidRDefault="00D7710D" w:rsidP="00D50355">
      <w:pPr>
        <w:pStyle w:val="NoSpacing"/>
        <w:jc w:val="right"/>
        <w:rPr>
          <w:rFonts w:ascii="Times New Roman" w:hAnsi="Times New Roman"/>
          <w:sz w:val="24"/>
          <w:szCs w:val="24"/>
        </w:rPr>
      </w:pPr>
      <w:r>
        <w:rPr>
          <w:rFonts w:ascii="Times New Roman" w:hAnsi="Times New Roman"/>
          <w:sz w:val="24"/>
          <w:szCs w:val="24"/>
        </w:rPr>
        <w:t>APSTIPRINĀTS</w:t>
      </w:r>
    </w:p>
    <w:p w14:paraId="6FF3CAE4" w14:textId="2B72733E" w:rsidR="00D50355" w:rsidRPr="00D50355" w:rsidRDefault="00D7710D" w:rsidP="00D50355">
      <w:pPr>
        <w:pStyle w:val="NoSpacing"/>
        <w:jc w:val="right"/>
        <w:rPr>
          <w:rFonts w:ascii="Times New Roman" w:hAnsi="Times New Roman"/>
          <w:sz w:val="24"/>
          <w:szCs w:val="24"/>
        </w:rPr>
      </w:pPr>
      <w:r>
        <w:rPr>
          <w:rFonts w:ascii="Times New Roman" w:hAnsi="Times New Roman"/>
          <w:sz w:val="24"/>
          <w:szCs w:val="24"/>
        </w:rPr>
        <w:t xml:space="preserve">Ar </w:t>
      </w:r>
      <w:r w:rsidR="00D50355" w:rsidRPr="00D50355">
        <w:rPr>
          <w:rFonts w:ascii="Times New Roman" w:hAnsi="Times New Roman"/>
          <w:sz w:val="24"/>
          <w:szCs w:val="24"/>
        </w:rPr>
        <w:t xml:space="preserve">Tieslietu padomes </w:t>
      </w:r>
    </w:p>
    <w:p w14:paraId="76BB7C52" w14:textId="68048D92" w:rsidR="00D50355" w:rsidRPr="00D50355" w:rsidRDefault="00D50355" w:rsidP="00D50355">
      <w:pPr>
        <w:pStyle w:val="NoSpacing"/>
        <w:jc w:val="right"/>
        <w:rPr>
          <w:rFonts w:ascii="Times New Roman" w:hAnsi="Times New Roman"/>
          <w:sz w:val="24"/>
          <w:szCs w:val="24"/>
        </w:rPr>
      </w:pPr>
      <w:r w:rsidRPr="00D50355">
        <w:rPr>
          <w:rFonts w:ascii="Times New Roman" w:hAnsi="Times New Roman"/>
          <w:sz w:val="24"/>
          <w:szCs w:val="24"/>
        </w:rPr>
        <w:t xml:space="preserve">2020. gada </w:t>
      </w:r>
      <w:r w:rsidR="00FB0E06">
        <w:rPr>
          <w:rFonts w:ascii="Times New Roman" w:hAnsi="Times New Roman"/>
          <w:sz w:val="24"/>
          <w:szCs w:val="24"/>
        </w:rPr>
        <w:t>8</w:t>
      </w:r>
      <w:r w:rsidRPr="00A37F4E">
        <w:rPr>
          <w:rFonts w:ascii="Times New Roman" w:hAnsi="Times New Roman"/>
          <w:sz w:val="24"/>
          <w:szCs w:val="24"/>
        </w:rPr>
        <w:t>. decembra lēmum</w:t>
      </w:r>
      <w:r w:rsidR="00D7710D">
        <w:rPr>
          <w:rFonts w:ascii="Times New Roman" w:hAnsi="Times New Roman"/>
          <w:sz w:val="24"/>
          <w:szCs w:val="24"/>
        </w:rPr>
        <w:t>u</w:t>
      </w:r>
      <w:bookmarkStart w:id="0" w:name="_GoBack"/>
      <w:bookmarkEnd w:id="0"/>
      <w:r w:rsidRPr="00A37F4E">
        <w:rPr>
          <w:rFonts w:ascii="Times New Roman" w:hAnsi="Times New Roman"/>
          <w:sz w:val="24"/>
          <w:szCs w:val="24"/>
        </w:rPr>
        <w:t xml:space="preserve"> Nr.73</w:t>
      </w:r>
    </w:p>
    <w:p w14:paraId="119D3A6C" w14:textId="77777777" w:rsidR="00D50355" w:rsidRPr="00947FF9" w:rsidRDefault="00D50355" w:rsidP="00D50355">
      <w:pPr>
        <w:pStyle w:val="NoSpacing"/>
        <w:jc w:val="right"/>
        <w:rPr>
          <w:rFonts w:ascii="Times New Roman" w:hAnsi="Times New Roman"/>
          <w:sz w:val="24"/>
          <w:szCs w:val="24"/>
        </w:rPr>
      </w:pPr>
      <w:r w:rsidRPr="00D50355">
        <w:rPr>
          <w:rFonts w:ascii="Times New Roman" w:hAnsi="Times New Roman"/>
          <w:sz w:val="24"/>
          <w:szCs w:val="24"/>
        </w:rPr>
        <w:t>Saskaņā ar likuma „Par tiesu varu”</w:t>
      </w:r>
    </w:p>
    <w:p w14:paraId="57D6F29C" w14:textId="77777777" w:rsidR="00D50355" w:rsidRDefault="00D50355" w:rsidP="00D50355">
      <w:pPr>
        <w:pStyle w:val="NoSpacing"/>
        <w:jc w:val="right"/>
        <w:rPr>
          <w:rFonts w:ascii="Times New Roman" w:hAnsi="Times New Roman"/>
          <w:sz w:val="24"/>
          <w:szCs w:val="24"/>
        </w:rPr>
      </w:pPr>
      <w:r w:rsidRPr="00947FF9">
        <w:rPr>
          <w:rFonts w:ascii="Times New Roman" w:hAnsi="Times New Roman"/>
          <w:sz w:val="24"/>
          <w:szCs w:val="24"/>
        </w:rPr>
        <w:t xml:space="preserve"> 51.</w:t>
      </w:r>
      <w:r>
        <w:rPr>
          <w:rFonts w:ascii="Times New Roman" w:hAnsi="Times New Roman"/>
          <w:sz w:val="24"/>
          <w:szCs w:val="24"/>
        </w:rPr>
        <w:t> </w:t>
      </w:r>
      <w:r w:rsidRPr="00947FF9">
        <w:rPr>
          <w:rFonts w:ascii="Times New Roman" w:hAnsi="Times New Roman"/>
          <w:sz w:val="24"/>
          <w:szCs w:val="24"/>
        </w:rPr>
        <w:t>panta trešo daļu</w:t>
      </w:r>
    </w:p>
    <w:p w14:paraId="6C263F68" w14:textId="77777777" w:rsidR="00D50355" w:rsidRDefault="00D50355" w:rsidP="00D50355">
      <w:pPr>
        <w:pStyle w:val="NoSpacing"/>
        <w:jc w:val="right"/>
        <w:rPr>
          <w:rFonts w:ascii="Times New Roman" w:hAnsi="Times New Roman"/>
          <w:sz w:val="24"/>
          <w:szCs w:val="24"/>
        </w:rPr>
      </w:pPr>
    </w:p>
    <w:p w14:paraId="4077A641" w14:textId="77777777" w:rsidR="00A37F4E" w:rsidRDefault="00A37F4E" w:rsidP="00D50355">
      <w:pPr>
        <w:pStyle w:val="NoSpacing"/>
        <w:jc w:val="right"/>
        <w:rPr>
          <w:rFonts w:ascii="Times New Roman" w:hAnsi="Times New Roman"/>
          <w:sz w:val="24"/>
          <w:szCs w:val="24"/>
        </w:rPr>
      </w:pPr>
    </w:p>
    <w:p w14:paraId="09BED5F5" w14:textId="77777777" w:rsidR="007C5D38" w:rsidRDefault="007C5D38" w:rsidP="007C5D38">
      <w:pPr>
        <w:spacing w:before="120" w:after="120" w:line="360" w:lineRule="auto"/>
        <w:jc w:val="center"/>
        <w:rPr>
          <w:b/>
          <w:szCs w:val="24"/>
        </w:rPr>
      </w:pPr>
      <w:r w:rsidRPr="00947FF9">
        <w:rPr>
          <w:b/>
          <w:szCs w:val="24"/>
        </w:rPr>
        <w:t xml:space="preserve">Rajona (pilsētas) tiesas un apgabaltiesas tiesneša </w:t>
      </w:r>
      <w:r>
        <w:rPr>
          <w:b/>
          <w:szCs w:val="24"/>
        </w:rPr>
        <w:t xml:space="preserve">amata kandidātu konkursa </w:t>
      </w:r>
      <w:smartTag w:uri="schemas-tilde-lv/tildestengine" w:element="veidnes">
        <w:smartTagPr>
          <w:attr w:name="text" w:val="nolikums"/>
          <w:attr w:name="baseform" w:val="nolikums"/>
          <w:attr w:name="id" w:val="-1"/>
        </w:smartTagPr>
        <w:r w:rsidRPr="00947FF9">
          <w:rPr>
            <w:b/>
            <w:szCs w:val="24"/>
          </w:rPr>
          <w:t>nolikums</w:t>
        </w:r>
      </w:smartTag>
      <w:r w:rsidRPr="00947FF9">
        <w:rPr>
          <w:b/>
          <w:szCs w:val="24"/>
        </w:rPr>
        <w:t xml:space="preserve"> </w:t>
      </w:r>
    </w:p>
    <w:p w14:paraId="7922D1C5" w14:textId="77777777" w:rsidR="007C5D38" w:rsidRPr="00947FF9" w:rsidRDefault="007C5D38" w:rsidP="007C5D38">
      <w:pPr>
        <w:pStyle w:val="ListParagraph"/>
        <w:spacing w:before="120" w:after="120" w:line="360" w:lineRule="auto"/>
        <w:ind w:left="567"/>
        <w:jc w:val="center"/>
        <w:rPr>
          <w:b/>
          <w:szCs w:val="24"/>
        </w:rPr>
      </w:pPr>
      <w:r w:rsidRPr="00947FF9">
        <w:rPr>
          <w:b/>
          <w:szCs w:val="24"/>
        </w:rPr>
        <w:t>I.Vispārīgie jautājumi</w:t>
      </w:r>
    </w:p>
    <w:p w14:paraId="47D6747E" w14:textId="77777777" w:rsidR="007C5D38" w:rsidRPr="00963FD7" w:rsidRDefault="007C5D38" w:rsidP="007C5D38">
      <w:pPr>
        <w:pStyle w:val="ListParagraph"/>
        <w:numPr>
          <w:ilvl w:val="0"/>
          <w:numId w:val="20"/>
        </w:numPr>
        <w:spacing w:before="120" w:after="120" w:line="360" w:lineRule="auto"/>
        <w:ind w:left="360"/>
        <w:jc w:val="both"/>
        <w:rPr>
          <w:szCs w:val="24"/>
        </w:rPr>
      </w:pPr>
      <w:smartTag w:uri="schemas-tilde-lv/tildestengine" w:element="veidnes">
        <w:smartTagPr>
          <w:attr w:name="id" w:val="-1"/>
          <w:attr w:name="baseform" w:val="nolikums"/>
          <w:attr w:name="text" w:val="nolikums"/>
        </w:smartTagPr>
        <w:r w:rsidRPr="00947FF9">
          <w:rPr>
            <w:szCs w:val="24"/>
          </w:rPr>
          <w:t>Nolikums</w:t>
        </w:r>
      </w:smartTag>
      <w:r w:rsidRPr="00947FF9">
        <w:rPr>
          <w:szCs w:val="24"/>
        </w:rPr>
        <w:t xml:space="preserve"> nosaka starp tiesnešiem izsludināta konkursa (turpmāk – konkurss) uz vakanto </w:t>
      </w:r>
      <w:r w:rsidRPr="00963FD7">
        <w:rPr>
          <w:szCs w:val="24"/>
        </w:rPr>
        <w:t xml:space="preserve">rajona (pilsētas) tiesas un apgabaltiesas tiesneša amata vietu (turpmāk – vakantais tiesneša amats) organizēšanas un norises kārtību. </w:t>
      </w:r>
    </w:p>
    <w:p w14:paraId="093FDE6B" w14:textId="77777777" w:rsidR="007C5D38" w:rsidRPr="007C5D38" w:rsidRDefault="007C5D38" w:rsidP="007C5D38">
      <w:pPr>
        <w:pStyle w:val="ListParagraph"/>
        <w:numPr>
          <w:ilvl w:val="0"/>
          <w:numId w:val="20"/>
        </w:numPr>
        <w:spacing w:before="120" w:after="120" w:line="360" w:lineRule="auto"/>
        <w:ind w:left="360"/>
        <w:jc w:val="both"/>
        <w:rPr>
          <w:szCs w:val="24"/>
        </w:rPr>
      </w:pPr>
      <w:r w:rsidRPr="007C5D38">
        <w:rPr>
          <w:szCs w:val="24"/>
        </w:rPr>
        <w:t xml:space="preserve">Konkursa organizēšanu uz vakanto tiesneša amatu nodrošina Tiesu administrācija. </w:t>
      </w:r>
      <w:bookmarkStart w:id="1" w:name="_Hlk57643611"/>
    </w:p>
    <w:p w14:paraId="72445DC6" w14:textId="77777777" w:rsidR="007C5D38" w:rsidRPr="007C5D38" w:rsidRDefault="007C5D38" w:rsidP="007C5D38">
      <w:pPr>
        <w:pStyle w:val="ListParagraph"/>
        <w:numPr>
          <w:ilvl w:val="0"/>
          <w:numId w:val="20"/>
        </w:numPr>
        <w:spacing w:before="120" w:after="120" w:line="360" w:lineRule="auto"/>
        <w:ind w:left="360"/>
        <w:jc w:val="both"/>
        <w:rPr>
          <w:szCs w:val="24"/>
        </w:rPr>
      </w:pPr>
      <w:r w:rsidRPr="007C5D38">
        <w:rPr>
          <w:szCs w:val="24"/>
        </w:rPr>
        <w:t xml:space="preserve">Tiesu administrācija izsludina konkursu ne vēlāk kā mēnesi pirms vakances atklāšanās, ja informācija par vakances atklāšanos bijusi zināma iepriekš, vai trīs darba dienu laikā no dienas, kad informācija par vakanci saņemta Tiesu administrācijā. </w:t>
      </w:r>
      <w:bookmarkEnd w:id="1"/>
      <w:r w:rsidRPr="007C5D38">
        <w:rPr>
          <w:lang w:eastAsia="en-US"/>
        </w:rPr>
        <w:t>J</w:t>
      </w:r>
      <w:r w:rsidRPr="007C5D38">
        <w:rPr>
          <w:szCs w:val="24"/>
        </w:rPr>
        <w:t xml:space="preserve">a Tiesu administrācija vai tiesas priekšsēdētājs, vērtējot noslodzi attiecīgajā tiesā, secina, ka vakance nav aizpildāma, Tiesu administrācija divu darba dienu laikā no informācijas saņemšanas par vakanci nosūta tieslietu ministram lūgumu vērsties Tieslietu padomē </w:t>
      </w:r>
      <w:r w:rsidRPr="007C5D38">
        <w:rPr>
          <w:szCs w:val="24"/>
          <w:shd w:val="clear" w:color="auto" w:fill="FFFFFF"/>
        </w:rPr>
        <w:t>izvērtēt tiesnešu skaitu konkrētajā tiesā un nepieciešamības gadījumā to mainīt. Par nosūtīto lūgumu Tiesu administrācija informē Tieslietu padomi.</w:t>
      </w:r>
    </w:p>
    <w:p w14:paraId="43CE69E5" w14:textId="2167E016" w:rsidR="007C5D38" w:rsidRPr="007C5D38" w:rsidRDefault="007C5D38" w:rsidP="007C5D38">
      <w:pPr>
        <w:spacing w:before="120" w:after="120" w:line="360" w:lineRule="auto"/>
        <w:jc w:val="both"/>
        <w:rPr>
          <w:szCs w:val="24"/>
        </w:rPr>
      </w:pPr>
      <w:r w:rsidRPr="007C5D38">
        <w:rPr>
          <w:szCs w:val="24"/>
        </w:rPr>
        <w:t>3.</w:t>
      </w:r>
      <w:r w:rsidRPr="007C5D38">
        <w:rPr>
          <w:szCs w:val="24"/>
          <w:vertAlign w:val="superscript"/>
        </w:rPr>
        <w:t xml:space="preserve">1 </w:t>
      </w:r>
      <w:r w:rsidRPr="007C5D38">
        <w:rPr>
          <w:szCs w:val="24"/>
        </w:rPr>
        <w:t>Tieslietu ministrs pēc šāda lūguma saņemšanas nekavējoties vēršas Tieslietu padomē ar priekšlikumu izvērtēt tiesnešu skaitu konkrētajā tiesā un nepieciešamības gadījumā to mainīt.</w:t>
      </w:r>
    </w:p>
    <w:p w14:paraId="60C13E7F" w14:textId="77777777" w:rsidR="007C5D38" w:rsidRPr="00947FF9" w:rsidRDefault="007C5D38" w:rsidP="007C5D38">
      <w:pPr>
        <w:pStyle w:val="ListParagraph"/>
        <w:spacing w:before="120" w:after="120" w:line="360" w:lineRule="auto"/>
        <w:ind w:left="648"/>
        <w:jc w:val="center"/>
        <w:rPr>
          <w:b/>
          <w:szCs w:val="24"/>
        </w:rPr>
      </w:pPr>
      <w:r w:rsidRPr="007C5D38">
        <w:rPr>
          <w:b/>
          <w:szCs w:val="24"/>
        </w:rPr>
        <w:t>II. Konkursa izsludināšana</w:t>
      </w:r>
    </w:p>
    <w:p w14:paraId="708772D6" w14:textId="77777777" w:rsidR="007C5D38" w:rsidRPr="00947FF9" w:rsidRDefault="007C5D38" w:rsidP="007C5D38">
      <w:pPr>
        <w:pStyle w:val="ListParagraph"/>
        <w:numPr>
          <w:ilvl w:val="0"/>
          <w:numId w:val="20"/>
        </w:numPr>
        <w:spacing w:before="120" w:after="120" w:line="360" w:lineRule="auto"/>
        <w:ind w:left="360"/>
        <w:jc w:val="both"/>
        <w:rPr>
          <w:szCs w:val="24"/>
        </w:rPr>
      </w:pPr>
      <w:r w:rsidRPr="00947FF9">
        <w:rPr>
          <w:szCs w:val="24"/>
        </w:rPr>
        <w:t>Tiesu administrācija elektroniski</w:t>
      </w:r>
      <w:r>
        <w:rPr>
          <w:szCs w:val="24"/>
        </w:rPr>
        <w:t xml:space="preserve"> </w:t>
      </w:r>
      <w:r w:rsidRPr="00947FF9">
        <w:rPr>
          <w:szCs w:val="24"/>
        </w:rPr>
        <w:t>informē tiesnešus par konkursu uz vakanto tiesneša amatu.</w:t>
      </w:r>
    </w:p>
    <w:p w14:paraId="174D80BE" w14:textId="77777777" w:rsidR="007C5D38" w:rsidRPr="00947FF9" w:rsidRDefault="007C5D38" w:rsidP="007C5D38">
      <w:pPr>
        <w:pStyle w:val="ListParagraph"/>
        <w:numPr>
          <w:ilvl w:val="0"/>
          <w:numId w:val="20"/>
        </w:numPr>
        <w:spacing w:before="120" w:after="120" w:line="360" w:lineRule="auto"/>
        <w:ind w:left="360"/>
        <w:jc w:val="both"/>
        <w:rPr>
          <w:szCs w:val="24"/>
        </w:rPr>
      </w:pPr>
      <w:r w:rsidRPr="00947FF9">
        <w:rPr>
          <w:szCs w:val="24"/>
        </w:rPr>
        <w:t>Informācijā norāda vakanto tiesneša amatu, iesniedzamos dokumentus, pieteikšanās termiņu un vietu.</w:t>
      </w:r>
    </w:p>
    <w:p w14:paraId="1350BC63" w14:textId="77777777" w:rsidR="007C5D38" w:rsidRPr="00947FF9" w:rsidRDefault="007C5D38" w:rsidP="007C5D38">
      <w:pPr>
        <w:pStyle w:val="ListParagraph"/>
        <w:numPr>
          <w:ilvl w:val="0"/>
          <w:numId w:val="20"/>
        </w:numPr>
        <w:spacing w:before="120" w:after="120" w:line="360" w:lineRule="auto"/>
        <w:ind w:left="360"/>
        <w:jc w:val="both"/>
        <w:rPr>
          <w:szCs w:val="24"/>
        </w:rPr>
      </w:pPr>
      <w:r w:rsidRPr="00947FF9">
        <w:rPr>
          <w:szCs w:val="24"/>
        </w:rPr>
        <w:t xml:space="preserve">Ja konkursu organizē uz vakanto apgabaltiesas tiesneša amatu, informācijā papildus norāda likumā „Par tiesu varu” apgabaltiesas tiesneša amata kandidātam noteiktās prasības. </w:t>
      </w:r>
    </w:p>
    <w:p w14:paraId="1B57E0C2" w14:textId="77777777" w:rsidR="007C5D38" w:rsidRPr="00947FF9" w:rsidRDefault="007C5D38" w:rsidP="007C5D38">
      <w:pPr>
        <w:pStyle w:val="ListParagraph"/>
        <w:numPr>
          <w:ilvl w:val="0"/>
          <w:numId w:val="20"/>
        </w:numPr>
        <w:spacing w:before="120" w:after="120" w:line="360" w:lineRule="auto"/>
        <w:ind w:left="360"/>
        <w:jc w:val="both"/>
        <w:rPr>
          <w:szCs w:val="24"/>
        </w:rPr>
      </w:pPr>
      <w:r w:rsidRPr="00947FF9">
        <w:rPr>
          <w:szCs w:val="24"/>
        </w:rPr>
        <w:t>Pieteikšanās termiņš uz vakanto tiesneša amatu nav mazāks par desmit dienām no informācijas nosūtīšanas dienas.</w:t>
      </w:r>
    </w:p>
    <w:p w14:paraId="15562E33" w14:textId="77777777" w:rsidR="007C5D38" w:rsidRPr="00947FF9" w:rsidRDefault="007C5D38" w:rsidP="007C5D38">
      <w:pPr>
        <w:pStyle w:val="ListParagraph"/>
        <w:numPr>
          <w:ilvl w:val="0"/>
          <w:numId w:val="20"/>
        </w:numPr>
        <w:spacing w:before="120" w:after="120" w:line="360" w:lineRule="auto"/>
        <w:ind w:left="360"/>
        <w:jc w:val="both"/>
        <w:rPr>
          <w:szCs w:val="24"/>
        </w:rPr>
      </w:pPr>
      <w:r w:rsidRPr="00947FF9">
        <w:rPr>
          <w:szCs w:val="24"/>
        </w:rPr>
        <w:t>Tiesnesim, kurš vēlas pretendēt uz vakanto tiesneša amatu</w:t>
      </w:r>
      <w:r>
        <w:rPr>
          <w:szCs w:val="24"/>
        </w:rPr>
        <w:t>,</w:t>
      </w:r>
      <w:r w:rsidRPr="00947FF9">
        <w:rPr>
          <w:szCs w:val="24"/>
        </w:rPr>
        <w:t xml:space="preserve"> jāiesniedz šādi dokumenti:</w:t>
      </w:r>
    </w:p>
    <w:p w14:paraId="26370517" w14:textId="77777777" w:rsidR="007C5D38" w:rsidRPr="00947FF9" w:rsidRDefault="007C5D38" w:rsidP="007C5D38">
      <w:pPr>
        <w:pStyle w:val="ListParagraph"/>
        <w:numPr>
          <w:ilvl w:val="1"/>
          <w:numId w:val="20"/>
        </w:numPr>
        <w:spacing w:before="120" w:after="120" w:line="360" w:lineRule="auto"/>
        <w:jc w:val="both"/>
        <w:rPr>
          <w:szCs w:val="24"/>
        </w:rPr>
      </w:pPr>
      <w:r w:rsidRPr="00947FF9">
        <w:rPr>
          <w:szCs w:val="24"/>
        </w:rPr>
        <w:t xml:space="preserve"> motivēta pieteikuma </w:t>
      </w:r>
      <w:smartTag w:uri="schemas-tilde-lv/tildestengine" w:element="veidnes">
        <w:smartTagPr>
          <w:attr w:name="id" w:val="-1"/>
          <w:attr w:name="baseform" w:val="vēstule"/>
          <w:attr w:name="text" w:val="vēstule"/>
        </w:smartTagPr>
        <w:r w:rsidRPr="00947FF9">
          <w:rPr>
            <w:szCs w:val="24"/>
          </w:rPr>
          <w:t>vēstule</w:t>
        </w:r>
      </w:smartTag>
      <w:r w:rsidRPr="00947FF9">
        <w:rPr>
          <w:szCs w:val="24"/>
        </w:rPr>
        <w:t>;</w:t>
      </w:r>
    </w:p>
    <w:p w14:paraId="27CAFD6D" w14:textId="77777777" w:rsidR="007C5D38" w:rsidRPr="00E27082" w:rsidRDefault="007C5D38" w:rsidP="007C5D38">
      <w:pPr>
        <w:pStyle w:val="ListParagraph"/>
        <w:numPr>
          <w:ilvl w:val="1"/>
          <w:numId w:val="20"/>
        </w:numPr>
        <w:spacing w:before="120" w:after="120" w:line="360" w:lineRule="auto"/>
        <w:jc w:val="both"/>
        <w:rPr>
          <w:szCs w:val="24"/>
        </w:rPr>
      </w:pPr>
      <w:r w:rsidRPr="00947FF9">
        <w:rPr>
          <w:szCs w:val="24"/>
        </w:rPr>
        <w:t xml:space="preserve"> dzīves un darba apraksts (atbilstoši Europass </w:t>
      </w:r>
      <w:smartTag w:uri="schemas-tilde-lv/tildestengine" w:element="veidnes">
        <w:smartTagPr>
          <w:attr w:name="id" w:val="-1"/>
          <w:attr w:name="baseform" w:val="CV"/>
          <w:attr w:name="text" w:val="CV"/>
        </w:smartTagPr>
        <w:r w:rsidRPr="00947FF9">
          <w:rPr>
            <w:szCs w:val="24"/>
          </w:rPr>
          <w:t>CV</w:t>
        </w:r>
      </w:smartTag>
      <w:r w:rsidRPr="00947FF9">
        <w:rPr>
          <w:szCs w:val="24"/>
        </w:rPr>
        <w:t xml:space="preserve"> standartam).</w:t>
      </w:r>
    </w:p>
    <w:p w14:paraId="31690FAC" w14:textId="77777777" w:rsidR="007C5D38" w:rsidRPr="00947FF9" w:rsidRDefault="007C5D38" w:rsidP="007C5D38">
      <w:pPr>
        <w:spacing w:before="120" w:after="120" w:line="360" w:lineRule="auto"/>
        <w:jc w:val="center"/>
        <w:rPr>
          <w:b/>
          <w:szCs w:val="24"/>
        </w:rPr>
      </w:pPr>
      <w:r w:rsidRPr="00947FF9">
        <w:rPr>
          <w:b/>
          <w:szCs w:val="24"/>
        </w:rPr>
        <w:t>III. Pieteikuma izvērtēšana uz vakanto tiesneša amatu apgabaltiesā</w:t>
      </w:r>
    </w:p>
    <w:p w14:paraId="268B017E" w14:textId="2E3BD000" w:rsidR="007C5D38" w:rsidRPr="005A3ED5" w:rsidRDefault="007C5D38" w:rsidP="006C5C08">
      <w:pPr>
        <w:pStyle w:val="ListParagraph"/>
        <w:numPr>
          <w:ilvl w:val="0"/>
          <w:numId w:val="20"/>
        </w:numPr>
        <w:spacing w:before="120" w:after="120" w:line="360" w:lineRule="auto"/>
        <w:ind w:left="360"/>
        <w:jc w:val="both"/>
        <w:rPr>
          <w:szCs w:val="24"/>
        </w:rPr>
      </w:pPr>
      <w:r w:rsidRPr="005A3ED5">
        <w:rPr>
          <w:szCs w:val="24"/>
        </w:rPr>
        <w:lastRenderedPageBreak/>
        <w:t>Tiesu administrācija piecu darba dienu laikā no pieteikuma uz vakanto apgabaltiesas tiesneša amatu saņemšanas dienas izvērtē tiesneša atbilstību likuma „Par tiesu varu” 53.panta</w:t>
      </w:r>
      <w:r w:rsidR="005A3ED5" w:rsidRPr="005A3ED5">
        <w:rPr>
          <w:szCs w:val="24"/>
        </w:rPr>
        <w:t xml:space="preserve"> </w:t>
      </w:r>
      <w:r w:rsidRPr="005A3ED5">
        <w:rPr>
          <w:szCs w:val="24"/>
        </w:rPr>
        <w:t xml:space="preserve">prasībām, ja uz vakanto amatu ir pieteicies rajona (pilsētas) tiesas tiesnesis. </w:t>
      </w:r>
    </w:p>
    <w:p w14:paraId="3DC5079B" w14:textId="77777777" w:rsidR="007C5D38" w:rsidRPr="00947FF9" w:rsidRDefault="007C5D38" w:rsidP="007C5D38">
      <w:pPr>
        <w:pStyle w:val="ListParagraph"/>
        <w:numPr>
          <w:ilvl w:val="0"/>
          <w:numId w:val="20"/>
        </w:numPr>
        <w:spacing w:before="120" w:after="120" w:line="360" w:lineRule="auto"/>
        <w:ind w:left="360"/>
        <w:jc w:val="both"/>
        <w:rPr>
          <w:szCs w:val="24"/>
        </w:rPr>
      </w:pPr>
      <w:r w:rsidRPr="00947FF9">
        <w:rPr>
          <w:szCs w:val="24"/>
        </w:rPr>
        <w:t xml:space="preserve">Ja tiesnesis neatbilst likuma „Par tiesu varu” </w:t>
      </w:r>
      <w:proofErr w:type="gramStart"/>
      <w:r w:rsidRPr="00947FF9">
        <w:rPr>
          <w:szCs w:val="24"/>
        </w:rPr>
        <w:t>53.pantā</w:t>
      </w:r>
      <w:proofErr w:type="gramEnd"/>
      <w:r w:rsidRPr="00947FF9">
        <w:rPr>
          <w:szCs w:val="24"/>
        </w:rPr>
        <w:t xml:space="preserve"> noteiktajām prasībām, Tiesu administrācija trīs darba dienu laikā no pieteikuma izvērtēšanas dienas pieņem lēmumu nevirzīt</w:t>
      </w:r>
      <w:r w:rsidRPr="00947FF9" w:rsidDel="00AE0B83">
        <w:rPr>
          <w:szCs w:val="24"/>
        </w:rPr>
        <w:t xml:space="preserve"> </w:t>
      </w:r>
      <w:r w:rsidRPr="00947FF9">
        <w:rPr>
          <w:szCs w:val="24"/>
        </w:rPr>
        <w:t>tiesneša kandid</w:t>
      </w:r>
      <w:r>
        <w:rPr>
          <w:szCs w:val="24"/>
        </w:rPr>
        <w:t xml:space="preserve">atūru </w:t>
      </w:r>
      <w:r w:rsidRPr="00947FF9">
        <w:rPr>
          <w:szCs w:val="24"/>
        </w:rPr>
        <w:t xml:space="preserve">vakantajam apgabaltiesas tiesneša amatam un nosūta to tiesnesim. </w:t>
      </w:r>
    </w:p>
    <w:p w14:paraId="4AC18E10" w14:textId="77777777" w:rsidR="007C5D38" w:rsidRDefault="007C5D38" w:rsidP="007C5D38">
      <w:pPr>
        <w:pStyle w:val="ListParagraph"/>
        <w:spacing w:before="120" w:after="120" w:line="360" w:lineRule="auto"/>
        <w:ind w:left="644"/>
        <w:jc w:val="center"/>
        <w:rPr>
          <w:b/>
          <w:szCs w:val="24"/>
        </w:rPr>
      </w:pPr>
      <w:r w:rsidRPr="00947FF9">
        <w:rPr>
          <w:b/>
          <w:szCs w:val="24"/>
        </w:rPr>
        <w:t xml:space="preserve">IV. Informācijas pieprasīšana un sagatavošana </w:t>
      </w:r>
    </w:p>
    <w:p w14:paraId="7E73E3F6" w14:textId="77777777" w:rsidR="007C5D38" w:rsidRPr="00401E5C" w:rsidRDefault="007C5D38" w:rsidP="007C5D38">
      <w:pPr>
        <w:pStyle w:val="ListParagraph"/>
        <w:numPr>
          <w:ilvl w:val="0"/>
          <w:numId w:val="20"/>
        </w:numPr>
        <w:spacing w:before="120" w:after="120" w:line="360" w:lineRule="auto"/>
        <w:ind w:left="360"/>
        <w:jc w:val="both"/>
        <w:rPr>
          <w:szCs w:val="24"/>
        </w:rPr>
      </w:pPr>
      <w:r w:rsidRPr="00401E5C">
        <w:rPr>
          <w:szCs w:val="24"/>
        </w:rPr>
        <w:t xml:space="preserve">Tiesu administrācija septiņu darba dienu laikā pēc pieteikuma uz vakanto tiesneša amatu saņemšanas vai šī nolikuma 8.punktā minētā pieteikuma izvērtēšanas sagatavo uzziņu par tiesneša darbu. </w:t>
      </w:r>
      <w:r w:rsidRPr="00401E5C">
        <w:t>Tiesu administrācijas sagatavotajā uzziņā par rajona (pilsētas) tiesas tiesneša vai apgabaltiesas tiesneša darbu iekļauj informāciju par tiesneša izglītību, darba stāžu tiesneša amatā, darba noslodzi, profesionālās un akadēmiskās kvalifikācijas celšanu un citām aktivitātēm vismaz trīs gadu periodā, izņemot gadījumus, ja tiesnesis amatā nostrādājis mazāk par trim gadiem</w:t>
      </w:r>
      <w:r>
        <w:t>.</w:t>
      </w:r>
    </w:p>
    <w:p w14:paraId="3EFD40A4" w14:textId="77777777" w:rsidR="007C5D38" w:rsidRPr="00947FF9" w:rsidRDefault="007C5D38" w:rsidP="007C5D38">
      <w:pPr>
        <w:pStyle w:val="ListParagraph"/>
        <w:numPr>
          <w:ilvl w:val="0"/>
          <w:numId w:val="20"/>
        </w:numPr>
        <w:spacing w:before="120" w:after="120" w:line="360" w:lineRule="auto"/>
        <w:ind w:left="360"/>
        <w:jc w:val="both"/>
        <w:rPr>
          <w:szCs w:val="24"/>
        </w:rPr>
      </w:pPr>
      <w:r w:rsidRPr="00947FF9">
        <w:rPr>
          <w:szCs w:val="24"/>
        </w:rPr>
        <w:t>Ja tiesnesis pieteicies uz vakanto tiesneša amatu augstāka līmeņa tiesā vai likuma „Par</w:t>
      </w:r>
      <w:r>
        <w:rPr>
          <w:szCs w:val="24"/>
        </w:rPr>
        <w:t> </w:t>
      </w:r>
      <w:r w:rsidRPr="00947FF9">
        <w:rPr>
          <w:szCs w:val="24"/>
        </w:rPr>
        <w:t>tiesu varu” 73.</w:t>
      </w:r>
      <w:r w:rsidRPr="00947FF9">
        <w:rPr>
          <w:szCs w:val="24"/>
          <w:vertAlign w:val="superscript"/>
        </w:rPr>
        <w:t xml:space="preserve">1 </w:t>
      </w:r>
      <w:r w:rsidRPr="00947FF9">
        <w:rPr>
          <w:szCs w:val="24"/>
        </w:rPr>
        <w:t xml:space="preserve">panta pirmās daļas 2., 3., </w:t>
      </w:r>
      <w:r w:rsidRPr="00A37F4E">
        <w:rPr>
          <w:szCs w:val="24"/>
        </w:rPr>
        <w:t>3</w:t>
      </w:r>
      <w:r w:rsidRPr="00A37F4E">
        <w:rPr>
          <w:szCs w:val="24"/>
          <w:vertAlign w:val="superscript"/>
        </w:rPr>
        <w:t>1</w:t>
      </w:r>
      <w:r>
        <w:rPr>
          <w:szCs w:val="24"/>
        </w:rPr>
        <w:t xml:space="preserve">., </w:t>
      </w:r>
      <w:r w:rsidRPr="00947FF9">
        <w:rPr>
          <w:szCs w:val="24"/>
        </w:rPr>
        <w:t xml:space="preserve">4., 5. punktā un otrās daļas 2. un 3.punktā minētajos gadījumos, Tiesu administrācija trīs darba dienu laikā pēc tiesneša pieteikuma saņemšanas vai šī nolikuma 8.punktā minētā pieteikuma izvērtēšanas nosūta pieprasījumu sniegt atsauksmi par tiesneša darbu attiecīgās tiesas priekšsēdētājam </w:t>
      </w:r>
      <w:r>
        <w:rPr>
          <w:szCs w:val="24"/>
        </w:rPr>
        <w:t xml:space="preserve">un augstāka līmeņa (instances) tiesas priekšsēdētājam. </w:t>
      </w:r>
    </w:p>
    <w:p w14:paraId="14A59931" w14:textId="77777777" w:rsidR="007C5D38" w:rsidRDefault="007C5D38" w:rsidP="007C5D38">
      <w:pPr>
        <w:pStyle w:val="ListParagraph"/>
        <w:numPr>
          <w:ilvl w:val="0"/>
          <w:numId w:val="20"/>
        </w:numPr>
        <w:spacing w:before="120" w:after="120" w:line="360" w:lineRule="auto"/>
        <w:ind w:left="360"/>
        <w:jc w:val="both"/>
        <w:rPr>
          <w:szCs w:val="24"/>
        </w:rPr>
      </w:pPr>
      <w:r w:rsidRPr="00947FF9">
        <w:rPr>
          <w:szCs w:val="24"/>
        </w:rPr>
        <w:t xml:space="preserve">Šī nolikuma 12.punktā minēto atsauksmi sagatavo un iesniedz Tiesu administrācijā </w:t>
      </w:r>
      <w:r>
        <w:rPr>
          <w:szCs w:val="24"/>
        </w:rPr>
        <w:t>div</w:t>
      </w:r>
      <w:r w:rsidRPr="00947FF9">
        <w:rPr>
          <w:szCs w:val="24"/>
        </w:rPr>
        <w:t xml:space="preserve">desmit darba dienu laikā no pieprasījuma saņemšanas dienas. </w:t>
      </w:r>
    </w:p>
    <w:p w14:paraId="2FF29676" w14:textId="77777777" w:rsidR="007C5D38" w:rsidRPr="00357349" w:rsidRDefault="007C5D38" w:rsidP="007C5D38">
      <w:pPr>
        <w:pStyle w:val="ListParagraph"/>
        <w:numPr>
          <w:ilvl w:val="0"/>
          <w:numId w:val="20"/>
        </w:numPr>
        <w:spacing w:before="120" w:after="120" w:line="360" w:lineRule="auto"/>
        <w:ind w:left="360" w:hanging="357"/>
        <w:jc w:val="both"/>
        <w:rPr>
          <w:szCs w:val="24"/>
        </w:rPr>
      </w:pPr>
      <w:r w:rsidRPr="00357349">
        <w:rPr>
          <w:szCs w:val="24"/>
        </w:rPr>
        <w:t>Tiesas priekšsēdētāja atsauksmē par tiesneša darbu iekļauj informāciju par:</w:t>
      </w:r>
    </w:p>
    <w:p w14:paraId="08830669" w14:textId="77777777" w:rsidR="007C5D38" w:rsidRDefault="007C5D38" w:rsidP="007C5D38">
      <w:pPr>
        <w:pStyle w:val="Title"/>
        <w:numPr>
          <w:ilvl w:val="1"/>
          <w:numId w:val="20"/>
        </w:numPr>
        <w:spacing w:before="120" w:after="120" w:line="360" w:lineRule="auto"/>
        <w:ind w:hanging="357"/>
        <w:jc w:val="both"/>
        <w:rPr>
          <w:b w:val="0"/>
          <w:i w:val="0"/>
          <w:sz w:val="24"/>
          <w:szCs w:val="24"/>
        </w:rPr>
      </w:pPr>
      <w:r w:rsidRPr="00357349">
        <w:rPr>
          <w:b w:val="0"/>
          <w:i w:val="0"/>
          <w:sz w:val="24"/>
          <w:szCs w:val="24"/>
        </w:rPr>
        <w:t>tiesneša specializāciju un pieņemtajiem nolēmumiem</w:t>
      </w:r>
      <w:r>
        <w:rPr>
          <w:b w:val="0"/>
          <w:i w:val="0"/>
          <w:sz w:val="24"/>
          <w:szCs w:val="24"/>
        </w:rPr>
        <w:t>;</w:t>
      </w:r>
      <w:r w:rsidRPr="00357349">
        <w:rPr>
          <w:b w:val="0"/>
          <w:i w:val="0"/>
          <w:sz w:val="24"/>
          <w:szCs w:val="24"/>
        </w:rPr>
        <w:t xml:space="preserve"> </w:t>
      </w:r>
    </w:p>
    <w:p w14:paraId="25999FF2" w14:textId="77777777" w:rsidR="007C5D38" w:rsidRDefault="007C5D38" w:rsidP="007C5D38">
      <w:pPr>
        <w:pStyle w:val="Title"/>
        <w:numPr>
          <w:ilvl w:val="1"/>
          <w:numId w:val="20"/>
        </w:numPr>
        <w:spacing w:before="120" w:after="120" w:line="360" w:lineRule="auto"/>
        <w:ind w:hanging="357"/>
        <w:jc w:val="both"/>
        <w:rPr>
          <w:b w:val="0"/>
          <w:i w:val="0"/>
          <w:sz w:val="24"/>
          <w:szCs w:val="24"/>
        </w:rPr>
      </w:pPr>
      <w:r w:rsidRPr="00357349">
        <w:rPr>
          <w:b w:val="0"/>
          <w:i w:val="0"/>
          <w:sz w:val="24"/>
          <w:szCs w:val="24"/>
        </w:rPr>
        <w:t>tiesneša noslodzi, darba organizāciju tiesas lietu izskatīšanas nodrošināšanai un tiesas procesa vadību;</w:t>
      </w:r>
    </w:p>
    <w:p w14:paraId="1199CA6D" w14:textId="77777777" w:rsidR="007C5D38" w:rsidRDefault="007C5D38" w:rsidP="007C5D38">
      <w:pPr>
        <w:pStyle w:val="Title"/>
        <w:numPr>
          <w:ilvl w:val="1"/>
          <w:numId w:val="20"/>
        </w:numPr>
        <w:spacing w:before="120" w:after="120" w:line="360" w:lineRule="auto"/>
        <w:ind w:hanging="357"/>
        <w:jc w:val="both"/>
        <w:rPr>
          <w:b w:val="0"/>
          <w:i w:val="0"/>
          <w:sz w:val="24"/>
          <w:szCs w:val="24"/>
        </w:rPr>
      </w:pPr>
      <w:r w:rsidRPr="00357349">
        <w:rPr>
          <w:b w:val="0"/>
          <w:i w:val="0"/>
          <w:sz w:val="24"/>
          <w:szCs w:val="24"/>
        </w:rPr>
        <w:t>darba organizācijas noteikumu un tiesas priekšsēdētāja rīkojumu ievērošanu</w:t>
      </w:r>
      <w:r>
        <w:rPr>
          <w:b w:val="0"/>
          <w:i w:val="0"/>
          <w:sz w:val="24"/>
          <w:szCs w:val="24"/>
        </w:rPr>
        <w:t xml:space="preserve"> tiesneša darbā;</w:t>
      </w:r>
    </w:p>
    <w:p w14:paraId="53F78453" w14:textId="77777777" w:rsidR="007C5D38" w:rsidRPr="00357349" w:rsidRDefault="007C5D38" w:rsidP="007C5D38">
      <w:pPr>
        <w:pStyle w:val="Title"/>
        <w:numPr>
          <w:ilvl w:val="1"/>
          <w:numId w:val="20"/>
        </w:numPr>
        <w:spacing w:before="120" w:after="120" w:line="360" w:lineRule="auto"/>
        <w:ind w:hanging="357"/>
        <w:jc w:val="both"/>
        <w:rPr>
          <w:b w:val="0"/>
          <w:i w:val="0"/>
          <w:sz w:val="24"/>
          <w:szCs w:val="24"/>
        </w:rPr>
      </w:pPr>
      <w:r w:rsidRPr="00357349">
        <w:rPr>
          <w:b w:val="0"/>
          <w:i w:val="0"/>
          <w:sz w:val="24"/>
        </w:rPr>
        <w:t>dalību kvalifikācijas celšanas pasākumos un sabiedrisko darbību;</w:t>
      </w:r>
    </w:p>
    <w:p w14:paraId="599C3DFD" w14:textId="77777777" w:rsidR="007C5D38" w:rsidRPr="00357349" w:rsidRDefault="007C5D38" w:rsidP="007C5D38">
      <w:pPr>
        <w:pStyle w:val="Title"/>
        <w:numPr>
          <w:ilvl w:val="1"/>
          <w:numId w:val="20"/>
        </w:numPr>
        <w:spacing w:before="120" w:after="120" w:line="360" w:lineRule="auto"/>
        <w:jc w:val="both"/>
        <w:rPr>
          <w:b w:val="0"/>
          <w:i w:val="0"/>
          <w:sz w:val="24"/>
          <w:szCs w:val="24"/>
        </w:rPr>
      </w:pPr>
      <w:r w:rsidRPr="00357349">
        <w:rPr>
          <w:b w:val="0"/>
          <w:i w:val="0"/>
          <w:sz w:val="24"/>
        </w:rPr>
        <w:t>tiesneša spēju efektīvi pildīt darba pienākumus, iegūt un analizēt informāciju, pieņemt lēmumus un izskaidrot savu viedokli, analizēt savu rīcību un rast kompromisu problēmsituācijās.</w:t>
      </w:r>
    </w:p>
    <w:p w14:paraId="5A030AF2" w14:textId="77777777" w:rsidR="007C5D38" w:rsidRPr="00A674A4" w:rsidRDefault="007C5D38" w:rsidP="007C5D38">
      <w:pPr>
        <w:pStyle w:val="Title"/>
        <w:numPr>
          <w:ilvl w:val="0"/>
          <w:numId w:val="20"/>
        </w:numPr>
        <w:tabs>
          <w:tab w:val="left" w:pos="990"/>
          <w:tab w:val="left" w:pos="1260"/>
        </w:tabs>
        <w:spacing w:before="120" w:after="120" w:line="360" w:lineRule="auto"/>
        <w:ind w:left="360" w:hanging="357"/>
        <w:jc w:val="both"/>
        <w:rPr>
          <w:b w:val="0"/>
          <w:i w:val="0"/>
          <w:sz w:val="24"/>
        </w:rPr>
      </w:pPr>
      <w:r w:rsidRPr="00A674A4">
        <w:rPr>
          <w:b w:val="0"/>
          <w:i w:val="0"/>
          <w:sz w:val="24"/>
        </w:rPr>
        <w:lastRenderedPageBreak/>
        <w:t>Augstāka līmeņa (instances) tiesas atsauksmē par tiesneša darbu iekļauj informāciju par:</w:t>
      </w:r>
    </w:p>
    <w:p w14:paraId="41C7BF4E" w14:textId="77777777" w:rsidR="007C5D38" w:rsidRDefault="007C5D38" w:rsidP="007C5D38">
      <w:pPr>
        <w:pStyle w:val="Title"/>
        <w:numPr>
          <w:ilvl w:val="1"/>
          <w:numId w:val="20"/>
        </w:numPr>
        <w:spacing w:before="120" w:after="120" w:line="360" w:lineRule="auto"/>
        <w:jc w:val="both"/>
        <w:rPr>
          <w:b w:val="0"/>
          <w:i w:val="0"/>
          <w:sz w:val="24"/>
        </w:rPr>
      </w:pPr>
      <w:r w:rsidRPr="00A674A4">
        <w:rPr>
          <w:b w:val="0"/>
          <w:i w:val="0"/>
          <w:sz w:val="24"/>
        </w:rPr>
        <w:t xml:space="preserve">tiesneša pieņemto nolēmumu kvalitāti (sagatavoto nolēmumu struktūru, tajos ietverto juridisko argumentāciju, materiālo un procesuālo tiesību normu piemērošanu, tiesību palīgavotu izmantošanu); </w:t>
      </w:r>
    </w:p>
    <w:p w14:paraId="2702E190" w14:textId="77777777" w:rsidR="007C5D38" w:rsidRPr="00E151B3" w:rsidRDefault="007C5D38" w:rsidP="007C5D38">
      <w:pPr>
        <w:pStyle w:val="Title"/>
        <w:numPr>
          <w:ilvl w:val="1"/>
          <w:numId w:val="20"/>
        </w:numPr>
        <w:spacing w:before="120" w:after="120" w:line="360" w:lineRule="auto"/>
        <w:jc w:val="both"/>
        <w:rPr>
          <w:b w:val="0"/>
          <w:i w:val="0"/>
          <w:sz w:val="24"/>
        </w:rPr>
      </w:pPr>
      <w:r w:rsidRPr="00E151B3">
        <w:rPr>
          <w:b w:val="0"/>
          <w:i w:val="0"/>
          <w:sz w:val="24"/>
        </w:rPr>
        <w:t>nolēmumu pārsūdzības rezultātiem;</w:t>
      </w:r>
    </w:p>
    <w:p w14:paraId="34941D11" w14:textId="77777777" w:rsidR="007C5D38" w:rsidRPr="005814E0" w:rsidRDefault="007C5D38" w:rsidP="007C5D38">
      <w:pPr>
        <w:pStyle w:val="Title"/>
        <w:numPr>
          <w:ilvl w:val="1"/>
          <w:numId w:val="20"/>
        </w:numPr>
        <w:tabs>
          <w:tab w:val="left" w:pos="990"/>
          <w:tab w:val="left" w:pos="1260"/>
        </w:tabs>
        <w:spacing w:before="120" w:after="120" w:line="360" w:lineRule="auto"/>
        <w:ind w:hanging="357"/>
        <w:jc w:val="both"/>
        <w:rPr>
          <w:b w:val="0"/>
          <w:i w:val="0"/>
          <w:sz w:val="24"/>
        </w:rPr>
      </w:pPr>
      <w:r w:rsidRPr="00A674A4">
        <w:rPr>
          <w:b w:val="0"/>
          <w:i w:val="0"/>
          <w:sz w:val="24"/>
        </w:rPr>
        <w:t>tiesneša spēju piemērot tiesību zināšanas praksē, spēju pieņemt l</w:t>
      </w:r>
      <w:r>
        <w:rPr>
          <w:b w:val="0"/>
          <w:i w:val="0"/>
          <w:sz w:val="24"/>
        </w:rPr>
        <w:t xml:space="preserve">ēmumus un </w:t>
      </w:r>
      <w:r w:rsidRPr="00A674A4">
        <w:rPr>
          <w:b w:val="0"/>
          <w:i w:val="0"/>
          <w:sz w:val="24"/>
        </w:rPr>
        <w:t>izskaidrot savu viedokli.</w:t>
      </w:r>
    </w:p>
    <w:p w14:paraId="312BE128" w14:textId="77777777" w:rsidR="007C5D38" w:rsidRDefault="007C5D38" w:rsidP="007C5D38">
      <w:pPr>
        <w:pStyle w:val="ListParagraph"/>
        <w:tabs>
          <w:tab w:val="left" w:pos="502"/>
        </w:tabs>
        <w:spacing w:before="120" w:after="120" w:line="360" w:lineRule="auto"/>
        <w:ind w:left="502"/>
        <w:jc w:val="center"/>
        <w:rPr>
          <w:b/>
          <w:szCs w:val="24"/>
        </w:rPr>
      </w:pPr>
      <w:r w:rsidRPr="00947FF9">
        <w:rPr>
          <w:b/>
          <w:szCs w:val="24"/>
        </w:rPr>
        <w:t>V. Dokumentu iesniegšana lēmuma pieņemšanai</w:t>
      </w:r>
      <w:r>
        <w:rPr>
          <w:b/>
          <w:szCs w:val="24"/>
        </w:rPr>
        <w:t>, ja tiesnesis pieteicies uz vakanto tiesneša amata vietu citā tāda paša līmeņa tiesā vai tiesu namā</w:t>
      </w:r>
    </w:p>
    <w:p w14:paraId="7B69760C" w14:textId="77777777" w:rsidR="007C5D38" w:rsidRPr="005D51D5" w:rsidRDefault="007C5D38" w:rsidP="007C5D38">
      <w:pPr>
        <w:pStyle w:val="ListParagraph"/>
        <w:numPr>
          <w:ilvl w:val="0"/>
          <w:numId w:val="20"/>
        </w:numPr>
        <w:spacing w:before="120" w:after="120" w:line="360" w:lineRule="auto"/>
        <w:ind w:left="360"/>
        <w:jc w:val="both"/>
      </w:pPr>
      <w:r>
        <w:rPr>
          <w:szCs w:val="24"/>
        </w:rPr>
        <w:t xml:space="preserve">Ja tiesnesis pieteicies uz vakanto tiesneša amata vietu citā tāda paša līmeņa tiesā vai tiesu namā </w:t>
      </w:r>
      <w:r w:rsidRPr="00947FF9">
        <w:rPr>
          <w:szCs w:val="24"/>
        </w:rPr>
        <w:t>Tiesu administrācija</w:t>
      </w:r>
      <w:r>
        <w:rPr>
          <w:szCs w:val="24"/>
        </w:rPr>
        <w:t xml:space="preserve"> nosūta Tieslietu ministrijai iesniegšanai Tieslietu padomei šādus dokumentus:</w:t>
      </w:r>
    </w:p>
    <w:p w14:paraId="17E2A53F" w14:textId="77777777" w:rsidR="007C5D38" w:rsidRPr="00947FF9" w:rsidRDefault="007C5D38" w:rsidP="007C5D38">
      <w:pPr>
        <w:pStyle w:val="ListParagraph"/>
        <w:numPr>
          <w:ilvl w:val="1"/>
          <w:numId w:val="20"/>
        </w:numPr>
        <w:spacing w:before="120" w:after="120" w:line="360" w:lineRule="auto"/>
        <w:ind w:left="2160" w:hanging="810"/>
        <w:jc w:val="both"/>
        <w:rPr>
          <w:szCs w:val="24"/>
        </w:rPr>
      </w:pPr>
      <w:r w:rsidRPr="00947FF9">
        <w:rPr>
          <w:szCs w:val="24"/>
        </w:rPr>
        <w:t>tiesneša pieteikuma vēstuli;</w:t>
      </w:r>
    </w:p>
    <w:p w14:paraId="6CEA112A" w14:textId="036DABE3" w:rsidR="007C5D38" w:rsidRPr="00947FF9" w:rsidRDefault="007C5D38" w:rsidP="007C5D38">
      <w:pPr>
        <w:pStyle w:val="ListParagraph"/>
        <w:numPr>
          <w:ilvl w:val="1"/>
          <w:numId w:val="20"/>
        </w:numPr>
        <w:spacing w:before="120" w:after="120" w:line="360" w:lineRule="auto"/>
        <w:ind w:left="2160" w:hanging="810"/>
        <w:jc w:val="both"/>
        <w:rPr>
          <w:szCs w:val="24"/>
        </w:rPr>
      </w:pPr>
      <w:r>
        <w:rPr>
          <w:szCs w:val="24"/>
        </w:rPr>
        <w:t xml:space="preserve">tiesneša </w:t>
      </w:r>
      <w:r w:rsidRPr="00947FF9">
        <w:rPr>
          <w:szCs w:val="24"/>
        </w:rPr>
        <w:t>dzīves un darba aprakstu</w:t>
      </w:r>
      <w:r>
        <w:rPr>
          <w:szCs w:val="24"/>
        </w:rPr>
        <w:t xml:space="preserve"> (</w:t>
      </w:r>
      <w:r w:rsidRPr="005D51D5">
        <w:rPr>
          <w:szCs w:val="24"/>
        </w:rPr>
        <w:t xml:space="preserve">atbilstoši Europass </w:t>
      </w:r>
      <w:smartTag w:uri="schemas-tilde-lv/tildestengine" w:element="veidnes">
        <w:smartTagPr>
          <w:attr w:name="id" w:val="-1"/>
          <w:attr w:name="baseform" w:val="CV"/>
          <w:attr w:name="text" w:val="CV"/>
        </w:smartTagPr>
        <w:r w:rsidRPr="005D51D5">
          <w:rPr>
            <w:szCs w:val="24"/>
          </w:rPr>
          <w:t>CV</w:t>
        </w:r>
      </w:smartTag>
      <w:r w:rsidRPr="005D51D5">
        <w:rPr>
          <w:szCs w:val="24"/>
        </w:rPr>
        <w:t xml:space="preserve"> standartam</w:t>
      </w:r>
      <w:r>
        <w:t>)</w:t>
      </w:r>
      <w:r w:rsidRPr="00947FF9">
        <w:rPr>
          <w:szCs w:val="24"/>
        </w:rPr>
        <w:t>;</w:t>
      </w:r>
    </w:p>
    <w:p w14:paraId="6AA169B2" w14:textId="77777777" w:rsidR="007C5D38" w:rsidRDefault="007C5D38" w:rsidP="007C5D38">
      <w:pPr>
        <w:pStyle w:val="ListParagraph"/>
        <w:numPr>
          <w:ilvl w:val="1"/>
          <w:numId w:val="20"/>
        </w:numPr>
        <w:spacing w:before="120" w:after="120" w:line="360" w:lineRule="auto"/>
        <w:ind w:left="2160" w:hanging="810"/>
        <w:jc w:val="both"/>
        <w:rPr>
          <w:szCs w:val="24"/>
        </w:rPr>
      </w:pPr>
      <w:r w:rsidRPr="00947FF9">
        <w:rPr>
          <w:szCs w:val="24"/>
        </w:rPr>
        <w:t>Tiesu administrā</w:t>
      </w:r>
      <w:r>
        <w:rPr>
          <w:szCs w:val="24"/>
        </w:rPr>
        <w:t>cijas uzziņu par tiesneša darbu;</w:t>
      </w:r>
    </w:p>
    <w:p w14:paraId="4D60D22A" w14:textId="77777777" w:rsidR="007C5D38" w:rsidRDefault="007C5D38" w:rsidP="007C5D38">
      <w:pPr>
        <w:pStyle w:val="ListParagraph"/>
        <w:numPr>
          <w:ilvl w:val="1"/>
          <w:numId w:val="20"/>
        </w:numPr>
        <w:spacing w:before="120" w:after="120" w:line="360" w:lineRule="auto"/>
        <w:ind w:left="2160" w:hanging="810"/>
        <w:jc w:val="both"/>
        <w:rPr>
          <w:szCs w:val="24"/>
        </w:rPr>
      </w:pPr>
      <w:r w:rsidRPr="00A6411C">
        <w:rPr>
          <w:szCs w:val="24"/>
        </w:rPr>
        <w:t>Tiesnešu kvalifikācijas kolēģijas pozitīvo atzinumu</w:t>
      </w:r>
      <w:r>
        <w:rPr>
          <w:szCs w:val="24"/>
        </w:rPr>
        <w:t>.</w:t>
      </w:r>
    </w:p>
    <w:p w14:paraId="166B82CE" w14:textId="1FAB7A2D" w:rsidR="007C5D38" w:rsidRDefault="007C5D38" w:rsidP="007C5D38">
      <w:pPr>
        <w:pStyle w:val="ListParagraph"/>
        <w:numPr>
          <w:ilvl w:val="0"/>
          <w:numId w:val="20"/>
        </w:numPr>
        <w:spacing w:before="120" w:after="120" w:line="360" w:lineRule="auto"/>
        <w:ind w:left="540" w:hanging="540"/>
        <w:jc w:val="both"/>
        <w:rPr>
          <w:szCs w:val="24"/>
        </w:rPr>
      </w:pPr>
      <w:r>
        <w:rPr>
          <w:szCs w:val="24"/>
        </w:rPr>
        <w:t>Ja uz vakanto tiesneša amata vietu citā tāda paša līmeņa tiesā vai tiesu namā ir pieteikušies vairāki kandidāti,</w:t>
      </w:r>
      <w:r w:rsidRPr="0095405D">
        <w:rPr>
          <w:szCs w:val="24"/>
        </w:rPr>
        <w:t xml:space="preserve"> Tiesnešu kvalifikācijas kolēģija pieņem motivētu lēmumu un pārcelšanai amatā virza piemērotāko kandidātu</w:t>
      </w:r>
      <w:r w:rsidRPr="00947FF9">
        <w:rPr>
          <w:szCs w:val="24"/>
        </w:rPr>
        <w:t xml:space="preserve">. </w:t>
      </w:r>
    </w:p>
    <w:p w14:paraId="3585E1BE" w14:textId="77777777" w:rsidR="007C5D38" w:rsidRPr="00C913DC" w:rsidRDefault="007C5D38" w:rsidP="007C5D38">
      <w:pPr>
        <w:pStyle w:val="ListParagraph"/>
        <w:spacing w:before="120" w:after="120" w:line="360" w:lineRule="auto"/>
        <w:ind w:left="505"/>
        <w:jc w:val="center"/>
        <w:rPr>
          <w:b/>
          <w:szCs w:val="24"/>
        </w:rPr>
      </w:pPr>
      <w:r w:rsidRPr="000C5D40">
        <w:rPr>
          <w:b/>
          <w:szCs w:val="24"/>
        </w:rPr>
        <w:t xml:space="preserve">VI. </w:t>
      </w:r>
      <w:r>
        <w:rPr>
          <w:b/>
          <w:szCs w:val="24"/>
        </w:rPr>
        <w:t xml:space="preserve">Dokumentu iesniegšana lēmuma pieņemšanai, ja tiesnesis pieteicies uz vakanto tiesneša amatu augstāka līmeņa tiesā, vai pirms lēmuma pieņemšanas </w:t>
      </w:r>
      <w:r w:rsidRPr="00D50355">
        <w:rPr>
          <w:b/>
          <w:szCs w:val="24"/>
        </w:rPr>
        <w:t>jāveic tiesneša profesionālās darbības ārpuskārtas novērtēšana</w:t>
      </w:r>
    </w:p>
    <w:p w14:paraId="6C3205BF" w14:textId="77777777" w:rsidR="007C5D38" w:rsidRDefault="007C5D38" w:rsidP="007C5D38">
      <w:pPr>
        <w:pStyle w:val="Title"/>
        <w:numPr>
          <w:ilvl w:val="0"/>
          <w:numId w:val="20"/>
        </w:numPr>
        <w:spacing w:before="120" w:after="120" w:line="360" w:lineRule="auto"/>
        <w:ind w:left="360"/>
        <w:jc w:val="both"/>
        <w:rPr>
          <w:b w:val="0"/>
          <w:i w:val="0"/>
          <w:sz w:val="24"/>
        </w:rPr>
      </w:pPr>
      <w:r w:rsidRPr="001B7233">
        <w:rPr>
          <w:b w:val="0"/>
          <w:i w:val="0"/>
          <w:sz w:val="24"/>
          <w:szCs w:val="24"/>
        </w:rPr>
        <w:t>Ja tiesnesis pieteicies uz vakanto tiesneša amatu augstāka līmeņa tiesā vai likuma „Par tiesu varu” 73.</w:t>
      </w:r>
      <w:r w:rsidRPr="001B7233">
        <w:rPr>
          <w:b w:val="0"/>
          <w:i w:val="0"/>
          <w:sz w:val="24"/>
          <w:szCs w:val="24"/>
          <w:vertAlign w:val="superscript"/>
        </w:rPr>
        <w:t xml:space="preserve">1 </w:t>
      </w:r>
      <w:r w:rsidRPr="001B7233">
        <w:rPr>
          <w:b w:val="0"/>
          <w:i w:val="0"/>
          <w:sz w:val="24"/>
          <w:szCs w:val="24"/>
        </w:rPr>
        <w:t>panta pirmās daļas 2</w:t>
      </w:r>
      <w:r w:rsidRPr="00D50355">
        <w:rPr>
          <w:b w:val="0"/>
          <w:i w:val="0"/>
          <w:sz w:val="24"/>
          <w:szCs w:val="24"/>
        </w:rPr>
        <w:t>., 3., 3.</w:t>
      </w:r>
      <w:r w:rsidRPr="00D50355">
        <w:rPr>
          <w:b w:val="0"/>
          <w:i w:val="0"/>
          <w:sz w:val="24"/>
          <w:szCs w:val="24"/>
          <w:vertAlign w:val="superscript"/>
        </w:rPr>
        <w:t>1</w:t>
      </w:r>
      <w:r w:rsidRPr="00D50355">
        <w:rPr>
          <w:b w:val="0"/>
          <w:i w:val="0"/>
          <w:sz w:val="24"/>
          <w:szCs w:val="24"/>
        </w:rPr>
        <w:t xml:space="preserve">, 4., 5. punktā un otrās daļas 2. un 3.punktā minētajos gadījumos, kad </w:t>
      </w:r>
      <w:r w:rsidRPr="00D50355">
        <w:rPr>
          <w:b w:val="0"/>
          <w:i w:val="0"/>
          <w:iCs/>
          <w:sz w:val="24"/>
          <w:szCs w:val="24"/>
        </w:rPr>
        <w:t>jāveic tiesneša profesionālās darbības ārpuskārtas novērtēšana</w:t>
      </w:r>
      <w:r w:rsidRPr="00D50355">
        <w:rPr>
          <w:b w:val="0"/>
          <w:i w:val="0"/>
          <w:sz w:val="24"/>
          <w:szCs w:val="24"/>
        </w:rPr>
        <w:t>,</w:t>
      </w:r>
      <w:r>
        <w:rPr>
          <w:b w:val="0"/>
          <w:i w:val="0"/>
          <w:sz w:val="24"/>
          <w:szCs w:val="24"/>
        </w:rPr>
        <w:t xml:space="preserve"> </w:t>
      </w:r>
      <w:r w:rsidRPr="007321B3">
        <w:rPr>
          <w:b w:val="0"/>
          <w:i w:val="0"/>
          <w:sz w:val="24"/>
        </w:rPr>
        <w:t>Tiesu administrācija iesniedz Tiesnešu kvalifikācijas kolēģijai atzinuma sniegšanai</w:t>
      </w:r>
      <w:r>
        <w:rPr>
          <w:b w:val="0"/>
          <w:i w:val="0"/>
          <w:sz w:val="24"/>
        </w:rPr>
        <w:t xml:space="preserve"> šādus dokumentus:</w:t>
      </w:r>
    </w:p>
    <w:p w14:paraId="5613546A" w14:textId="77777777" w:rsidR="007C5D38" w:rsidRDefault="007C5D38" w:rsidP="007C5D38">
      <w:pPr>
        <w:pStyle w:val="Title"/>
        <w:numPr>
          <w:ilvl w:val="1"/>
          <w:numId w:val="20"/>
        </w:numPr>
        <w:spacing w:before="120" w:after="120" w:line="360" w:lineRule="auto"/>
        <w:jc w:val="both"/>
        <w:rPr>
          <w:b w:val="0"/>
          <w:i w:val="0"/>
          <w:sz w:val="24"/>
        </w:rPr>
      </w:pPr>
      <w:r>
        <w:rPr>
          <w:b w:val="0"/>
          <w:i w:val="0"/>
          <w:sz w:val="24"/>
        </w:rPr>
        <w:t>Tiesu administrācijas direktora iesniegumu;</w:t>
      </w:r>
    </w:p>
    <w:p w14:paraId="3E9A533B" w14:textId="77777777" w:rsidR="007C5D38" w:rsidRDefault="007C5D38" w:rsidP="007C5D38">
      <w:pPr>
        <w:pStyle w:val="Title"/>
        <w:numPr>
          <w:ilvl w:val="1"/>
          <w:numId w:val="20"/>
        </w:numPr>
        <w:spacing w:before="120" w:after="120" w:line="360" w:lineRule="auto"/>
        <w:jc w:val="both"/>
        <w:rPr>
          <w:b w:val="0"/>
          <w:i w:val="0"/>
          <w:sz w:val="24"/>
        </w:rPr>
      </w:pPr>
      <w:r>
        <w:rPr>
          <w:b w:val="0"/>
          <w:i w:val="0"/>
          <w:sz w:val="24"/>
        </w:rPr>
        <w:t>tiesneša pieteikuma vēstuli;</w:t>
      </w:r>
    </w:p>
    <w:p w14:paraId="4177C76A" w14:textId="77777777" w:rsidR="007C5D38" w:rsidRDefault="007C5D38" w:rsidP="007C5D38">
      <w:pPr>
        <w:pStyle w:val="Title"/>
        <w:numPr>
          <w:ilvl w:val="1"/>
          <w:numId w:val="20"/>
        </w:numPr>
        <w:spacing w:before="120" w:after="120" w:line="360" w:lineRule="auto"/>
        <w:jc w:val="both"/>
        <w:rPr>
          <w:b w:val="0"/>
          <w:i w:val="0"/>
          <w:sz w:val="24"/>
        </w:rPr>
      </w:pPr>
      <w:r>
        <w:rPr>
          <w:b w:val="0"/>
          <w:i w:val="0"/>
          <w:sz w:val="24"/>
        </w:rPr>
        <w:t xml:space="preserve">tiesneša dzīves un darba aprakstu </w:t>
      </w:r>
      <w:proofErr w:type="gramStart"/>
      <w:r w:rsidRPr="001B7233">
        <w:rPr>
          <w:b w:val="0"/>
          <w:i w:val="0"/>
          <w:sz w:val="24"/>
          <w:szCs w:val="24"/>
        </w:rPr>
        <w:t xml:space="preserve">(atbilstoši Europass </w:t>
      </w:r>
      <w:smartTag w:uri="schemas-tilde-lv/tildestengine" w:element="veidnes">
        <w:smartTagPr>
          <w:attr w:name="id" w:val="-1"/>
          <w:attr w:name="baseform" w:val="CV"/>
          <w:attr w:name="text" w:val="CV"/>
        </w:smartTagPr>
        <w:r w:rsidRPr="001B7233">
          <w:rPr>
            <w:b w:val="0"/>
            <w:i w:val="0"/>
            <w:sz w:val="24"/>
            <w:szCs w:val="24"/>
          </w:rPr>
          <w:t>CV</w:t>
        </w:r>
      </w:smartTag>
      <w:r w:rsidRPr="001B7233">
        <w:rPr>
          <w:b w:val="0"/>
          <w:i w:val="0"/>
          <w:sz w:val="24"/>
          <w:szCs w:val="24"/>
        </w:rPr>
        <w:t xml:space="preserve"> standartam</w:t>
      </w:r>
      <w:proofErr w:type="gramEnd"/>
      <w:r w:rsidRPr="001B7233">
        <w:rPr>
          <w:b w:val="0"/>
          <w:i w:val="0"/>
          <w:sz w:val="24"/>
        </w:rPr>
        <w:t>)</w:t>
      </w:r>
      <w:r w:rsidRPr="005D51D5">
        <w:rPr>
          <w:b w:val="0"/>
          <w:i w:val="0"/>
          <w:sz w:val="24"/>
        </w:rPr>
        <w:t>;</w:t>
      </w:r>
    </w:p>
    <w:p w14:paraId="2B2A0434" w14:textId="77777777" w:rsidR="007C5D38" w:rsidRDefault="007C5D38" w:rsidP="007C5D38">
      <w:pPr>
        <w:pStyle w:val="Title"/>
        <w:numPr>
          <w:ilvl w:val="1"/>
          <w:numId w:val="20"/>
        </w:numPr>
        <w:spacing w:before="120" w:after="120" w:line="360" w:lineRule="auto"/>
        <w:ind w:left="2127" w:hanging="709"/>
        <w:jc w:val="both"/>
        <w:rPr>
          <w:b w:val="0"/>
          <w:i w:val="0"/>
          <w:sz w:val="24"/>
        </w:rPr>
      </w:pPr>
      <w:r>
        <w:rPr>
          <w:b w:val="0"/>
          <w:i w:val="0"/>
          <w:sz w:val="24"/>
        </w:rPr>
        <w:lastRenderedPageBreak/>
        <w:t>tiesas priekšsēdētāja un augstāka līmeņa (instances) tiesas sniegtās atsauksmes par tiesneša darbu, kurās ietverta attiecīgi nolikuma 14. un 15.punktā norādītā informācija;</w:t>
      </w:r>
    </w:p>
    <w:p w14:paraId="05EFF870" w14:textId="77777777" w:rsidR="007C5D38" w:rsidRPr="007072FA" w:rsidRDefault="007C5D38" w:rsidP="007C5D38">
      <w:pPr>
        <w:pStyle w:val="Title"/>
        <w:numPr>
          <w:ilvl w:val="1"/>
          <w:numId w:val="20"/>
        </w:numPr>
        <w:spacing w:before="120" w:after="120" w:line="360" w:lineRule="auto"/>
        <w:jc w:val="both"/>
        <w:rPr>
          <w:b w:val="0"/>
          <w:i w:val="0"/>
          <w:sz w:val="24"/>
        </w:rPr>
      </w:pPr>
      <w:r>
        <w:rPr>
          <w:b w:val="0"/>
          <w:i w:val="0"/>
          <w:sz w:val="24"/>
        </w:rPr>
        <w:t>Tiesu administrācijas sagatavoto uzziņu par tiesneša darbu.</w:t>
      </w:r>
    </w:p>
    <w:p w14:paraId="621AA758" w14:textId="77777777" w:rsidR="007C5D38" w:rsidRPr="00947FF9" w:rsidRDefault="007C5D38" w:rsidP="007C5D38">
      <w:pPr>
        <w:pStyle w:val="ListParagraph"/>
        <w:numPr>
          <w:ilvl w:val="0"/>
          <w:numId w:val="20"/>
        </w:numPr>
        <w:spacing w:before="120" w:after="120" w:line="360" w:lineRule="auto"/>
        <w:ind w:left="360"/>
        <w:jc w:val="both"/>
        <w:rPr>
          <w:szCs w:val="24"/>
        </w:rPr>
      </w:pPr>
      <w:r w:rsidRPr="00947FF9">
        <w:rPr>
          <w:szCs w:val="24"/>
        </w:rPr>
        <w:t>Tiesu administrācija nosūta Tieslietu ministrijai iesniegšanai Tieslietu padomei šādus dokumentus</w:t>
      </w:r>
      <w:r>
        <w:rPr>
          <w:szCs w:val="24"/>
        </w:rPr>
        <w:t xml:space="preserve"> par tiesneša kandidātu, </w:t>
      </w:r>
      <w:r w:rsidRPr="00D50355">
        <w:rPr>
          <w:szCs w:val="24"/>
        </w:rPr>
        <w:t>kurš saņēmis</w:t>
      </w:r>
      <w:r>
        <w:rPr>
          <w:szCs w:val="24"/>
        </w:rPr>
        <w:t xml:space="preserve"> pozitīvu Tiesnešu kvalifikācijas kolēģijas atzinumu</w:t>
      </w:r>
      <w:r w:rsidRPr="00947FF9">
        <w:rPr>
          <w:szCs w:val="24"/>
        </w:rPr>
        <w:t>:</w:t>
      </w:r>
    </w:p>
    <w:p w14:paraId="3392BFD3" w14:textId="77777777" w:rsidR="007C5D38" w:rsidRPr="00947FF9" w:rsidRDefault="007C5D38" w:rsidP="007C5D38">
      <w:pPr>
        <w:pStyle w:val="ListParagraph"/>
        <w:numPr>
          <w:ilvl w:val="1"/>
          <w:numId w:val="20"/>
        </w:numPr>
        <w:spacing w:before="120" w:after="120" w:line="360" w:lineRule="auto"/>
        <w:ind w:left="2160" w:hanging="810"/>
        <w:jc w:val="both"/>
        <w:rPr>
          <w:szCs w:val="24"/>
        </w:rPr>
      </w:pPr>
      <w:r w:rsidRPr="00947FF9">
        <w:rPr>
          <w:szCs w:val="24"/>
        </w:rPr>
        <w:t>tiesneša pieteikuma vēstuli;</w:t>
      </w:r>
    </w:p>
    <w:p w14:paraId="1FD5C7DD" w14:textId="77777777" w:rsidR="007C5D38" w:rsidRPr="00947FF9" w:rsidRDefault="007C5D38" w:rsidP="007C5D38">
      <w:pPr>
        <w:pStyle w:val="ListParagraph"/>
        <w:numPr>
          <w:ilvl w:val="1"/>
          <w:numId w:val="20"/>
        </w:numPr>
        <w:spacing w:before="120" w:after="120" w:line="360" w:lineRule="auto"/>
        <w:ind w:left="2160" w:hanging="810"/>
        <w:jc w:val="both"/>
        <w:rPr>
          <w:szCs w:val="24"/>
        </w:rPr>
      </w:pPr>
      <w:r>
        <w:rPr>
          <w:szCs w:val="24"/>
        </w:rPr>
        <w:t xml:space="preserve">tiesneša </w:t>
      </w:r>
      <w:r w:rsidRPr="00947FF9">
        <w:rPr>
          <w:szCs w:val="24"/>
        </w:rPr>
        <w:t>dzīves un darba aprakstu</w:t>
      </w:r>
      <w:r>
        <w:rPr>
          <w:szCs w:val="24"/>
        </w:rPr>
        <w:t xml:space="preserve"> </w:t>
      </w:r>
      <w:proofErr w:type="gramStart"/>
      <w:r w:rsidRPr="005D51D5">
        <w:rPr>
          <w:szCs w:val="24"/>
        </w:rPr>
        <w:t xml:space="preserve">(atbilstoši Europass </w:t>
      </w:r>
      <w:smartTag w:uri="schemas-tilde-lv/tildestengine" w:element="veidnes">
        <w:smartTagPr>
          <w:attr w:name="id" w:val="-1"/>
          <w:attr w:name="baseform" w:val="CV"/>
          <w:attr w:name="text" w:val="CV"/>
        </w:smartTagPr>
        <w:r w:rsidRPr="005D51D5">
          <w:rPr>
            <w:szCs w:val="24"/>
          </w:rPr>
          <w:t>CV</w:t>
        </w:r>
      </w:smartTag>
      <w:r w:rsidRPr="005D51D5">
        <w:rPr>
          <w:szCs w:val="24"/>
        </w:rPr>
        <w:t xml:space="preserve"> standartam</w:t>
      </w:r>
      <w:proofErr w:type="gramEnd"/>
      <w:r w:rsidRPr="005D51D5">
        <w:t>)</w:t>
      </w:r>
      <w:r w:rsidRPr="00947FF9">
        <w:rPr>
          <w:szCs w:val="24"/>
        </w:rPr>
        <w:t>;</w:t>
      </w:r>
    </w:p>
    <w:p w14:paraId="67612454" w14:textId="77777777" w:rsidR="007C5D38" w:rsidRPr="00947FF9" w:rsidRDefault="007C5D38" w:rsidP="007C5D38">
      <w:pPr>
        <w:pStyle w:val="ListParagraph"/>
        <w:numPr>
          <w:ilvl w:val="1"/>
          <w:numId w:val="20"/>
        </w:numPr>
        <w:spacing w:before="120" w:after="120" w:line="360" w:lineRule="auto"/>
        <w:ind w:left="2160" w:hanging="810"/>
        <w:jc w:val="both"/>
        <w:rPr>
          <w:szCs w:val="24"/>
        </w:rPr>
      </w:pPr>
      <w:r w:rsidRPr="00947FF9">
        <w:rPr>
          <w:szCs w:val="24"/>
        </w:rPr>
        <w:t>Tiesu administrācijas uzziņu par tiesneša darbu;</w:t>
      </w:r>
    </w:p>
    <w:p w14:paraId="14BB8974" w14:textId="77777777" w:rsidR="007C5D38" w:rsidRPr="00947FF9" w:rsidRDefault="007C5D38" w:rsidP="007C5D38">
      <w:pPr>
        <w:pStyle w:val="ListParagraph"/>
        <w:numPr>
          <w:ilvl w:val="1"/>
          <w:numId w:val="20"/>
        </w:numPr>
        <w:spacing w:before="120" w:after="120" w:line="360" w:lineRule="auto"/>
        <w:ind w:left="2160" w:hanging="810"/>
        <w:jc w:val="both"/>
        <w:rPr>
          <w:szCs w:val="24"/>
        </w:rPr>
      </w:pPr>
      <w:r w:rsidRPr="00947FF9">
        <w:rPr>
          <w:szCs w:val="24"/>
        </w:rPr>
        <w:t>Tiesnešu kvalifikācijas kolēģijas atzinumu</w:t>
      </w:r>
      <w:r>
        <w:rPr>
          <w:szCs w:val="24"/>
        </w:rPr>
        <w:t>.</w:t>
      </w:r>
    </w:p>
    <w:p w14:paraId="7994DFEF" w14:textId="77777777" w:rsidR="007C5D38" w:rsidRPr="00D50355" w:rsidRDefault="007C5D38" w:rsidP="007C5D38">
      <w:pPr>
        <w:pStyle w:val="ListParagraph"/>
        <w:numPr>
          <w:ilvl w:val="0"/>
          <w:numId w:val="20"/>
        </w:numPr>
        <w:spacing w:before="120" w:after="120" w:line="360" w:lineRule="auto"/>
        <w:ind w:left="540" w:hanging="540"/>
        <w:jc w:val="both"/>
        <w:rPr>
          <w:szCs w:val="24"/>
        </w:rPr>
      </w:pPr>
      <w:r>
        <w:rPr>
          <w:szCs w:val="24"/>
        </w:rPr>
        <w:t xml:space="preserve">Tieslietu padome var pieprasīt </w:t>
      </w:r>
      <w:r w:rsidRPr="00D01399">
        <w:rPr>
          <w:szCs w:val="24"/>
        </w:rPr>
        <w:t>Tiesu administrācijai</w:t>
      </w:r>
      <w:r>
        <w:rPr>
          <w:szCs w:val="24"/>
        </w:rPr>
        <w:t xml:space="preserve"> iesniegt papildu informāciju vai dokumentus, kas nepieciešami lēmuma pieņemšanai.</w:t>
      </w:r>
    </w:p>
    <w:p w14:paraId="5F5FC7E3" w14:textId="77777777" w:rsidR="007C5D38" w:rsidRPr="00947FF9" w:rsidRDefault="007C5D38" w:rsidP="007C5D38">
      <w:pPr>
        <w:pStyle w:val="ListParagraph"/>
        <w:spacing w:before="120" w:after="120" w:line="360" w:lineRule="auto"/>
        <w:jc w:val="center"/>
        <w:rPr>
          <w:b/>
          <w:szCs w:val="24"/>
        </w:rPr>
      </w:pPr>
      <w:r w:rsidRPr="00947FF9">
        <w:rPr>
          <w:b/>
          <w:szCs w:val="24"/>
        </w:rPr>
        <w:t>V</w:t>
      </w:r>
      <w:r>
        <w:rPr>
          <w:b/>
          <w:szCs w:val="24"/>
        </w:rPr>
        <w:t>I</w:t>
      </w:r>
      <w:r w:rsidRPr="00947FF9">
        <w:rPr>
          <w:b/>
          <w:szCs w:val="24"/>
        </w:rPr>
        <w:t>. Konkursa noslēgums</w:t>
      </w:r>
    </w:p>
    <w:p w14:paraId="7884373D" w14:textId="77777777" w:rsidR="007C5D38" w:rsidRDefault="007C5D38" w:rsidP="007C5D38">
      <w:pPr>
        <w:pStyle w:val="ListParagraph"/>
        <w:numPr>
          <w:ilvl w:val="0"/>
          <w:numId w:val="20"/>
        </w:numPr>
        <w:spacing w:before="120" w:after="120" w:line="360" w:lineRule="auto"/>
        <w:ind w:left="360"/>
        <w:jc w:val="both"/>
        <w:rPr>
          <w:szCs w:val="24"/>
        </w:rPr>
      </w:pPr>
      <w:r w:rsidRPr="00D52700">
        <w:rPr>
          <w:szCs w:val="24"/>
        </w:rPr>
        <w:t xml:space="preserve">Tieslietu padome trīs darba dienu laikā pēc lēmuma pieņemšanas elektroniski </w:t>
      </w:r>
      <w:r>
        <w:rPr>
          <w:szCs w:val="24"/>
        </w:rPr>
        <w:t xml:space="preserve">paziņo </w:t>
      </w:r>
      <w:r w:rsidRPr="00D52700">
        <w:rPr>
          <w:szCs w:val="24"/>
        </w:rPr>
        <w:t xml:space="preserve">tiesnesim </w:t>
      </w:r>
      <w:r>
        <w:rPr>
          <w:szCs w:val="24"/>
        </w:rPr>
        <w:t xml:space="preserve">un Tiesu administrācijai </w:t>
      </w:r>
      <w:r w:rsidRPr="00D52700">
        <w:rPr>
          <w:szCs w:val="24"/>
        </w:rPr>
        <w:t xml:space="preserve">par pieņemto lēmumu. </w:t>
      </w:r>
    </w:p>
    <w:p w14:paraId="03480EF5" w14:textId="77777777" w:rsidR="007C5D38" w:rsidRPr="00D50355" w:rsidRDefault="007C5D38" w:rsidP="007C5D38">
      <w:pPr>
        <w:pStyle w:val="ListParagraph"/>
        <w:numPr>
          <w:ilvl w:val="0"/>
          <w:numId w:val="20"/>
        </w:numPr>
        <w:spacing w:before="120" w:after="120" w:line="360" w:lineRule="auto"/>
        <w:ind w:left="360"/>
        <w:jc w:val="both"/>
        <w:rPr>
          <w:szCs w:val="24"/>
        </w:rPr>
      </w:pPr>
      <w:r w:rsidRPr="00D50355">
        <w:rPr>
          <w:szCs w:val="24"/>
        </w:rPr>
        <w:t xml:space="preserve">Ja šajā nolikumā noteiktajā kārtībā izsludinātā konkursa rezultātā vakantā tiesneša amata </w:t>
      </w:r>
      <w:r w:rsidRPr="006C21A0">
        <w:rPr>
          <w:szCs w:val="24"/>
        </w:rPr>
        <w:t>vieta netiek aizpildīta, vakance</w:t>
      </w:r>
      <w:r>
        <w:rPr>
          <w:szCs w:val="24"/>
        </w:rPr>
        <w:t>s</w:t>
      </w:r>
      <w:r w:rsidRPr="006C21A0">
        <w:rPr>
          <w:szCs w:val="24"/>
        </w:rPr>
        <w:t xml:space="preserve"> aizpild</w:t>
      </w:r>
      <w:r>
        <w:rPr>
          <w:szCs w:val="24"/>
        </w:rPr>
        <w:t>īšana notiek</w:t>
      </w:r>
      <w:r w:rsidRPr="006C21A0">
        <w:rPr>
          <w:szCs w:val="24"/>
        </w:rPr>
        <w:t xml:space="preserve"> saskaņā ar Tieslietu padomes 2020. gada 15. aprīļa lēmumu Nr. 20 apstiprināto Rajona (pilsētas) tiesas un apgabaltiesas tiesneša</w:t>
      </w:r>
      <w:r w:rsidRPr="00D50355">
        <w:rPr>
          <w:szCs w:val="24"/>
        </w:rPr>
        <w:t xml:space="preserve"> amata kandidātu atlases kārtību. </w:t>
      </w:r>
    </w:p>
    <w:p w14:paraId="7E7280C7" w14:textId="77777777" w:rsidR="007C5D38" w:rsidRDefault="007C5D38" w:rsidP="007C5D38">
      <w:pPr>
        <w:pStyle w:val="Title"/>
        <w:spacing w:before="120" w:after="120" w:line="360" w:lineRule="auto"/>
        <w:ind w:left="360"/>
        <w:rPr>
          <w:bCs/>
          <w:i w:val="0"/>
          <w:sz w:val="24"/>
          <w:szCs w:val="24"/>
          <w:lang w:eastAsia="lv-LV"/>
        </w:rPr>
      </w:pPr>
      <w:r w:rsidRPr="00D50355">
        <w:rPr>
          <w:bCs/>
          <w:i w:val="0"/>
          <w:sz w:val="24"/>
          <w:szCs w:val="24"/>
          <w:lang w:eastAsia="lv-LV"/>
        </w:rPr>
        <w:t>VII. Nobeiguma noteikumi</w:t>
      </w:r>
    </w:p>
    <w:p w14:paraId="09C33FD8" w14:textId="55A80E6B" w:rsidR="007C5D38" w:rsidRPr="00D50355" w:rsidRDefault="007C5D38" w:rsidP="007C5D38">
      <w:pPr>
        <w:pStyle w:val="ListParagraph"/>
        <w:numPr>
          <w:ilvl w:val="0"/>
          <w:numId w:val="20"/>
        </w:numPr>
        <w:spacing w:before="120" w:after="120" w:line="360" w:lineRule="auto"/>
        <w:ind w:left="540" w:hanging="540"/>
        <w:jc w:val="both"/>
        <w:rPr>
          <w:szCs w:val="24"/>
        </w:rPr>
      </w:pPr>
      <w:r w:rsidRPr="00D50355">
        <w:rPr>
          <w:szCs w:val="24"/>
        </w:rPr>
        <w:t xml:space="preserve">Nolikums stājas spēkā 2020. gada </w:t>
      </w:r>
      <w:r>
        <w:rPr>
          <w:szCs w:val="24"/>
        </w:rPr>
        <w:t>8</w:t>
      </w:r>
      <w:r w:rsidRPr="00A37F4E">
        <w:rPr>
          <w:szCs w:val="24"/>
        </w:rPr>
        <w:t>. decembrī.</w:t>
      </w:r>
    </w:p>
    <w:p w14:paraId="2274FB17" w14:textId="77777777" w:rsidR="007C5D38" w:rsidRPr="00D50355" w:rsidRDefault="007C5D38" w:rsidP="007C5D38">
      <w:pPr>
        <w:pStyle w:val="ListParagraph"/>
        <w:numPr>
          <w:ilvl w:val="0"/>
          <w:numId w:val="20"/>
        </w:numPr>
        <w:spacing w:before="120" w:after="120" w:line="360" w:lineRule="auto"/>
        <w:ind w:left="540" w:hanging="540"/>
        <w:jc w:val="both"/>
        <w:rPr>
          <w:szCs w:val="24"/>
        </w:rPr>
      </w:pPr>
      <w:r w:rsidRPr="00D50355">
        <w:rPr>
          <w:szCs w:val="24"/>
        </w:rPr>
        <w:t xml:space="preserve">Ar šī nolikuma spēkā stāšanās brīdi spēku zaudē Rajona (pilsētas) tiesas un apgabaltiesas tiesneša atlases konkursa </w:t>
      </w:r>
      <w:smartTag w:uri="schemas-tilde-lv/tildestengine" w:element="veidnes">
        <w:smartTagPr>
          <w:attr w:name="text" w:val="nolikums"/>
          <w:attr w:name="baseform" w:val="nolikums"/>
          <w:attr w:name="id" w:val="-1"/>
        </w:smartTagPr>
        <w:r w:rsidRPr="00D50355">
          <w:rPr>
            <w:szCs w:val="24"/>
          </w:rPr>
          <w:t>nolikums</w:t>
        </w:r>
      </w:smartTag>
      <w:r w:rsidRPr="00D50355">
        <w:rPr>
          <w:szCs w:val="24"/>
        </w:rPr>
        <w:t xml:space="preserve">, kas apstiprināts ar Tieslietu padomes 2012. gada 10. janvāra lēmumu Nr. 3. </w:t>
      </w:r>
    </w:p>
    <w:p w14:paraId="4931D006" w14:textId="77777777" w:rsidR="00A37F4E" w:rsidRPr="00E27082" w:rsidRDefault="00A37F4E" w:rsidP="00D50355">
      <w:pPr>
        <w:pStyle w:val="NoSpacing"/>
        <w:jc w:val="right"/>
        <w:rPr>
          <w:rFonts w:ascii="Times New Roman" w:hAnsi="Times New Roman"/>
          <w:sz w:val="24"/>
          <w:szCs w:val="24"/>
        </w:rPr>
      </w:pPr>
    </w:p>
    <w:sectPr w:rsidR="00A37F4E" w:rsidRPr="00E27082" w:rsidSect="00E66C18">
      <w:footerReference w:type="default" r:id="rId7"/>
      <w:pgSz w:w="11906" w:h="16838" w:code="9"/>
      <w:pgMar w:top="993" w:right="991"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163DF" w14:textId="77777777" w:rsidR="00E66C18" w:rsidRDefault="00E66C18" w:rsidP="00E66C18">
      <w:r>
        <w:separator/>
      </w:r>
    </w:p>
  </w:endnote>
  <w:endnote w:type="continuationSeparator" w:id="0">
    <w:p w14:paraId="1DDECE40" w14:textId="77777777" w:rsidR="00E66C18" w:rsidRDefault="00E66C18" w:rsidP="00E6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544042"/>
      <w:docPartObj>
        <w:docPartGallery w:val="Page Numbers (Bottom of Page)"/>
        <w:docPartUnique/>
      </w:docPartObj>
    </w:sdtPr>
    <w:sdtEndPr>
      <w:rPr>
        <w:noProof/>
      </w:rPr>
    </w:sdtEndPr>
    <w:sdtContent>
      <w:p w14:paraId="48EA02BB" w14:textId="0B0B35D7" w:rsidR="00E66C18" w:rsidRDefault="00E66C18">
        <w:pPr>
          <w:pStyle w:val="Footer"/>
          <w:jc w:val="center"/>
        </w:pPr>
        <w:r>
          <w:fldChar w:fldCharType="begin"/>
        </w:r>
        <w:r>
          <w:instrText xml:space="preserve"> PAGE   \* MERGEFORMAT </w:instrText>
        </w:r>
        <w:r>
          <w:fldChar w:fldCharType="separate"/>
        </w:r>
        <w:r w:rsidR="00D7710D">
          <w:rPr>
            <w:noProof/>
          </w:rPr>
          <w:t>3</w:t>
        </w:r>
        <w:r>
          <w:rPr>
            <w:noProof/>
          </w:rPr>
          <w:fldChar w:fldCharType="end"/>
        </w:r>
      </w:p>
    </w:sdtContent>
  </w:sdt>
  <w:p w14:paraId="4C36F836" w14:textId="77777777" w:rsidR="00E66C18" w:rsidRDefault="00E66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C5739" w14:textId="77777777" w:rsidR="00E66C18" w:rsidRDefault="00E66C18" w:rsidP="00E66C18">
      <w:r>
        <w:separator/>
      </w:r>
    </w:p>
  </w:footnote>
  <w:footnote w:type="continuationSeparator" w:id="0">
    <w:p w14:paraId="40785776" w14:textId="77777777" w:rsidR="00E66C18" w:rsidRDefault="00E66C18" w:rsidP="00E66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62BC"/>
    <w:multiLevelType w:val="multilevel"/>
    <w:tmpl w:val="3770413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9C390F"/>
    <w:multiLevelType w:val="hybridMultilevel"/>
    <w:tmpl w:val="51BAD928"/>
    <w:lvl w:ilvl="0" w:tplc="EBFE1B86">
      <w:start w:val="1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4F67A72"/>
    <w:multiLevelType w:val="hybridMultilevel"/>
    <w:tmpl w:val="C5F0111A"/>
    <w:lvl w:ilvl="0" w:tplc="518CCCC0">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5F24435"/>
    <w:multiLevelType w:val="hybridMultilevel"/>
    <w:tmpl w:val="85E07628"/>
    <w:lvl w:ilvl="0" w:tplc="7EC02A42">
      <w:start w:val="3"/>
      <w:numFmt w:val="bullet"/>
      <w:lvlText w:val="-"/>
      <w:lvlJc w:val="left"/>
      <w:pPr>
        <w:ind w:left="1500" w:hanging="360"/>
      </w:pPr>
      <w:rPr>
        <w:rFonts w:ascii="Times New Roman" w:eastAsia="Times New Roman" w:hAnsi="Times New Roman" w:cs="Times New Roman" w:hint="default"/>
      </w:rPr>
    </w:lvl>
    <w:lvl w:ilvl="1" w:tplc="04260003">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 w15:restartNumberingAfterBreak="0">
    <w:nsid w:val="0EE401E9"/>
    <w:multiLevelType w:val="multilevel"/>
    <w:tmpl w:val="8A94D916"/>
    <w:lvl w:ilvl="0">
      <w:start w:val="1"/>
      <w:numFmt w:val="decimal"/>
      <w:lvlText w:val="%1."/>
      <w:lvlJc w:val="left"/>
      <w:pPr>
        <w:ind w:left="1020" w:hanging="360"/>
      </w:pPr>
      <w:rPr>
        <w:rFonts w:hint="default"/>
      </w:rPr>
    </w:lvl>
    <w:lvl w:ilvl="1">
      <w:start w:val="1"/>
      <w:numFmt w:val="decimal"/>
      <w:isLgl/>
      <w:lvlText w:val="%1.%2."/>
      <w:lvlJc w:val="left"/>
      <w:pPr>
        <w:ind w:left="174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980" w:hanging="1800"/>
      </w:pPr>
      <w:rPr>
        <w:rFonts w:hint="default"/>
      </w:rPr>
    </w:lvl>
    <w:lvl w:ilvl="8">
      <w:start w:val="1"/>
      <w:numFmt w:val="decimal"/>
      <w:isLgl/>
      <w:lvlText w:val="%1.%2.%3.%4.%5.%6.%7.%8.%9."/>
      <w:lvlJc w:val="left"/>
      <w:pPr>
        <w:ind w:left="5340" w:hanging="1800"/>
      </w:pPr>
      <w:rPr>
        <w:rFonts w:hint="default"/>
      </w:rPr>
    </w:lvl>
  </w:abstractNum>
  <w:abstractNum w:abstractNumId="5" w15:restartNumberingAfterBreak="0">
    <w:nsid w:val="0F5863EA"/>
    <w:multiLevelType w:val="hybridMultilevel"/>
    <w:tmpl w:val="21DC565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5D05449"/>
    <w:multiLevelType w:val="hybridMultilevel"/>
    <w:tmpl w:val="8A9E75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8D3D2B"/>
    <w:multiLevelType w:val="hybridMultilevel"/>
    <w:tmpl w:val="1F10FA84"/>
    <w:lvl w:ilvl="0" w:tplc="F1D653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740482C"/>
    <w:multiLevelType w:val="hybridMultilevel"/>
    <w:tmpl w:val="73A8886C"/>
    <w:lvl w:ilvl="0" w:tplc="28FCB0EA">
      <w:start w:val="10"/>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3D4B1DD2"/>
    <w:multiLevelType w:val="hybridMultilevel"/>
    <w:tmpl w:val="7EBECFF8"/>
    <w:lvl w:ilvl="0" w:tplc="BF86E764">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0" w15:restartNumberingAfterBreak="0">
    <w:nsid w:val="3DC60B6C"/>
    <w:multiLevelType w:val="multilevel"/>
    <w:tmpl w:val="4B542C2A"/>
    <w:lvl w:ilvl="0">
      <w:start w:val="1"/>
      <w:numFmt w:val="decimal"/>
      <w:lvlText w:val="%1."/>
      <w:lvlJc w:val="left"/>
      <w:pPr>
        <w:ind w:left="502" w:hanging="360"/>
      </w:pPr>
      <w:rPr>
        <w:rFonts w:cs="Times New Roman" w:hint="default"/>
        <w:b w:val="0"/>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6840" w:hanging="1080"/>
      </w:pPr>
      <w:rPr>
        <w:rFonts w:cs="Times New Roman" w:hint="default"/>
      </w:rPr>
    </w:lvl>
    <w:lvl w:ilvl="6">
      <w:start w:val="1"/>
      <w:numFmt w:val="decimal"/>
      <w:isLgl/>
      <w:lvlText w:val="%1.%2.%3.%4.%5.%6.%7."/>
      <w:lvlJc w:val="left"/>
      <w:pPr>
        <w:ind w:left="8280" w:hanging="1440"/>
      </w:pPr>
      <w:rPr>
        <w:rFonts w:cs="Times New Roman" w:hint="default"/>
      </w:rPr>
    </w:lvl>
    <w:lvl w:ilvl="7">
      <w:start w:val="1"/>
      <w:numFmt w:val="decimal"/>
      <w:isLgl/>
      <w:lvlText w:val="%1.%2.%3.%4.%5.%6.%7.%8."/>
      <w:lvlJc w:val="left"/>
      <w:pPr>
        <w:ind w:left="9360" w:hanging="1440"/>
      </w:pPr>
      <w:rPr>
        <w:rFonts w:cs="Times New Roman" w:hint="default"/>
      </w:rPr>
    </w:lvl>
    <w:lvl w:ilvl="8">
      <w:start w:val="1"/>
      <w:numFmt w:val="decimal"/>
      <w:isLgl/>
      <w:lvlText w:val="%1.%2.%3.%4.%5.%6.%7.%8.%9."/>
      <w:lvlJc w:val="left"/>
      <w:pPr>
        <w:ind w:left="10800" w:hanging="1800"/>
      </w:pPr>
      <w:rPr>
        <w:rFonts w:cs="Times New Roman" w:hint="default"/>
      </w:rPr>
    </w:lvl>
  </w:abstractNum>
  <w:abstractNum w:abstractNumId="11" w15:restartNumberingAfterBreak="0">
    <w:nsid w:val="43B64F85"/>
    <w:multiLevelType w:val="hybridMultilevel"/>
    <w:tmpl w:val="4EE89214"/>
    <w:lvl w:ilvl="0" w:tplc="A9E6883E">
      <w:start w:val="1"/>
      <w:numFmt w:val="bullet"/>
      <w:lvlText w:val="-"/>
      <w:lvlJc w:val="left"/>
      <w:pPr>
        <w:ind w:left="1129" w:hanging="360"/>
      </w:pPr>
      <w:rPr>
        <w:rFonts w:ascii="Times New Roman" w:eastAsia="Times New Roman" w:hAnsi="Times New Roman" w:cs="Times New Roman" w:hint="default"/>
      </w:rPr>
    </w:lvl>
    <w:lvl w:ilvl="1" w:tplc="04260003" w:tentative="1">
      <w:start w:val="1"/>
      <w:numFmt w:val="bullet"/>
      <w:lvlText w:val="o"/>
      <w:lvlJc w:val="left"/>
      <w:pPr>
        <w:ind w:left="1849" w:hanging="360"/>
      </w:pPr>
      <w:rPr>
        <w:rFonts w:ascii="Courier New" w:hAnsi="Courier New" w:cs="Courier New" w:hint="default"/>
      </w:rPr>
    </w:lvl>
    <w:lvl w:ilvl="2" w:tplc="04260005" w:tentative="1">
      <w:start w:val="1"/>
      <w:numFmt w:val="bullet"/>
      <w:lvlText w:val=""/>
      <w:lvlJc w:val="left"/>
      <w:pPr>
        <w:ind w:left="2569" w:hanging="360"/>
      </w:pPr>
      <w:rPr>
        <w:rFonts w:ascii="Wingdings" w:hAnsi="Wingdings" w:hint="default"/>
      </w:rPr>
    </w:lvl>
    <w:lvl w:ilvl="3" w:tplc="04260001" w:tentative="1">
      <w:start w:val="1"/>
      <w:numFmt w:val="bullet"/>
      <w:lvlText w:val=""/>
      <w:lvlJc w:val="left"/>
      <w:pPr>
        <w:ind w:left="3289" w:hanging="360"/>
      </w:pPr>
      <w:rPr>
        <w:rFonts w:ascii="Symbol" w:hAnsi="Symbol" w:hint="default"/>
      </w:rPr>
    </w:lvl>
    <w:lvl w:ilvl="4" w:tplc="04260003" w:tentative="1">
      <w:start w:val="1"/>
      <w:numFmt w:val="bullet"/>
      <w:lvlText w:val="o"/>
      <w:lvlJc w:val="left"/>
      <w:pPr>
        <w:ind w:left="4009" w:hanging="360"/>
      </w:pPr>
      <w:rPr>
        <w:rFonts w:ascii="Courier New" w:hAnsi="Courier New" w:cs="Courier New" w:hint="default"/>
      </w:rPr>
    </w:lvl>
    <w:lvl w:ilvl="5" w:tplc="04260005" w:tentative="1">
      <w:start w:val="1"/>
      <w:numFmt w:val="bullet"/>
      <w:lvlText w:val=""/>
      <w:lvlJc w:val="left"/>
      <w:pPr>
        <w:ind w:left="4729" w:hanging="360"/>
      </w:pPr>
      <w:rPr>
        <w:rFonts w:ascii="Wingdings" w:hAnsi="Wingdings" w:hint="default"/>
      </w:rPr>
    </w:lvl>
    <w:lvl w:ilvl="6" w:tplc="04260001" w:tentative="1">
      <w:start w:val="1"/>
      <w:numFmt w:val="bullet"/>
      <w:lvlText w:val=""/>
      <w:lvlJc w:val="left"/>
      <w:pPr>
        <w:ind w:left="5449" w:hanging="360"/>
      </w:pPr>
      <w:rPr>
        <w:rFonts w:ascii="Symbol" w:hAnsi="Symbol" w:hint="default"/>
      </w:rPr>
    </w:lvl>
    <w:lvl w:ilvl="7" w:tplc="04260003" w:tentative="1">
      <w:start w:val="1"/>
      <w:numFmt w:val="bullet"/>
      <w:lvlText w:val="o"/>
      <w:lvlJc w:val="left"/>
      <w:pPr>
        <w:ind w:left="6169" w:hanging="360"/>
      </w:pPr>
      <w:rPr>
        <w:rFonts w:ascii="Courier New" w:hAnsi="Courier New" w:cs="Courier New" w:hint="default"/>
      </w:rPr>
    </w:lvl>
    <w:lvl w:ilvl="8" w:tplc="04260005" w:tentative="1">
      <w:start w:val="1"/>
      <w:numFmt w:val="bullet"/>
      <w:lvlText w:val=""/>
      <w:lvlJc w:val="left"/>
      <w:pPr>
        <w:ind w:left="6889" w:hanging="360"/>
      </w:pPr>
      <w:rPr>
        <w:rFonts w:ascii="Wingdings" w:hAnsi="Wingdings" w:hint="default"/>
      </w:rPr>
    </w:lvl>
  </w:abstractNum>
  <w:abstractNum w:abstractNumId="12" w15:restartNumberingAfterBreak="0">
    <w:nsid w:val="48634491"/>
    <w:multiLevelType w:val="hybridMultilevel"/>
    <w:tmpl w:val="F94A300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E294A17"/>
    <w:multiLevelType w:val="hybridMultilevel"/>
    <w:tmpl w:val="E79A8998"/>
    <w:lvl w:ilvl="0" w:tplc="FA1C9DF2">
      <w:start w:val="1"/>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53E655A1"/>
    <w:multiLevelType w:val="hybridMultilevel"/>
    <w:tmpl w:val="9CEC75F8"/>
    <w:lvl w:ilvl="0" w:tplc="DE2E29B6">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5" w15:restartNumberingAfterBreak="0">
    <w:nsid w:val="6ABA24E8"/>
    <w:multiLevelType w:val="hybridMultilevel"/>
    <w:tmpl w:val="7A9633B8"/>
    <w:lvl w:ilvl="0" w:tplc="8E6EA2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B073E6E"/>
    <w:multiLevelType w:val="hybridMultilevel"/>
    <w:tmpl w:val="45BEEFBC"/>
    <w:lvl w:ilvl="0" w:tplc="B20603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1A33868"/>
    <w:multiLevelType w:val="hybridMultilevel"/>
    <w:tmpl w:val="C31C87D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72E679B"/>
    <w:multiLevelType w:val="hybridMultilevel"/>
    <w:tmpl w:val="68085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C47643"/>
    <w:multiLevelType w:val="hybridMultilevel"/>
    <w:tmpl w:val="12B85CC0"/>
    <w:lvl w:ilvl="0" w:tplc="4D147F3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6"/>
  </w:num>
  <w:num w:numId="2">
    <w:abstractNumId w:val="3"/>
  </w:num>
  <w:num w:numId="3">
    <w:abstractNumId w:val="7"/>
  </w:num>
  <w:num w:numId="4">
    <w:abstractNumId w:val="1"/>
  </w:num>
  <w:num w:numId="5">
    <w:abstractNumId w:val="8"/>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18"/>
  </w:num>
  <w:num w:numId="13">
    <w:abstractNumId w:val="15"/>
  </w:num>
  <w:num w:numId="14">
    <w:abstractNumId w:val="19"/>
  </w:num>
  <w:num w:numId="15">
    <w:abstractNumId w:val="2"/>
  </w:num>
  <w:num w:numId="16">
    <w:abstractNumId w:val="4"/>
  </w:num>
  <w:num w:numId="17">
    <w:abstractNumId w:val="14"/>
  </w:num>
  <w:num w:numId="18">
    <w:abstractNumId w:val="6"/>
  </w:num>
  <w:num w:numId="19">
    <w:abstractNumId w:val="0"/>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DD"/>
    <w:rsid w:val="000534A3"/>
    <w:rsid w:val="00055F33"/>
    <w:rsid w:val="00092229"/>
    <w:rsid w:val="000962D9"/>
    <w:rsid w:val="000A338A"/>
    <w:rsid w:val="000B2BE0"/>
    <w:rsid w:val="000C60E3"/>
    <w:rsid w:val="000D66AA"/>
    <w:rsid w:val="001508C6"/>
    <w:rsid w:val="001823DD"/>
    <w:rsid w:val="001D1F06"/>
    <w:rsid w:val="001D6B6F"/>
    <w:rsid w:val="00245AE2"/>
    <w:rsid w:val="002669E8"/>
    <w:rsid w:val="002713E5"/>
    <w:rsid w:val="002A12B4"/>
    <w:rsid w:val="002B2F75"/>
    <w:rsid w:val="002C2866"/>
    <w:rsid w:val="002D2BB9"/>
    <w:rsid w:val="002E2E49"/>
    <w:rsid w:val="0032577C"/>
    <w:rsid w:val="00332CEB"/>
    <w:rsid w:val="00347788"/>
    <w:rsid w:val="003526EB"/>
    <w:rsid w:val="00366D07"/>
    <w:rsid w:val="00374430"/>
    <w:rsid w:val="00384724"/>
    <w:rsid w:val="003A310F"/>
    <w:rsid w:val="00407383"/>
    <w:rsid w:val="00426F93"/>
    <w:rsid w:val="005A3ED5"/>
    <w:rsid w:val="005A6E79"/>
    <w:rsid w:val="005B51C9"/>
    <w:rsid w:val="005F2B47"/>
    <w:rsid w:val="006003B4"/>
    <w:rsid w:val="00603A39"/>
    <w:rsid w:val="006A1076"/>
    <w:rsid w:val="00706F9E"/>
    <w:rsid w:val="00780913"/>
    <w:rsid w:val="00782373"/>
    <w:rsid w:val="007B0AC1"/>
    <w:rsid w:val="007C5D38"/>
    <w:rsid w:val="007C79FA"/>
    <w:rsid w:val="0080067F"/>
    <w:rsid w:val="00896449"/>
    <w:rsid w:val="00963F57"/>
    <w:rsid w:val="00963FD7"/>
    <w:rsid w:val="00983FBD"/>
    <w:rsid w:val="009917BC"/>
    <w:rsid w:val="00993647"/>
    <w:rsid w:val="00A23E28"/>
    <w:rsid w:val="00A36424"/>
    <w:rsid w:val="00A37F4E"/>
    <w:rsid w:val="00A64BDD"/>
    <w:rsid w:val="00A85596"/>
    <w:rsid w:val="00AE264B"/>
    <w:rsid w:val="00B4617C"/>
    <w:rsid w:val="00B57DD5"/>
    <w:rsid w:val="00BA0C21"/>
    <w:rsid w:val="00BC02E5"/>
    <w:rsid w:val="00BE2F1B"/>
    <w:rsid w:val="00C001B5"/>
    <w:rsid w:val="00C20A43"/>
    <w:rsid w:val="00C53B07"/>
    <w:rsid w:val="00CA1B0F"/>
    <w:rsid w:val="00CC63D7"/>
    <w:rsid w:val="00CD742B"/>
    <w:rsid w:val="00D01399"/>
    <w:rsid w:val="00D31706"/>
    <w:rsid w:val="00D50355"/>
    <w:rsid w:val="00D72416"/>
    <w:rsid w:val="00D7710D"/>
    <w:rsid w:val="00D81E4B"/>
    <w:rsid w:val="00D8571C"/>
    <w:rsid w:val="00D9374C"/>
    <w:rsid w:val="00DA020E"/>
    <w:rsid w:val="00DB0BCC"/>
    <w:rsid w:val="00DD203A"/>
    <w:rsid w:val="00DE11DF"/>
    <w:rsid w:val="00E02BB8"/>
    <w:rsid w:val="00E61F1E"/>
    <w:rsid w:val="00E66C18"/>
    <w:rsid w:val="00E74938"/>
    <w:rsid w:val="00EE18BD"/>
    <w:rsid w:val="00EE5E03"/>
    <w:rsid w:val="00EF4745"/>
    <w:rsid w:val="00F32750"/>
    <w:rsid w:val="00F50C0B"/>
    <w:rsid w:val="00F86D12"/>
    <w:rsid w:val="00FB0E06"/>
    <w:rsid w:val="00FB15C4"/>
    <w:rsid w:val="00FC60CA"/>
    <w:rsid w:val="00FD43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83C072C"/>
  <w15:chartTrackingRefBased/>
  <w15:docId w15:val="{E166F8D5-E036-40C1-A1C2-7CBFC628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DD"/>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BDD"/>
    <w:rPr>
      <w:rFonts w:ascii="Segoe UI" w:eastAsia="Times New Roman" w:hAnsi="Segoe UI" w:cs="Segoe UI"/>
      <w:sz w:val="18"/>
      <w:szCs w:val="18"/>
      <w:lang w:eastAsia="lv-LV"/>
    </w:rPr>
  </w:style>
  <w:style w:type="paragraph" w:styleId="ListParagraph">
    <w:name w:val="List Paragraph"/>
    <w:basedOn w:val="Normal"/>
    <w:uiPriority w:val="34"/>
    <w:qFormat/>
    <w:rsid w:val="00A64BDD"/>
    <w:pPr>
      <w:ind w:left="720"/>
      <w:contextualSpacing/>
    </w:pPr>
  </w:style>
  <w:style w:type="paragraph" w:styleId="NoSpacing">
    <w:name w:val="No Spacing"/>
    <w:uiPriority w:val="99"/>
    <w:qFormat/>
    <w:rsid w:val="00D50355"/>
    <w:pPr>
      <w:spacing w:after="0" w:line="240" w:lineRule="auto"/>
    </w:pPr>
    <w:rPr>
      <w:rFonts w:ascii="Calibri" w:eastAsia="Times New Roman" w:hAnsi="Calibri" w:cs="Times New Roman"/>
      <w:lang w:eastAsia="lv-LV"/>
    </w:rPr>
  </w:style>
  <w:style w:type="paragraph" w:styleId="Title">
    <w:name w:val="Title"/>
    <w:basedOn w:val="Normal"/>
    <w:link w:val="TitleChar"/>
    <w:uiPriority w:val="99"/>
    <w:qFormat/>
    <w:rsid w:val="00D50355"/>
    <w:pPr>
      <w:jc w:val="center"/>
    </w:pPr>
    <w:rPr>
      <w:b/>
      <w:i/>
      <w:sz w:val="28"/>
      <w:lang w:eastAsia="en-US"/>
    </w:rPr>
  </w:style>
  <w:style w:type="character" w:customStyle="1" w:styleId="TitleChar">
    <w:name w:val="Title Char"/>
    <w:basedOn w:val="DefaultParagraphFont"/>
    <w:link w:val="Title"/>
    <w:uiPriority w:val="99"/>
    <w:rsid w:val="00D50355"/>
    <w:rPr>
      <w:rFonts w:ascii="Times New Roman" w:eastAsia="Times New Roman" w:hAnsi="Times New Roman" w:cs="Times New Roman"/>
      <w:b/>
      <w:i/>
      <w:sz w:val="28"/>
      <w:szCs w:val="20"/>
    </w:rPr>
  </w:style>
  <w:style w:type="paragraph" w:customStyle="1" w:styleId="tv213">
    <w:name w:val="tv213"/>
    <w:basedOn w:val="Normal"/>
    <w:rsid w:val="00CD742B"/>
    <w:pPr>
      <w:spacing w:before="100" w:beforeAutospacing="1" w:after="100" w:afterAutospacing="1"/>
    </w:pPr>
    <w:rPr>
      <w:szCs w:val="24"/>
    </w:rPr>
  </w:style>
  <w:style w:type="paragraph" w:styleId="Header">
    <w:name w:val="header"/>
    <w:basedOn w:val="Normal"/>
    <w:link w:val="HeaderChar"/>
    <w:uiPriority w:val="99"/>
    <w:unhideWhenUsed/>
    <w:rsid w:val="00E66C18"/>
    <w:pPr>
      <w:tabs>
        <w:tab w:val="center" w:pos="4153"/>
        <w:tab w:val="right" w:pos="8306"/>
      </w:tabs>
    </w:pPr>
  </w:style>
  <w:style w:type="character" w:customStyle="1" w:styleId="HeaderChar">
    <w:name w:val="Header Char"/>
    <w:basedOn w:val="DefaultParagraphFont"/>
    <w:link w:val="Header"/>
    <w:uiPriority w:val="99"/>
    <w:rsid w:val="00E66C18"/>
    <w:rPr>
      <w:rFonts w:ascii="Times New Roman" w:eastAsia="Times New Roman" w:hAnsi="Times New Roman" w:cs="Times New Roman"/>
      <w:sz w:val="24"/>
      <w:szCs w:val="20"/>
      <w:lang w:eastAsia="lv-LV"/>
    </w:rPr>
  </w:style>
  <w:style w:type="paragraph" w:styleId="Footer">
    <w:name w:val="footer"/>
    <w:basedOn w:val="Normal"/>
    <w:link w:val="FooterChar"/>
    <w:uiPriority w:val="99"/>
    <w:unhideWhenUsed/>
    <w:rsid w:val="00E66C18"/>
    <w:pPr>
      <w:tabs>
        <w:tab w:val="center" w:pos="4153"/>
        <w:tab w:val="right" w:pos="8306"/>
      </w:tabs>
    </w:pPr>
  </w:style>
  <w:style w:type="character" w:customStyle="1" w:styleId="FooterChar">
    <w:name w:val="Footer Char"/>
    <w:basedOn w:val="DefaultParagraphFont"/>
    <w:link w:val="Footer"/>
    <w:uiPriority w:val="99"/>
    <w:rsid w:val="00E66C18"/>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63190">
      <w:bodyDiv w:val="1"/>
      <w:marLeft w:val="0"/>
      <w:marRight w:val="0"/>
      <w:marTop w:val="0"/>
      <w:marBottom w:val="0"/>
      <w:divBdr>
        <w:top w:val="none" w:sz="0" w:space="0" w:color="auto"/>
        <w:left w:val="none" w:sz="0" w:space="0" w:color="auto"/>
        <w:bottom w:val="none" w:sz="0" w:space="0" w:color="auto"/>
        <w:right w:val="none" w:sz="0" w:space="0" w:color="auto"/>
      </w:divBdr>
    </w:div>
    <w:div w:id="599215172">
      <w:bodyDiv w:val="1"/>
      <w:marLeft w:val="0"/>
      <w:marRight w:val="0"/>
      <w:marTop w:val="0"/>
      <w:marBottom w:val="0"/>
      <w:divBdr>
        <w:top w:val="none" w:sz="0" w:space="0" w:color="auto"/>
        <w:left w:val="none" w:sz="0" w:space="0" w:color="auto"/>
        <w:bottom w:val="none" w:sz="0" w:space="0" w:color="auto"/>
        <w:right w:val="none" w:sz="0" w:space="0" w:color="auto"/>
      </w:divBdr>
    </w:div>
    <w:div w:id="6731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5015</Words>
  <Characters>2860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Irina Čaša</cp:lastModifiedBy>
  <cp:revision>3</cp:revision>
  <cp:lastPrinted>2020-12-08T10:09:00Z</cp:lastPrinted>
  <dcterms:created xsi:type="dcterms:W3CDTF">2020-12-08T12:34:00Z</dcterms:created>
  <dcterms:modified xsi:type="dcterms:W3CDTF">2020-12-08T12:35:00Z</dcterms:modified>
</cp:coreProperties>
</file>