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68083" w14:textId="77777777" w:rsidR="00EC4DE7" w:rsidRPr="00EC4DE7" w:rsidRDefault="00EC4DE7" w:rsidP="007B2B04">
      <w:pPr>
        <w:jc w:val="right"/>
        <w:rPr>
          <w:noProof/>
          <w:sz w:val="24"/>
          <w:szCs w:val="24"/>
        </w:rPr>
      </w:pPr>
      <w:bookmarkStart w:id="0" w:name="_GoBack"/>
      <w:bookmarkEnd w:id="0"/>
      <w:r w:rsidRPr="00EC4DE7">
        <w:rPr>
          <w:noProof/>
          <w:sz w:val="24"/>
          <w:szCs w:val="24"/>
        </w:rPr>
        <w:t>APSTIPRINĀTS</w:t>
      </w:r>
    </w:p>
    <w:p w14:paraId="786D102E" w14:textId="77777777" w:rsidR="00EC4DE7" w:rsidRPr="00EC4DE7" w:rsidRDefault="00EC4DE7" w:rsidP="007B2B04">
      <w:pPr>
        <w:jc w:val="right"/>
        <w:rPr>
          <w:noProof/>
          <w:sz w:val="24"/>
          <w:szCs w:val="24"/>
        </w:rPr>
      </w:pPr>
      <w:r w:rsidRPr="00EC4DE7">
        <w:rPr>
          <w:noProof/>
          <w:sz w:val="24"/>
          <w:szCs w:val="24"/>
        </w:rPr>
        <w:t xml:space="preserve">ar Tieslietu padomes </w:t>
      </w:r>
    </w:p>
    <w:p w14:paraId="0B12B8D0" w14:textId="0F07738D" w:rsidR="00EC4DE7" w:rsidRPr="00EC4DE7" w:rsidRDefault="00EC4DE7" w:rsidP="007B2B04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2021. gada 12</w:t>
      </w:r>
      <w:r w:rsidRPr="00EC4DE7">
        <w:rPr>
          <w:noProof/>
          <w:sz w:val="24"/>
          <w:szCs w:val="24"/>
        </w:rPr>
        <w:t xml:space="preserve">. </w:t>
      </w:r>
      <w:r>
        <w:rPr>
          <w:noProof/>
          <w:sz w:val="24"/>
          <w:szCs w:val="24"/>
        </w:rPr>
        <w:t>marta</w:t>
      </w:r>
      <w:r w:rsidRPr="00EC4DE7">
        <w:rPr>
          <w:noProof/>
          <w:sz w:val="24"/>
          <w:szCs w:val="24"/>
        </w:rPr>
        <w:t xml:space="preserve"> lēmumu Nr. </w:t>
      </w:r>
      <w:r w:rsidR="00670F39">
        <w:rPr>
          <w:noProof/>
          <w:sz w:val="24"/>
          <w:szCs w:val="24"/>
        </w:rPr>
        <w:t>16</w:t>
      </w:r>
    </w:p>
    <w:p w14:paraId="276F5F0F" w14:textId="77777777" w:rsidR="00500754" w:rsidRDefault="00500754" w:rsidP="00963EBB">
      <w:pPr>
        <w:spacing w:line="360" w:lineRule="auto"/>
        <w:jc w:val="right"/>
        <w:rPr>
          <w:noProof/>
          <w:sz w:val="24"/>
          <w:szCs w:val="24"/>
        </w:rPr>
      </w:pPr>
    </w:p>
    <w:p w14:paraId="4A887406" w14:textId="77777777" w:rsidR="00963EBB" w:rsidRPr="0045068C" w:rsidRDefault="00963EBB" w:rsidP="0019799A">
      <w:pPr>
        <w:spacing w:line="360" w:lineRule="auto"/>
        <w:jc w:val="center"/>
        <w:rPr>
          <w:b/>
          <w:sz w:val="24"/>
          <w:szCs w:val="24"/>
        </w:rPr>
      </w:pPr>
    </w:p>
    <w:p w14:paraId="4521A818" w14:textId="77777777" w:rsidR="0019799A" w:rsidRPr="00EC4DE7" w:rsidRDefault="009E69E5" w:rsidP="0019799A">
      <w:pPr>
        <w:spacing w:line="360" w:lineRule="auto"/>
        <w:jc w:val="center"/>
        <w:rPr>
          <w:b/>
          <w:sz w:val="32"/>
          <w:szCs w:val="32"/>
        </w:rPr>
      </w:pPr>
      <w:r w:rsidRPr="00EC4DE7">
        <w:rPr>
          <w:b/>
          <w:sz w:val="32"/>
          <w:szCs w:val="32"/>
        </w:rPr>
        <w:t>T</w:t>
      </w:r>
      <w:r w:rsidR="0019799A" w:rsidRPr="00EC4DE7">
        <w:rPr>
          <w:b/>
          <w:sz w:val="32"/>
          <w:szCs w:val="32"/>
        </w:rPr>
        <w:t xml:space="preserve">ieslietu padomes darbības stratēģija </w:t>
      </w:r>
    </w:p>
    <w:p w14:paraId="373A8679" w14:textId="713539A6" w:rsidR="009237B6" w:rsidRPr="00EC4DE7" w:rsidRDefault="00EC4DE7" w:rsidP="008C1CF3">
      <w:pPr>
        <w:spacing w:line="360" w:lineRule="auto"/>
        <w:jc w:val="center"/>
        <w:rPr>
          <w:b/>
          <w:sz w:val="32"/>
          <w:szCs w:val="32"/>
        </w:rPr>
      </w:pPr>
      <w:r w:rsidRPr="00EC4DE7">
        <w:rPr>
          <w:b/>
          <w:sz w:val="32"/>
          <w:szCs w:val="32"/>
        </w:rPr>
        <w:t>2021.–2025.</w:t>
      </w:r>
      <w:r w:rsidR="00963EBB" w:rsidRPr="00EC4DE7">
        <w:rPr>
          <w:b/>
          <w:sz w:val="32"/>
          <w:szCs w:val="32"/>
        </w:rPr>
        <w:t xml:space="preserve"> </w:t>
      </w:r>
      <w:r w:rsidR="0019799A" w:rsidRPr="00EC4DE7">
        <w:rPr>
          <w:b/>
          <w:sz w:val="32"/>
          <w:szCs w:val="32"/>
        </w:rPr>
        <w:t>gadam</w:t>
      </w:r>
    </w:p>
    <w:p w14:paraId="6121B5AA" w14:textId="77777777" w:rsidR="00EC4DE7" w:rsidRDefault="00EC4DE7" w:rsidP="001E029D">
      <w:pPr>
        <w:spacing w:after="120" w:line="360" w:lineRule="auto"/>
        <w:jc w:val="both"/>
        <w:rPr>
          <w:b/>
          <w:sz w:val="26"/>
          <w:szCs w:val="26"/>
        </w:rPr>
      </w:pPr>
    </w:p>
    <w:p w14:paraId="5B459D0F" w14:textId="040172C4" w:rsidR="002F4921" w:rsidRPr="00EC4DE7" w:rsidRDefault="002F4921" w:rsidP="001E029D">
      <w:pPr>
        <w:spacing w:after="120" w:line="360" w:lineRule="auto"/>
        <w:jc w:val="both"/>
        <w:rPr>
          <w:b/>
          <w:sz w:val="26"/>
          <w:szCs w:val="26"/>
        </w:rPr>
      </w:pPr>
      <w:r w:rsidRPr="00EC4DE7">
        <w:rPr>
          <w:b/>
          <w:sz w:val="26"/>
          <w:szCs w:val="26"/>
        </w:rPr>
        <w:t>Ievads</w:t>
      </w:r>
    </w:p>
    <w:p w14:paraId="2682858B" w14:textId="33B5D10D" w:rsidR="00DC0D69" w:rsidRPr="00EC4DE7" w:rsidRDefault="00963EBB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>Tieslietu padomes virsmērķis ir nodrošināt līdzvērtīgu tiesu sistēmas pārstāvēšanu valsts varas atzaru dialogā, lai nodrošinātu tiesu varas neatkarību, kvalitāti, attīstību un atbildību.</w:t>
      </w:r>
    </w:p>
    <w:p w14:paraId="46CD3AD5" w14:textId="229AD401" w:rsidR="00DC0D69" w:rsidRPr="00EC4DE7" w:rsidRDefault="00DC0D69" w:rsidP="001E029D">
      <w:pPr>
        <w:spacing w:after="120" w:line="360" w:lineRule="auto"/>
        <w:jc w:val="both"/>
        <w:rPr>
          <w:b/>
          <w:sz w:val="26"/>
          <w:szCs w:val="26"/>
        </w:rPr>
      </w:pPr>
      <w:r w:rsidRPr="00EC4DE7">
        <w:rPr>
          <w:b/>
          <w:sz w:val="26"/>
          <w:szCs w:val="26"/>
        </w:rPr>
        <w:t>Situācijas raksturojums</w:t>
      </w:r>
    </w:p>
    <w:p w14:paraId="1A292621" w14:textId="77777777" w:rsidR="00D27BF8" w:rsidRPr="00EC4DE7" w:rsidRDefault="0047121E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>Likuma „Par tiesu varu” 89.</w:t>
      </w:r>
      <w:r w:rsidRPr="00EC4DE7">
        <w:rPr>
          <w:bCs/>
          <w:sz w:val="26"/>
          <w:szCs w:val="26"/>
          <w:vertAlign w:val="superscript"/>
        </w:rPr>
        <w:t>1</w:t>
      </w:r>
      <w:r w:rsidRPr="00EC4DE7">
        <w:rPr>
          <w:bCs/>
          <w:sz w:val="26"/>
          <w:szCs w:val="26"/>
        </w:rPr>
        <w:t xml:space="preserve"> pants noteic, ka Tieslietu padome piedalās tiesu sistēmas politikas un stratēģijas izstrādē, kā arī tiesu sistēmas darba organizācijas pilnveidošanā.</w:t>
      </w:r>
      <w:r w:rsidR="00C55C0F" w:rsidRPr="00EC4DE7">
        <w:rPr>
          <w:bCs/>
          <w:sz w:val="26"/>
          <w:szCs w:val="26"/>
        </w:rPr>
        <w:t xml:space="preserve"> </w:t>
      </w:r>
    </w:p>
    <w:p w14:paraId="436A5C01" w14:textId="02F57EE2" w:rsidR="00722660" w:rsidRPr="00EC4DE7" w:rsidRDefault="00D27BF8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 xml:space="preserve">Tieslietu padome savas darbības pirmajos desmit gados ir pierādījusi savu potenciālu Latvijas tiesu varas neatkarības stiprināšanā. </w:t>
      </w:r>
      <w:r w:rsidR="005836DB" w:rsidRPr="00EC4DE7">
        <w:rPr>
          <w:bCs/>
          <w:sz w:val="26"/>
          <w:szCs w:val="26"/>
        </w:rPr>
        <w:t xml:space="preserve">Iepriekšējā perioda </w:t>
      </w:r>
      <w:r w:rsidRPr="00EC4DE7">
        <w:rPr>
          <w:bCs/>
          <w:sz w:val="26"/>
          <w:szCs w:val="26"/>
        </w:rPr>
        <w:t xml:space="preserve">stratēģijas </w:t>
      </w:r>
      <w:r w:rsidR="005836DB" w:rsidRPr="00EC4DE7">
        <w:rPr>
          <w:bCs/>
          <w:sz w:val="26"/>
          <w:szCs w:val="26"/>
        </w:rPr>
        <w:t>(</w:t>
      </w:r>
      <w:r w:rsidRPr="00EC4DE7">
        <w:rPr>
          <w:bCs/>
          <w:sz w:val="26"/>
          <w:szCs w:val="26"/>
        </w:rPr>
        <w:t>2017 –2019</w:t>
      </w:r>
      <w:r w:rsidR="005836DB" w:rsidRPr="00EC4DE7">
        <w:rPr>
          <w:bCs/>
          <w:sz w:val="26"/>
          <w:szCs w:val="26"/>
        </w:rPr>
        <w:t>)</w:t>
      </w:r>
      <w:r w:rsidRPr="00EC4DE7">
        <w:rPr>
          <w:bCs/>
          <w:sz w:val="26"/>
          <w:szCs w:val="26"/>
        </w:rPr>
        <w:t xml:space="preserve"> realizācijas gaitā ir pa</w:t>
      </w:r>
      <w:r w:rsidR="00722660" w:rsidRPr="00EC4DE7">
        <w:rPr>
          <w:bCs/>
          <w:sz w:val="26"/>
          <w:szCs w:val="26"/>
        </w:rPr>
        <w:t xml:space="preserve">nākts progress </w:t>
      </w:r>
      <w:r w:rsidR="00154828" w:rsidRPr="00EC4DE7">
        <w:rPr>
          <w:bCs/>
          <w:sz w:val="26"/>
          <w:szCs w:val="26"/>
        </w:rPr>
        <w:t>tiesu sistēm</w:t>
      </w:r>
      <w:r w:rsidR="003E1756" w:rsidRPr="00EC4DE7">
        <w:rPr>
          <w:bCs/>
          <w:sz w:val="26"/>
          <w:szCs w:val="26"/>
        </w:rPr>
        <w:t>as neatkarības nodrošināšanā, it sevišķi Tieslietu padomei pārņemot savā pārziņā tiesnešu karjeras virzības jautājumus</w:t>
      </w:r>
      <w:r w:rsidR="003A1039" w:rsidRPr="00EC4DE7">
        <w:rPr>
          <w:bCs/>
          <w:sz w:val="26"/>
          <w:szCs w:val="26"/>
        </w:rPr>
        <w:t>, kā arī piedaloties tiesu sistēmas reformās</w:t>
      </w:r>
      <w:r w:rsidR="003E1756" w:rsidRPr="00EC4DE7">
        <w:rPr>
          <w:bCs/>
          <w:sz w:val="26"/>
          <w:szCs w:val="26"/>
        </w:rPr>
        <w:t>.</w:t>
      </w:r>
    </w:p>
    <w:p w14:paraId="1E58935D" w14:textId="1F115389" w:rsidR="00D27BF8" w:rsidRPr="00EC4DE7" w:rsidRDefault="00D27BF8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>Savukārt</w:t>
      </w:r>
      <w:r w:rsidR="00B33FB2">
        <w:rPr>
          <w:bCs/>
          <w:sz w:val="26"/>
          <w:szCs w:val="26"/>
        </w:rPr>
        <w:t>,</w:t>
      </w:r>
      <w:r w:rsidRPr="00EC4DE7">
        <w:rPr>
          <w:bCs/>
          <w:sz w:val="26"/>
          <w:szCs w:val="26"/>
        </w:rPr>
        <w:t xml:space="preserve"> analizējot </w:t>
      </w:r>
      <w:r w:rsidR="003D46BC" w:rsidRPr="00EC4DE7">
        <w:rPr>
          <w:bCs/>
          <w:sz w:val="26"/>
          <w:szCs w:val="26"/>
        </w:rPr>
        <w:t xml:space="preserve">nākamajā periodā panākamo </w:t>
      </w:r>
      <w:r w:rsidR="00154828" w:rsidRPr="00EC4DE7">
        <w:rPr>
          <w:bCs/>
          <w:sz w:val="26"/>
          <w:szCs w:val="26"/>
        </w:rPr>
        <w:t>tiesu sistēm</w:t>
      </w:r>
      <w:r w:rsidR="003D46BC" w:rsidRPr="00EC4DE7">
        <w:rPr>
          <w:bCs/>
          <w:sz w:val="26"/>
          <w:szCs w:val="26"/>
        </w:rPr>
        <w:t>as nostiprināšanai, jāakcentē vairākas jomas, kas izriet no Latvijas</w:t>
      </w:r>
      <w:r w:rsidR="005836DB" w:rsidRPr="00EC4DE7">
        <w:rPr>
          <w:bCs/>
          <w:sz w:val="26"/>
          <w:szCs w:val="26"/>
        </w:rPr>
        <w:t xml:space="preserve"> tiesu sistēmas pašreizējā stāvokļa</w:t>
      </w:r>
      <w:r w:rsidR="003D46BC" w:rsidRPr="00EC4DE7">
        <w:rPr>
          <w:bCs/>
          <w:sz w:val="26"/>
          <w:szCs w:val="26"/>
        </w:rPr>
        <w:t>,</w:t>
      </w:r>
      <w:r w:rsidR="005836DB" w:rsidRPr="00EC4DE7">
        <w:rPr>
          <w:bCs/>
          <w:sz w:val="26"/>
          <w:szCs w:val="26"/>
        </w:rPr>
        <w:t xml:space="preserve"> kā arī</w:t>
      </w:r>
      <w:r w:rsidR="003D46BC" w:rsidRPr="00EC4DE7">
        <w:rPr>
          <w:bCs/>
          <w:sz w:val="26"/>
          <w:szCs w:val="26"/>
        </w:rPr>
        <w:t xml:space="preserve"> E</w:t>
      </w:r>
      <w:r w:rsidR="00E87C86" w:rsidRPr="00EC4DE7">
        <w:rPr>
          <w:bCs/>
          <w:sz w:val="26"/>
          <w:szCs w:val="26"/>
        </w:rPr>
        <w:t xml:space="preserve">iropas Savienības </w:t>
      </w:r>
      <w:r w:rsidR="003D46BC" w:rsidRPr="00EC4DE7">
        <w:rPr>
          <w:bCs/>
          <w:sz w:val="26"/>
          <w:szCs w:val="26"/>
        </w:rPr>
        <w:t xml:space="preserve">un starptautisko institūciju vērtējuma par </w:t>
      </w:r>
      <w:r w:rsidR="0087693E" w:rsidRPr="00EC4DE7">
        <w:rPr>
          <w:bCs/>
          <w:sz w:val="26"/>
          <w:szCs w:val="26"/>
        </w:rPr>
        <w:t xml:space="preserve">situāciju </w:t>
      </w:r>
      <w:r w:rsidR="00154828" w:rsidRPr="00EC4DE7">
        <w:rPr>
          <w:bCs/>
          <w:sz w:val="26"/>
          <w:szCs w:val="26"/>
        </w:rPr>
        <w:t>tiesu sistēm</w:t>
      </w:r>
      <w:r w:rsidR="0087693E" w:rsidRPr="00EC4DE7">
        <w:rPr>
          <w:bCs/>
          <w:sz w:val="26"/>
          <w:szCs w:val="26"/>
        </w:rPr>
        <w:t>ā</w:t>
      </w:r>
      <w:r w:rsidR="003D46BC" w:rsidRPr="00EC4DE7">
        <w:rPr>
          <w:bCs/>
          <w:sz w:val="26"/>
          <w:szCs w:val="26"/>
        </w:rPr>
        <w:t xml:space="preserve">. </w:t>
      </w:r>
    </w:p>
    <w:p w14:paraId="4C92C5DD" w14:textId="42863024" w:rsidR="006E48E8" w:rsidRPr="00EC4DE7" w:rsidRDefault="006E48E8" w:rsidP="007B2B04">
      <w:pPr>
        <w:spacing w:after="120" w:line="276" w:lineRule="auto"/>
        <w:jc w:val="both"/>
        <w:rPr>
          <w:bCs/>
          <w:i/>
          <w:sz w:val="26"/>
          <w:szCs w:val="26"/>
        </w:rPr>
      </w:pPr>
      <w:r w:rsidRPr="00EC4DE7">
        <w:rPr>
          <w:bCs/>
          <w:i/>
          <w:sz w:val="26"/>
          <w:szCs w:val="26"/>
        </w:rPr>
        <w:t>Tiesnešu apmācības jautājumi</w:t>
      </w:r>
      <w:r w:rsidRPr="00EC4DE7">
        <w:rPr>
          <w:bCs/>
          <w:sz w:val="26"/>
          <w:szCs w:val="26"/>
        </w:rPr>
        <w:t xml:space="preserve"> </w:t>
      </w:r>
      <w:r w:rsidR="003115C8" w:rsidRPr="00EC4DE7">
        <w:rPr>
          <w:bCs/>
          <w:sz w:val="26"/>
          <w:szCs w:val="26"/>
        </w:rPr>
        <w:t xml:space="preserve">ir cieši saistīti ar tiesu sistēmas neatkarību. Arī </w:t>
      </w:r>
      <w:r w:rsidR="00B44ACD" w:rsidRPr="00EC4DE7">
        <w:rPr>
          <w:bCs/>
          <w:sz w:val="26"/>
          <w:szCs w:val="26"/>
        </w:rPr>
        <w:t xml:space="preserve">Eiropas Tiesnešu konsultatīvās padomes ieskatā </w:t>
      </w:r>
      <w:r w:rsidR="003115C8" w:rsidRPr="00EC4DE7">
        <w:rPr>
          <w:bCs/>
          <w:sz w:val="26"/>
          <w:szCs w:val="26"/>
        </w:rPr>
        <w:t>to</w:t>
      </w:r>
      <w:r w:rsidRPr="00EC4DE7">
        <w:rPr>
          <w:bCs/>
          <w:sz w:val="26"/>
          <w:szCs w:val="26"/>
        </w:rPr>
        <w:t xml:space="preserve"> uzraudzību vajad</w:t>
      </w:r>
      <w:r w:rsidR="003115C8" w:rsidRPr="00EC4DE7">
        <w:rPr>
          <w:bCs/>
          <w:sz w:val="26"/>
          <w:szCs w:val="26"/>
        </w:rPr>
        <w:t>zētu uzticēt Tieslietu padomei.</w:t>
      </w:r>
    </w:p>
    <w:p w14:paraId="379CEF6A" w14:textId="1CAC0316" w:rsidR="00BA327E" w:rsidRPr="00EC4DE7" w:rsidRDefault="00BA327E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i/>
          <w:sz w:val="26"/>
          <w:szCs w:val="26"/>
        </w:rPr>
        <w:t>Tiesnešu pašpārvaldes institūciju darbības nostiprināšana un aktivizēšana</w:t>
      </w:r>
      <w:r w:rsidRPr="00EC4DE7">
        <w:rPr>
          <w:bCs/>
          <w:sz w:val="26"/>
          <w:szCs w:val="26"/>
        </w:rPr>
        <w:t xml:space="preserve"> ir būtiska </w:t>
      </w:r>
      <w:r w:rsidR="00154828" w:rsidRPr="00EC4DE7">
        <w:rPr>
          <w:bCs/>
          <w:sz w:val="26"/>
          <w:szCs w:val="26"/>
        </w:rPr>
        <w:t>tiesu sistēm</w:t>
      </w:r>
      <w:r w:rsidRPr="00EC4DE7">
        <w:rPr>
          <w:bCs/>
          <w:sz w:val="26"/>
          <w:szCs w:val="26"/>
        </w:rPr>
        <w:t>as pašorganizācijas spēju stiprināšana. Spēcīga tiesnešu pašpārvalde nodrošina caurredzamību un sistēmisku atbildību sabiedrības priekšā, kas savukārt vairo uzticību un pieļauj neatkarības paplašināšanu.</w:t>
      </w:r>
    </w:p>
    <w:p w14:paraId="47584D8A" w14:textId="6990F4C5" w:rsidR="006E48E8" w:rsidRPr="00EC4DE7" w:rsidRDefault="00154828" w:rsidP="007B2B04">
      <w:pPr>
        <w:spacing w:after="120" w:line="276" w:lineRule="auto"/>
        <w:jc w:val="both"/>
        <w:rPr>
          <w:bCs/>
          <w:i/>
          <w:sz w:val="26"/>
          <w:szCs w:val="26"/>
        </w:rPr>
      </w:pPr>
      <w:r w:rsidRPr="00EC4DE7">
        <w:rPr>
          <w:bCs/>
          <w:i/>
          <w:sz w:val="26"/>
          <w:szCs w:val="26"/>
        </w:rPr>
        <w:t>Tiesu sistēm</w:t>
      </w:r>
      <w:r w:rsidR="006E48E8" w:rsidRPr="00EC4DE7">
        <w:rPr>
          <w:bCs/>
          <w:i/>
          <w:sz w:val="26"/>
          <w:szCs w:val="26"/>
        </w:rPr>
        <w:t xml:space="preserve">as </w:t>
      </w:r>
      <w:r w:rsidR="003A1039" w:rsidRPr="00EC4DE7">
        <w:rPr>
          <w:bCs/>
          <w:i/>
          <w:sz w:val="26"/>
          <w:szCs w:val="26"/>
        </w:rPr>
        <w:t xml:space="preserve">fiskālās </w:t>
      </w:r>
      <w:r w:rsidR="006E48E8" w:rsidRPr="00EC4DE7">
        <w:rPr>
          <w:bCs/>
          <w:i/>
          <w:sz w:val="26"/>
          <w:szCs w:val="26"/>
        </w:rPr>
        <w:t>neatkarība</w:t>
      </w:r>
      <w:r w:rsidR="005836DB" w:rsidRPr="00EC4DE7">
        <w:rPr>
          <w:bCs/>
          <w:i/>
          <w:sz w:val="26"/>
          <w:szCs w:val="26"/>
        </w:rPr>
        <w:t>s</w:t>
      </w:r>
      <w:r w:rsidR="00D02AC7" w:rsidRPr="00EC4DE7">
        <w:rPr>
          <w:bCs/>
          <w:i/>
          <w:sz w:val="26"/>
          <w:szCs w:val="26"/>
        </w:rPr>
        <w:t xml:space="preserve"> nostiprinā</w:t>
      </w:r>
      <w:r w:rsidR="00B44ACD" w:rsidRPr="00EC4DE7">
        <w:rPr>
          <w:bCs/>
          <w:i/>
          <w:sz w:val="26"/>
          <w:szCs w:val="26"/>
        </w:rPr>
        <w:t>šana</w:t>
      </w:r>
      <w:r w:rsidR="00A70567" w:rsidRPr="00EC4DE7">
        <w:rPr>
          <w:bCs/>
          <w:sz w:val="26"/>
          <w:szCs w:val="26"/>
        </w:rPr>
        <w:t>.</w:t>
      </w:r>
      <w:r w:rsidR="00D02AC7" w:rsidRPr="00EC4DE7">
        <w:rPr>
          <w:bCs/>
          <w:sz w:val="26"/>
          <w:szCs w:val="26"/>
        </w:rPr>
        <w:t xml:space="preserve"> </w:t>
      </w:r>
      <w:r w:rsidR="006E48E8" w:rsidRPr="00EC4DE7">
        <w:rPr>
          <w:bCs/>
          <w:sz w:val="26"/>
          <w:szCs w:val="26"/>
        </w:rPr>
        <w:t>Šobrīd likuma „Par tiesu varu” 50.</w:t>
      </w:r>
      <w:r w:rsidR="006E48E8" w:rsidRPr="00EC4DE7">
        <w:rPr>
          <w:bCs/>
          <w:sz w:val="26"/>
          <w:szCs w:val="26"/>
          <w:vertAlign w:val="superscript"/>
        </w:rPr>
        <w:t>2</w:t>
      </w:r>
      <w:r w:rsidR="006E48E8" w:rsidRPr="00EC4DE7">
        <w:rPr>
          <w:bCs/>
          <w:sz w:val="26"/>
          <w:szCs w:val="26"/>
        </w:rPr>
        <w:t xml:space="preserve"> pants piešķir Tieslietu padomei konsultatīvas pilnvaras attiecībā uz tiesu sistēmas finansēšanu, bet budžeta pieprasījumu iesniegšana Finanšu ministrijai netiek apturēta arī tad, ja tie atšķiras no Tieslietu padomes viedokļiem.</w:t>
      </w:r>
      <w:r w:rsidR="003E1756" w:rsidRPr="00EC4DE7">
        <w:rPr>
          <w:bCs/>
          <w:sz w:val="26"/>
          <w:szCs w:val="26"/>
        </w:rPr>
        <w:t xml:space="preserve"> </w:t>
      </w:r>
      <w:r w:rsidR="00A70567" w:rsidRPr="00EC4DE7">
        <w:rPr>
          <w:bCs/>
          <w:sz w:val="26"/>
          <w:szCs w:val="26"/>
        </w:rPr>
        <w:t xml:space="preserve">Tāpat CCJE Atzinumā Nr. 2 (2001) </w:t>
      </w:r>
      <w:r w:rsidR="00B33FB2">
        <w:rPr>
          <w:bCs/>
          <w:sz w:val="26"/>
          <w:szCs w:val="26"/>
        </w:rPr>
        <w:t>„</w:t>
      </w:r>
      <w:r w:rsidR="00A70567" w:rsidRPr="00EC4DE7">
        <w:rPr>
          <w:bCs/>
          <w:sz w:val="26"/>
          <w:szCs w:val="26"/>
        </w:rPr>
        <w:t>Par tiesu finansēšanu un pārvaldību</w:t>
      </w:r>
      <w:r w:rsidR="00B33FB2">
        <w:rPr>
          <w:bCs/>
          <w:sz w:val="26"/>
          <w:szCs w:val="26"/>
        </w:rPr>
        <w:t>”</w:t>
      </w:r>
      <w:r w:rsidR="00A70567" w:rsidRPr="00EC4DE7">
        <w:rPr>
          <w:bCs/>
          <w:sz w:val="26"/>
          <w:szCs w:val="26"/>
        </w:rPr>
        <w:t xml:space="preserve"> konstatēts, ka ir svarīgi, lai tiesu budžeta pieņemšanas kārtība ietvertu procedūru, kurā ņemti vērā tiesu viedokļi.</w:t>
      </w:r>
      <w:r w:rsidR="00212B05" w:rsidRPr="00EC4DE7">
        <w:rPr>
          <w:bCs/>
          <w:i/>
          <w:sz w:val="26"/>
          <w:szCs w:val="26"/>
        </w:rPr>
        <w:t xml:space="preserve"> </w:t>
      </w:r>
      <w:r w:rsidR="006E48E8" w:rsidRPr="00EC4DE7">
        <w:rPr>
          <w:bCs/>
          <w:iCs/>
          <w:sz w:val="26"/>
          <w:szCs w:val="26"/>
        </w:rPr>
        <w:t xml:space="preserve">Konsultāciju </w:t>
      </w:r>
      <w:r w:rsidR="006E48E8" w:rsidRPr="00EC4DE7">
        <w:rPr>
          <w:bCs/>
          <w:iCs/>
          <w:sz w:val="26"/>
          <w:szCs w:val="26"/>
        </w:rPr>
        <w:lastRenderedPageBreak/>
        <w:t>mehānisms budžeta pieņemšanas procesā gan Ministru kabinetā, gan Saeimā ir formāls un nedod iespēju Tieslietu padomes efektīvai iesaistei budžeta veidošanā</w:t>
      </w:r>
      <w:r w:rsidR="005836DB" w:rsidRPr="00EC4DE7">
        <w:rPr>
          <w:bCs/>
          <w:iCs/>
          <w:sz w:val="26"/>
          <w:szCs w:val="26"/>
        </w:rPr>
        <w:t>, kas padara tiesu varu fiskāli atkarīgu no izpildvaras.</w:t>
      </w:r>
    </w:p>
    <w:p w14:paraId="7AD3F490" w14:textId="114AE744" w:rsidR="003E1756" w:rsidRPr="00EC4DE7" w:rsidRDefault="003E1756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i/>
          <w:sz w:val="26"/>
          <w:szCs w:val="26"/>
        </w:rPr>
        <w:t>Tiesneša amatam atbilstošs un tiesu darbiniekiem konkurētspējīgs atalgojums</w:t>
      </w:r>
      <w:r w:rsidRPr="00EC4DE7">
        <w:rPr>
          <w:bCs/>
          <w:sz w:val="26"/>
          <w:szCs w:val="26"/>
        </w:rPr>
        <w:t xml:space="preserve"> ir priekšnosacījums līdzsvarotai visu Latvijas Republikas valsts varas atzaru attīstībai, tādējādi veicinot un stiprinot tiesiskuma nostiprināšanu Latvijas Republikā. </w:t>
      </w:r>
      <w:r w:rsidR="003517A8" w:rsidRPr="00EC4DE7">
        <w:rPr>
          <w:bCs/>
          <w:sz w:val="26"/>
          <w:szCs w:val="26"/>
        </w:rPr>
        <w:t>Tieslietu padomei jāturpina s</w:t>
      </w:r>
      <w:r w:rsidR="00E87C86" w:rsidRPr="00EC4DE7">
        <w:rPr>
          <w:bCs/>
          <w:sz w:val="26"/>
          <w:szCs w:val="26"/>
        </w:rPr>
        <w:t xml:space="preserve">ekot līdzi </w:t>
      </w:r>
      <w:r w:rsidR="003517A8" w:rsidRPr="00EC4DE7">
        <w:rPr>
          <w:sz w:val="26"/>
          <w:szCs w:val="26"/>
        </w:rPr>
        <w:t xml:space="preserve">Valsts un pašvaldību institūciju amatpersonu </w:t>
      </w:r>
      <w:r w:rsidR="00E87C86" w:rsidRPr="00EC4DE7">
        <w:rPr>
          <w:sz w:val="26"/>
          <w:szCs w:val="26"/>
        </w:rPr>
        <w:t>un darbinieku atlīdzības likuma</w:t>
      </w:r>
      <w:r w:rsidR="003517A8" w:rsidRPr="00EC4DE7">
        <w:rPr>
          <w:sz w:val="26"/>
          <w:szCs w:val="26"/>
        </w:rPr>
        <w:t xml:space="preserve"> pieņemšanai un izpildei, lai pārliecinātos, vai praksē tiek realizēts Satversmes tiesas lemtais par</w:t>
      </w:r>
      <w:r w:rsidR="003517A8" w:rsidRPr="00EC4DE7">
        <w:rPr>
          <w:bCs/>
          <w:sz w:val="26"/>
          <w:szCs w:val="26"/>
        </w:rPr>
        <w:t xml:space="preserve"> </w:t>
      </w:r>
      <w:r w:rsidRPr="00EC4DE7">
        <w:rPr>
          <w:bCs/>
          <w:sz w:val="26"/>
          <w:szCs w:val="26"/>
        </w:rPr>
        <w:t>tāda</w:t>
      </w:r>
      <w:r w:rsidR="003517A8" w:rsidRPr="00EC4DE7">
        <w:rPr>
          <w:bCs/>
          <w:sz w:val="26"/>
          <w:szCs w:val="26"/>
        </w:rPr>
        <w:t>s</w:t>
      </w:r>
      <w:r w:rsidRPr="00EC4DE7">
        <w:rPr>
          <w:bCs/>
          <w:sz w:val="26"/>
          <w:szCs w:val="26"/>
        </w:rPr>
        <w:t xml:space="preserve"> tiesnešu atlīdzības sistēma</w:t>
      </w:r>
      <w:r w:rsidR="003517A8" w:rsidRPr="00EC4DE7">
        <w:rPr>
          <w:bCs/>
          <w:sz w:val="26"/>
          <w:szCs w:val="26"/>
        </w:rPr>
        <w:t>s izveidošanu</w:t>
      </w:r>
      <w:r w:rsidRPr="00EC4DE7">
        <w:rPr>
          <w:bCs/>
          <w:sz w:val="26"/>
          <w:szCs w:val="26"/>
        </w:rPr>
        <w:t>, kas nodrošinātu tiesnešu atlīdzības faktiskās vērtības atbilstību tiesnešu finansiālās drošības prasībām un ietv</w:t>
      </w:r>
      <w:r w:rsidR="008875F5" w:rsidRPr="00EC4DE7">
        <w:rPr>
          <w:bCs/>
          <w:sz w:val="26"/>
          <w:szCs w:val="26"/>
        </w:rPr>
        <w:t>ertu tās saglabāšanas mehānismu.</w:t>
      </w:r>
      <w:r w:rsidRPr="00EC4DE7">
        <w:rPr>
          <w:bCs/>
          <w:sz w:val="26"/>
          <w:szCs w:val="26"/>
        </w:rPr>
        <w:t xml:space="preserve"> </w:t>
      </w:r>
      <w:r w:rsidR="003517A8" w:rsidRPr="00EC4DE7">
        <w:rPr>
          <w:bCs/>
          <w:iCs/>
          <w:sz w:val="26"/>
          <w:szCs w:val="26"/>
        </w:rPr>
        <w:t>Tāpat aktīvi jāiesaistās tiesu darbinieku atalgojuma konkurētspējas panākšanā, ņemot vērā to, ka tiesu sistēmas efektīva funkcionēšana nav iespējama bez kvalitat</w:t>
      </w:r>
      <w:r w:rsidR="00BA327E" w:rsidRPr="00EC4DE7">
        <w:rPr>
          <w:bCs/>
          <w:iCs/>
          <w:sz w:val="26"/>
          <w:szCs w:val="26"/>
        </w:rPr>
        <w:t>īva un noturīga personāla.</w:t>
      </w:r>
    </w:p>
    <w:p w14:paraId="6E1A0358" w14:textId="4759D35D" w:rsidR="00B72E7F" w:rsidRPr="00EC4DE7" w:rsidRDefault="00D02AC7" w:rsidP="007B2B04">
      <w:pPr>
        <w:spacing w:after="120" w:line="276" w:lineRule="auto"/>
        <w:jc w:val="both"/>
        <w:rPr>
          <w:bCs/>
          <w:i/>
          <w:sz w:val="26"/>
          <w:szCs w:val="26"/>
        </w:rPr>
      </w:pPr>
      <w:r w:rsidRPr="00EC4DE7">
        <w:rPr>
          <w:bCs/>
          <w:i/>
          <w:sz w:val="26"/>
          <w:szCs w:val="26"/>
        </w:rPr>
        <w:t>Attiecībā uz Tieslietu padomes un tās darba organizāciju</w:t>
      </w:r>
      <w:r w:rsidRPr="00EC4DE7">
        <w:rPr>
          <w:bCs/>
          <w:sz w:val="26"/>
          <w:szCs w:val="26"/>
        </w:rPr>
        <w:t xml:space="preserve"> jāatzīmē, ka </w:t>
      </w:r>
      <w:r w:rsidR="003E1756" w:rsidRPr="00EC4DE7">
        <w:rPr>
          <w:bCs/>
          <w:sz w:val="26"/>
          <w:szCs w:val="26"/>
        </w:rPr>
        <w:t xml:space="preserve">ir nepieciešams nostiprināt tās pilnvaras, sastāvu un pārvaldību, lai padome spētu būtiski ietekmēt tiesu sistēmas attīstību un kļūt par izšķirošu dalībnieku tiesu varas politikas un stratēģijas attīstībā. </w:t>
      </w:r>
      <w:r w:rsidR="00A70146" w:rsidRPr="00EC4DE7">
        <w:rPr>
          <w:bCs/>
          <w:sz w:val="26"/>
          <w:szCs w:val="26"/>
        </w:rPr>
        <w:t xml:space="preserve">Tieslietu padomes sastāvs pilnībā neatbilst </w:t>
      </w:r>
      <w:r w:rsidR="00062DC4" w:rsidRPr="00EC4DE7">
        <w:rPr>
          <w:bCs/>
          <w:iCs/>
          <w:sz w:val="26"/>
          <w:szCs w:val="26"/>
        </w:rPr>
        <w:t>Eiropas Padomes M</w:t>
      </w:r>
      <w:r w:rsidR="00E65100" w:rsidRPr="00EC4DE7">
        <w:rPr>
          <w:bCs/>
          <w:iCs/>
          <w:sz w:val="26"/>
          <w:szCs w:val="26"/>
        </w:rPr>
        <w:t>inistru komitejas rekomendācijām</w:t>
      </w:r>
      <w:r w:rsidR="00A70146" w:rsidRPr="00EC4DE7">
        <w:rPr>
          <w:bCs/>
          <w:sz w:val="26"/>
          <w:szCs w:val="26"/>
        </w:rPr>
        <w:t>,</w:t>
      </w:r>
      <w:r w:rsidR="00981BA1" w:rsidRPr="00EC4DE7">
        <w:rPr>
          <w:bCs/>
          <w:sz w:val="26"/>
          <w:szCs w:val="26"/>
        </w:rPr>
        <w:t xml:space="preserve"> kas nosaka, ka, </w:t>
      </w:r>
      <w:r w:rsidRPr="00EC4DE7">
        <w:rPr>
          <w:bCs/>
          <w:sz w:val="26"/>
          <w:szCs w:val="26"/>
        </w:rPr>
        <w:t>pārstāvot visus tiesu varas līmeņus un</w:t>
      </w:r>
      <w:r w:rsidR="00670F39" w:rsidRPr="00EC4DE7">
        <w:rPr>
          <w:bCs/>
          <w:sz w:val="26"/>
          <w:szCs w:val="26"/>
        </w:rPr>
        <w:t>, ievērojot plurālismu tiesu sistēmā</w:t>
      </w:r>
      <w:r w:rsidRPr="00EC4DE7">
        <w:rPr>
          <w:bCs/>
          <w:sz w:val="26"/>
          <w:szCs w:val="26"/>
        </w:rPr>
        <w:t xml:space="preserve">, </w:t>
      </w:r>
      <w:r w:rsidR="00A70146" w:rsidRPr="00EC4DE7">
        <w:rPr>
          <w:bCs/>
          <w:sz w:val="26"/>
          <w:szCs w:val="26"/>
        </w:rPr>
        <w:t xml:space="preserve">ne mazāk kā pusei [tieslietu] padomes locekļu jābūt tiesnešiem, kurus izvēlējušies viņu kolēģi. Saskaņā ar pašreizējo sistēmu Latvijā mazāk nekā pusi Tieslietu padomes locekļu ir ievēlējuši kolēģi. Tieslietu padomes </w:t>
      </w:r>
      <w:r w:rsidR="00A70146" w:rsidRPr="00EC4DE7">
        <w:rPr>
          <w:bCs/>
          <w:i/>
          <w:sz w:val="26"/>
          <w:szCs w:val="26"/>
        </w:rPr>
        <w:t xml:space="preserve">ex officio </w:t>
      </w:r>
      <w:r w:rsidR="00A70146" w:rsidRPr="00EC4DE7">
        <w:rPr>
          <w:bCs/>
          <w:sz w:val="26"/>
          <w:szCs w:val="26"/>
        </w:rPr>
        <w:t>dalībnieku skaits ir visai neparasts, tāpat kā fakts, ka šie dalībnieki veido padomes vairākumu</w:t>
      </w:r>
      <w:r w:rsidR="00E153CA" w:rsidRPr="00EC4DE7">
        <w:rPr>
          <w:bCs/>
          <w:sz w:val="26"/>
          <w:szCs w:val="26"/>
        </w:rPr>
        <w:t xml:space="preserve">. </w:t>
      </w:r>
    </w:p>
    <w:p w14:paraId="51816A5B" w14:textId="17043C30" w:rsidR="00BA327E" w:rsidRPr="00EC4DE7" w:rsidRDefault="00981BA1" w:rsidP="007B2B04">
      <w:pPr>
        <w:spacing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>E</w:t>
      </w:r>
      <w:r w:rsidR="00E87C86" w:rsidRPr="00EC4DE7">
        <w:rPr>
          <w:bCs/>
          <w:sz w:val="26"/>
          <w:szCs w:val="26"/>
        </w:rPr>
        <w:t xml:space="preserve">iropas </w:t>
      </w:r>
      <w:r w:rsidRPr="00EC4DE7">
        <w:rPr>
          <w:bCs/>
          <w:sz w:val="26"/>
          <w:szCs w:val="26"/>
        </w:rPr>
        <w:t>S</w:t>
      </w:r>
      <w:r w:rsidR="00E87C86" w:rsidRPr="00EC4DE7">
        <w:rPr>
          <w:bCs/>
          <w:sz w:val="26"/>
          <w:szCs w:val="26"/>
        </w:rPr>
        <w:t>avienības</w:t>
      </w:r>
      <w:r w:rsidRPr="00EC4DE7">
        <w:rPr>
          <w:bCs/>
          <w:sz w:val="26"/>
          <w:szCs w:val="26"/>
        </w:rPr>
        <w:t xml:space="preserve"> līmenī konstatēts, ka </w:t>
      </w:r>
      <w:r w:rsidR="007F6507" w:rsidRPr="00EC4DE7">
        <w:rPr>
          <w:bCs/>
          <w:iCs/>
          <w:sz w:val="26"/>
          <w:szCs w:val="26"/>
        </w:rPr>
        <w:t>Latvijas Tieslietu padomē</w:t>
      </w:r>
      <w:r w:rsidRPr="00EC4DE7">
        <w:rPr>
          <w:bCs/>
          <w:iCs/>
          <w:sz w:val="26"/>
          <w:szCs w:val="26"/>
        </w:rPr>
        <w:t xml:space="preserve"> ir viens no vissliktākajiem nodrošinājumiem E</w:t>
      </w:r>
      <w:r w:rsidR="00E87C86" w:rsidRPr="00EC4DE7">
        <w:rPr>
          <w:bCs/>
          <w:iCs/>
          <w:sz w:val="26"/>
          <w:szCs w:val="26"/>
        </w:rPr>
        <w:t xml:space="preserve">iropas </w:t>
      </w:r>
      <w:r w:rsidRPr="00EC4DE7">
        <w:rPr>
          <w:bCs/>
          <w:iCs/>
          <w:sz w:val="26"/>
          <w:szCs w:val="26"/>
        </w:rPr>
        <w:t>S</w:t>
      </w:r>
      <w:r w:rsidR="00E87C86" w:rsidRPr="00EC4DE7">
        <w:rPr>
          <w:bCs/>
          <w:iCs/>
          <w:sz w:val="26"/>
          <w:szCs w:val="26"/>
        </w:rPr>
        <w:t>avienībā</w:t>
      </w:r>
      <w:r w:rsidRPr="00EC4DE7">
        <w:rPr>
          <w:bCs/>
          <w:iCs/>
          <w:sz w:val="26"/>
          <w:szCs w:val="26"/>
        </w:rPr>
        <w:t>. Turklāt Tiesu administrācija</w:t>
      </w:r>
      <w:r w:rsidR="001B7AFE" w:rsidRPr="00EC4DE7">
        <w:rPr>
          <w:bCs/>
          <w:iCs/>
          <w:sz w:val="26"/>
          <w:szCs w:val="26"/>
        </w:rPr>
        <w:t>,</w:t>
      </w:r>
      <w:r w:rsidRPr="00EC4DE7">
        <w:rPr>
          <w:bCs/>
          <w:iCs/>
          <w:sz w:val="26"/>
          <w:szCs w:val="26"/>
        </w:rPr>
        <w:t xml:space="preserve"> </w:t>
      </w:r>
      <w:r w:rsidRPr="00EC4DE7">
        <w:rPr>
          <w:bCs/>
          <w:sz w:val="26"/>
          <w:szCs w:val="26"/>
        </w:rPr>
        <w:t xml:space="preserve">kuras izveides sākotnējā ideja bija nodrošināt Tieslietu padomes darbu ar izpildinstitūcijas atbalstu, </w:t>
      </w:r>
      <w:r w:rsidRPr="00EC4DE7">
        <w:rPr>
          <w:bCs/>
          <w:iCs/>
          <w:sz w:val="26"/>
          <w:szCs w:val="26"/>
        </w:rPr>
        <w:t>joprojām atrodas Tieslietu mi</w:t>
      </w:r>
      <w:r w:rsidR="00963EBB" w:rsidRPr="00EC4DE7">
        <w:rPr>
          <w:bCs/>
          <w:iCs/>
          <w:sz w:val="26"/>
          <w:szCs w:val="26"/>
        </w:rPr>
        <w:t xml:space="preserve">nistrijas padotībā un kontrolē. </w:t>
      </w:r>
      <w:r w:rsidR="00BA327E" w:rsidRPr="00EC4DE7">
        <w:rPr>
          <w:bCs/>
          <w:sz w:val="26"/>
          <w:szCs w:val="26"/>
        </w:rPr>
        <w:t>Risinot jautājumu par pilnvērtīgas Tieslietu padomes izpildinstitūcijas izveidošan</w:t>
      </w:r>
      <w:r w:rsidR="001B7AFE" w:rsidRPr="00EC4DE7">
        <w:rPr>
          <w:bCs/>
          <w:sz w:val="26"/>
          <w:szCs w:val="26"/>
        </w:rPr>
        <w:t>u</w:t>
      </w:r>
      <w:r w:rsidR="00BA327E" w:rsidRPr="00EC4DE7">
        <w:rPr>
          <w:bCs/>
          <w:sz w:val="26"/>
          <w:szCs w:val="26"/>
        </w:rPr>
        <w:t>, būtu jāizbeidz arī tās institucionālā atkarība no Augstākās tiesas.</w:t>
      </w:r>
      <w:r w:rsidR="00A81B06" w:rsidRPr="00EC4DE7">
        <w:rPr>
          <w:bCs/>
          <w:sz w:val="26"/>
          <w:szCs w:val="26"/>
        </w:rPr>
        <w:t xml:space="preserve"> </w:t>
      </w:r>
      <w:r w:rsidR="0087693E" w:rsidRPr="00EC4DE7">
        <w:rPr>
          <w:bCs/>
          <w:sz w:val="26"/>
          <w:szCs w:val="26"/>
        </w:rPr>
        <w:t>J</w:t>
      </w:r>
      <w:r w:rsidR="00520984" w:rsidRPr="00EC4DE7">
        <w:rPr>
          <w:bCs/>
          <w:sz w:val="26"/>
          <w:szCs w:val="26"/>
        </w:rPr>
        <w:t>āuzsver, ka daudzu šajā stratēģijā definēto mērķu sasniegšana nav iespējama bez sākotnēja progresa Tieslietu padomes institucionālā stiprināšanā.</w:t>
      </w:r>
    </w:p>
    <w:p w14:paraId="72304DE4" w14:textId="52C8B637" w:rsidR="003A1039" w:rsidRDefault="00BA327E" w:rsidP="007B2B04">
      <w:pPr>
        <w:spacing w:before="240"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 xml:space="preserve">Ņemot vērā iepriekš minēto, turpmākajam </w:t>
      </w:r>
      <w:r w:rsidR="00EC4DE7">
        <w:rPr>
          <w:bCs/>
          <w:sz w:val="26"/>
          <w:szCs w:val="26"/>
        </w:rPr>
        <w:t>piecu</w:t>
      </w:r>
      <w:r w:rsidRPr="00EC4DE7">
        <w:rPr>
          <w:bCs/>
          <w:sz w:val="26"/>
          <w:szCs w:val="26"/>
        </w:rPr>
        <w:t xml:space="preserve"> gadu darba periodam Tieslietu padome </w:t>
      </w:r>
      <w:r w:rsidR="003A1039" w:rsidRPr="00EC4DE7">
        <w:rPr>
          <w:bCs/>
          <w:sz w:val="26"/>
          <w:szCs w:val="26"/>
        </w:rPr>
        <w:t>apstiprina šādu stratēģiju 2021.-202</w:t>
      </w:r>
      <w:r w:rsidR="0045068C" w:rsidRPr="00EC4DE7">
        <w:rPr>
          <w:bCs/>
          <w:sz w:val="26"/>
          <w:szCs w:val="26"/>
        </w:rPr>
        <w:t>5</w:t>
      </w:r>
      <w:r w:rsidR="003A1039" w:rsidRPr="00EC4DE7">
        <w:rPr>
          <w:bCs/>
          <w:sz w:val="26"/>
          <w:szCs w:val="26"/>
        </w:rPr>
        <w:t>.</w:t>
      </w:r>
      <w:r w:rsidR="00EC4DE7">
        <w:rPr>
          <w:bCs/>
          <w:sz w:val="26"/>
          <w:szCs w:val="26"/>
        </w:rPr>
        <w:t xml:space="preserve"> </w:t>
      </w:r>
      <w:r w:rsidR="003A1039" w:rsidRPr="00EC4DE7">
        <w:rPr>
          <w:bCs/>
          <w:sz w:val="26"/>
          <w:szCs w:val="26"/>
        </w:rPr>
        <w:t>gadam.</w:t>
      </w:r>
    </w:p>
    <w:p w14:paraId="103B35D3" w14:textId="77777777" w:rsidR="00500754" w:rsidRDefault="00500754" w:rsidP="007B2B04">
      <w:pPr>
        <w:spacing w:before="240" w:after="120" w:line="276" w:lineRule="auto"/>
        <w:jc w:val="both"/>
        <w:rPr>
          <w:bCs/>
          <w:sz w:val="26"/>
          <w:szCs w:val="26"/>
        </w:rPr>
      </w:pPr>
    </w:p>
    <w:p w14:paraId="4A8C8664" w14:textId="77777777" w:rsidR="00500754" w:rsidRDefault="00500754" w:rsidP="007B2B04">
      <w:pPr>
        <w:spacing w:before="240" w:after="120" w:line="276" w:lineRule="auto"/>
        <w:jc w:val="both"/>
        <w:rPr>
          <w:bCs/>
          <w:sz w:val="26"/>
          <w:szCs w:val="26"/>
        </w:rPr>
      </w:pPr>
    </w:p>
    <w:p w14:paraId="0C0C97A7" w14:textId="77777777" w:rsidR="00500754" w:rsidRPr="00EC4DE7" w:rsidRDefault="00500754" w:rsidP="007B2B04">
      <w:pPr>
        <w:spacing w:before="240" w:after="120" w:line="276" w:lineRule="auto"/>
        <w:jc w:val="both"/>
        <w:rPr>
          <w:bCs/>
          <w:sz w:val="26"/>
          <w:szCs w:val="26"/>
        </w:rPr>
      </w:pPr>
    </w:p>
    <w:p w14:paraId="271096FA" w14:textId="777075D3" w:rsidR="00EE75C5" w:rsidRPr="00EC4DE7" w:rsidRDefault="00EE75C5" w:rsidP="007B2B04">
      <w:pPr>
        <w:spacing w:before="240" w:after="120" w:line="276" w:lineRule="auto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lastRenderedPageBreak/>
        <w:t xml:space="preserve">Virsmērķa sasniegšanai Tieslietu padome nosaka šādus mērķus, </w:t>
      </w:r>
      <w:r w:rsidR="00A860C0">
        <w:rPr>
          <w:bCs/>
          <w:sz w:val="26"/>
          <w:szCs w:val="26"/>
        </w:rPr>
        <w:t>darbības virzienus un uzdevumus</w:t>
      </w:r>
      <w:r w:rsidR="00B33FB2">
        <w:rPr>
          <w:bCs/>
          <w:sz w:val="26"/>
          <w:szCs w:val="26"/>
        </w:rPr>
        <w:t>.</w:t>
      </w:r>
    </w:p>
    <w:p w14:paraId="427CC751" w14:textId="77777777" w:rsidR="00EE75C5" w:rsidRPr="007B2B04" w:rsidRDefault="00EE75C5" w:rsidP="007B2B04">
      <w:pPr>
        <w:numPr>
          <w:ilvl w:val="0"/>
          <w:numId w:val="2"/>
        </w:numPr>
        <w:spacing w:before="240" w:after="120" w:line="360" w:lineRule="auto"/>
        <w:ind w:left="709" w:hanging="425"/>
        <w:jc w:val="both"/>
        <w:rPr>
          <w:bCs/>
          <w:i/>
          <w:sz w:val="28"/>
          <w:szCs w:val="28"/>
        </w:rPr>
      </w:pPr>
      <w:r w:rsidRPr="007B2B04">
        <w:rPr>
          <w:b/>
          <w:bCs/>
          <w:sz w:val="28"/>
          <w:szCs w:val="28"/>
        </w:rPr>
        <w:t>Tiesu varas neatkarības stiprināšana</w:t>
      </w:r>
    </w:p>
    <w:p w14:paraId="74880B47" w14:textId="5C0E7E42" w:rsidR="00EE75C5" w:rsidRDefault="00EE75C5" w:rsidP="007B2B04">
      <w:p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 xml:space="preserve">Mērķis: </w:t>
      </w:r>
      <w:r w:rsidR="00E153CA" w:rsidRPr="00EC4DE7">
        <w:rPr>
          <w:bCs/>
          <w:sz w:val="26"/>
          <w:szCs w:val="26"/>
        </w:rPr>
        <w:t>veicināta</w:t>
      </w:r>
      <w:r w:rsidRPr="00EC4DE7">
        <w:rPr>
          <w:bCs/>
          <w:sz w:val="26"/>
          <w:szCs w:val="26"/>
        </w:rPr>
        <w:t xml:space="preserve"> tiesu varas neatkarība no izpildvaras un attīstīt</w:t>
      </w:r>
      <w:r w:rsidR="00E153CA" w:rsidRPr="00EC4DE7">
        <w:rPr>
          <w:bCs/>
          <w:sz w:val="26"/>
          <w:szCs w:val="26"/>
        </w:rPr>
        <w:t>as</w:t>
      </w:r>
      <w:r w:rsidRPr="00EC4DE7">
        <w:rPr>
          <w:bCs/>
          <w:sz w:val="26"/>
          <w:szCs w:val="26"/>
        </w:rPr>
        <w:t xml:space="preserve"> neatkarības </w:t>
      </w:r>
      <w:r w:rsidR="00E153CA" w:rsidRPr="00EC4DE7">
        <w:rPr>
          <w:bCs/>
          <w:sz w:val="26"/>
          <w:szCs w:val="26"/>
        </w:rPr>
        <w:t>garantijas</w:t>
      </w:r>
      <w:r w:rsidRPr="00EC4DE7">
        <w:rPr>
          <w:bCs/>
          <w:sz w:val="26"/>
          <w:szCs w:val="26"/>
        </w:rPr>
        <w:t>. Šā mērķa īstenošanai tiek noteikti šādi galvenie uzdevumi:</w:t>
      </w:r>
    </w:p>
    <w:p w14:paraId="7A270C48" w14:textId="48974151" w:rsidR="00E93AB5" w:rsidRPr="00C12635" w:rsidRDefault="00E6799C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C12635">
        <w:rPr>
          <w:bCs/>
          <w:iCs/>
          <w:sz w:val="26"/>
          <w:szCs w:val="26"/>
        </w:rPr>
        <w:t>p</w:t>
      </w:r>
      <w:r w:rsidR="00BF3566" w:rsidRPr="00C12635">
        <w:rPr>
          <w:bCs/>
          <w:iCs/>
          <w:sz w:val="26"/>
          <w:szCs w:val="26"/>
        </w:rPr>
        <w:t>anākt tiesu kā konstitucionāla orgāna fiskālo neatkarību, kā</w:t>
      </w:r>
      <w:r w:rsidRPr="00C12635">
        <w:rPr>
          <w:bCs/>
          <w:iCs/>
          <w:sz w:val="26"/>
          <w:szCs w:val="26"/>
        </w:rPr>
        <w:t>da tā</w:t>
      </w:r>
      <w:r w:rsidR="00BF3566" w:rsidRPr="00C12635">
        <w:rPr>
          <w:bCs/>
          <w:iCs/>
          <w:sz w:val="26"/>
          <w:szCs w:val="26"/>
        </w:rPr>
        <w:t xml:space="preserve"> jau šobrīd pastāv citiem konstitucionālajiem orgāniem;</w:t>
      </w:r>
    </w:p>
    <w:p w14:paraId="0A8956F2" w14:textId="53BAB37A" w:rsidR="00BF3566" w:rsidRPr="00C12635" w:rsidRDefault="00BF3566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C12635">
        <w:rPr>
          <w:bCs/>
          <w:iCs/>
          <w:sz w:val="26"/>
          <w:szCs w:val="26"/>
        </w:rPr>
        <w:t>pārņemt tiesnešu apmācības jautājumu pārziņu no izpildvaras;</w:t>
      </w:r>
    </w:p>
    <w:p w14:paraId="6E51A07E" w14:textId="77777777" w:rsidR="00BF3566" w:rsidRPr="00C12635" w:rsidRDefault="00BF3566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C12635">
        <w:rPr>
          <w:bCs/>
          <w:iCs/>
          <w:sz w:val="26"/>
          <w:szCs w:val="26"/>
        </w:rPr>
        <w:t>stiprināt tiesnešu pašpārvaldes institūcijas un to sadarbību ar Tieslietu padomi;</w:t>
      </w:r>
    </w:p>
    <w:p w14:paraId="51BDA62E" w14:textId="77777777" w:rsidR="00BF3566" w:rsidRPr="00C12635" w:rsidRDefault="00BF3566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C12635">
        <w:rPr>
          <w:bCs/>
          <w:iCs/>
          <w:sz w:val="26"/>
          <w:szCs w:val="26"/>
        </w:rPr>
        <w:t xml:space="preserve">veicināt tiesnešu neatkarības pašnovērtējuma paaugstināšanos; </w:t>
      </w:r>
    </w:p>
    <w:p w14:paraId="5699CBBC" w14:textId="77777777" w:rsidR="00C12635" w:rsidRDefault="00BF3566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BF3566">
        <w:rPr>
          <w:bCs/>
          <w:iCs/>
          <w:sz w:val="26"/>
          <w:szCs w:val="26"/>
        </w:rPr>
        <w:t>strādāt pie tiesu varai piederošo personu profesionālo standartu noteikšanas un attīstīšanas;</w:t>
      </w:r>
    </w:p>
    <w:p w14:paraId="448EE873" w14:textId="330EA443" w:rsidR="00C12635" w:rsidRPr="00C12635" w:rsidRDefault="00BF3566" w:rsidP="00C12635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C12635">
        <w:rPr>
          <w:bCs/>
          <w:iCs/>
          <w:sz w:val="26"/>
          <w:szCs w:val="26"/>
        </w:rPr>
        <w:t>turpināt piedalīties tiesnešu un tiesu darbinieku konkurētspējīgas atlīdzības modeļa izstrādē;</w:t>
      </w:r>
    </w:p>
    <w:p w14:paraId="6FC5524F" w14:textId="53C06299" w:rsidR="006C1A7E" w:rsidRPr="007B2B04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7B2B04">
        <w:rPr>
          <w:bCs/>
          <w:iCs/>
          <w:sz w:val="26"/>
          <w:szCs w:val="26"/>
        </w:rPr>
        <w:t>aktīvi piedalīties tiesu politikas veidošanā un normatīvā regulējuma pilnveidošanā jautājumos, kas tieši ietekmē tiesu sistēmas funkcionēšanu.</w:t>
      </w:r>
    </w:p>
    <w:p w14:paraId="7FF38879" w14:textId="6FE49B3F" w:rsidR="004443ED" w:rsidRPr="007B2B04" w:rsidRDefault="001E029D" w:rsidP="007B2B04">
      <w:pPr>
        <w:numPr>
          <w:ilvl w:val="0"/>
          <w:numId w:val="2"/>
        </w:numPr>
        <w:spacing w:before="240" w:after="120" w:line="360" w:lineRule="auto"/>
        <w:ind w:left="709" w:hanging="425"/>
        <w:jc w:val="both"/>
        <w:rPr>
          <w:b/>
          <w:bCs/>
          <w:sz w:val="28"/>
          <w:szCs w:val="28"/>
        </w:rPr>
      </w:pPr>
      <w:bookmarkStart w:id="1" w:name="_Hlk62461721"/>
      <w:r w:rsidRPr="007B2B04">
        <w:rPr>
          <w:b/>
          <w:bCs/>
          <w:sz w:val="28"/>
          <w:szCs w:val="28"/>
        </w:rPr>
        <w:t>Tieslietu padomes darbības</w:t>
      </w:r>
      <w:r w:rsidR="00C55C0F" w:rsidRPr="007B2B04">
        <w:rPr>
          <w:b/>
          <w:bCs/>
          <w:sz w:val="28"/>
          <w:szCs w:val="28"/>
        </w:rPr>
        <w:t xml:space="preserve"> </w:t>
      </w:r>
      <w:r w:rsidRPr="007B2B04">
        <w:rPr>
          <w:b/>
          <w:bCs/>
          <w:sz w:val="28"/>
          <w:szCs w:val="28"/>
        </w:rPr>
        <w:t>funkcionalitāt</w:t>
      </w:r>
      <w:r w:rsidR="00906EE3" w:rsidRPr="007B2B04">
        <w:rPr>
          <w:b/>
          <w:bCs/>
          <w:sz w:val="28"/>
          <w:szCs w:val="28"/>
        </w:rPr>
        <w:t>es un lomas stiprināšana</w:t>
      </w:r>
    </w:p>
    <w:p w14:paraId="41B06B1F" w14:textId="169373A2" w:rsidR="00F126AD" w:rsidRDefault="00906EE3" w:rsidP="007B2B04">
      <w:pPr>
        <w:spacing w:line="276" w:lineRule="auto"/>
        <w:ind w:left="709" w:hanging="425"/>
        <w:jc w:val="both"/>
        <w:rPr>
          <w:bCs/>
          <w:sz w:val="26"/>
          <w:szCs w:val="26"/>
        </w:rPr>
      </w:pPr>
      <w:r w:rsidRPr="00EC4DE7">
        <w:rPr>
          <w:bCs/>
          <w:iCs/>
          <w:sz w:val="26"/>
          <w:szCs w:val="26"/>
        </w:rPr>
        <w:t>Mērķis: Tieslietu padome ir</w:t>
      </w:r>
      <w:r w:rsidR="00F97A93" w:rsidRPr="00EC4DE7">
        <w:rPr>
          <w:bCs/>
          <w:iCs/>
          <w:sz w:val="26"/>
          <w:szCs w:val="26"/>
        </w:rPr>
        <w:t xml:space="preserve"> respektēts</w:t>
      </w:r>
      <w:r w:rsidRPr="00EC4DE7">
        <w:rPr>
          <w:bCs/>
          <w:iCs/>
          <w:sz w:val="26"/>
          <w:szCs w:val="26"/>
        </w:rPr>
        <w:t xml:space="preserve"> tiesu </w:t>
      </w:r>
      <w:r w:rsidR="00F97A93" w:rsidRPr="00EC4DE7">
        <w:rPr>
          <w:bCs/>
          <w:iCs/>
          <w:sz w:val="26"/>
          <w:szCs w:val="26"/>
        </w:rPr>
        <w:t xml:space="preserve">sistēmas </w:t>
      </w:r>
      <w:r w:rsidRPr="00EC4DE7">
        <w:rPr>
          <w:bCs/>
          <w:iCs/>
          <w:sz w:val="26"/>
          <w:szCs w:val="26"/>
        </w:rPr>
        <w:t>interešu pārstāvi</w:t>
      </w:r>
      <w:r w:rsidR="00265E47" w:rsidRPr="00EC4DE7">
        <w:rPr>
          <w:bCs/>
          <w:iCs/>
          <w:sz w:val="26"/>
          <w:szCs w:val="26"/>
        </w:rPr>
        <w:t>s</w:t>
      </w:r>
      <w:r w:rsidR="00F97A93" w:rsidRPr="00EC4DE7">
        <w:rPr>
          <w:bCs/>
          <w:iCs/>
          <w:sz w:val="26"/>
          <w:szCs w:val="26"/>
        </w:rPr>
        <w:t>, tajā skaitā politikas plānošanas procesā.</w:t>
      </w:r>
      <w:r w:rsidR="008D7E07">
        <w:rPr>
          <w:bCs/>
          <w:sz w:val="26"/>
          <w:szCs w:val="26"/>
        </w:rPr>
        <w:t xml:space="preserve"> </w:t>
      </w:r>
      <w:r w:rsidR="00F126AD" w:rsidRPr="00EC4DE7">
        <w:rPr>
          <w:bCs/>
          <w:sz w:val="26"/>
          <w:szCs w:val="26"/>
        </w:rPr>
        <w:t>Šā mērķa īstenošanai tiek noteikti šādi galvenie uzdevumi:</w:t>
      </w:r>
    </w:p>
    <w:p w14:paraId="77FB3A14" w14:textId="4F93FFDF" w:rsidR="008537B5" w:rsidRP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iCs/>
          <w:sz w:val="26"/>
          <w:szCs w:val="26"/>
        </w:rPr>
        <w:t>uzsākt diskusiju par Tieslietu padomes statusu un funkcijām, it īpaši par nepieciešamību paredzēt Tieslietu padomei likumdošanas iniciatīvu un nostiprināt to Satversmē kā konstitucionālu orgānu;</w:t>
      </w:r>
    </w:p>
    <w:p w14:paraId="572F2145" w14:textId="35E5C5B2" w:rsid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</w:t>
      </w:r>
      <w:r w:rsidR="008537B5" w:rsidRPr="008537B5">
        <w:rPr>
          <w:bCs/>
          <w:sz w:val="26"/>
          <w:szCs w:val="26"/>
        </w:rPr>
        <w:t>zstrādāt un ieviest mehānismus Tieslietu padomes pieņemto lēmumu virzības uzraudzībai</w:t>
      </w:r>
      <w:r>
        <w:rPr>
          <w:bCs/>
          <w:sz w:val="26"/>
          <w:szCs w:val="26"/>
        </w:rPr>
        <w:t>;</w:t>
      </w:r>
    </w:p>
    <w:p w14:paraId="63D8199E" w14:textId="7933DE4C" w:rsid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</w:t>
      </w:r>
      <w:r w:rsidR="008537B5" w:rsidRPr="008537B5">
        <w:rPr>
          <w:bCs/>
          <w:sz w:val="26"/>
          <w:szCs w:val="26"/>
        </w:rPr>
        <w:t>eikt tiesu organizatoriskās vadības funkciju auditu un pārņemt nepieciešamās funkcijas no izpildvaras, atbilstoši attīstot Tieslietu pa</w:t>
      </w:r>
      <w:r>
        <w:rPr>
          <w:bCs/>
          <w:sz w:val="26"/>
          <w:szCs w:val="26"/>
        </w:rPr>
        <w:t>domes administratīvo kapacitāti;</w:t>
      </w:r>
    </w:p>
    <w:p w14:paraId="6A740299" w14:textId="07BDEA98" w:rsid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i</w:t>
      </w:r>
      <w:r w:rsidR="008537B5" w:rsidRPr="008537B5">
        <w:rPr>
          <w:bCs/>
          <w:sz w:val="26"/>
          <w:szCs w:val="26"/>
        </w:rPr>
        <w:t>zskatīt un analizēt Tieslietu padomes sastāva izmaiņu nepieciešamību un iniciēt šādu izmaiņu veikšanu, ja nepieciešams</w:t>
      </w:r>
      <w:r>
        <w:rPr>
          <w:bCs/>
          <w:sz w:val="26"/>
          <w:szCs w:val="26"/>
        </w:rPr>
        <w:t>;</w:t>
      </w:r>
    </w:p>
    <w:p w14:paraId="4378D00B" w14:textId="7085A41F" w:rsidR="008537B5" w:rsidRP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iCs/>
          <w:sz w:val="26"/>
          <w:szCs w:val="26"/>
        </w:rPr>
        <w:t>izsvērt nepieciešamību koriģēt Tieslietu padomes locekļu balsstiesību regulējumu, lai lēmumu pieņemšana par tiesnešu karjeras virzību būtu tikai tiesnešu pārziņā;</w:t>
      </w:r>
    </w:p>
    <w:p w14:paraId="6A6F855C" w14:textId="1B16C990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izvērtēt risinājumus, lai veicinātu tiesnešu pilnvērtīgu iesaisti Tieslietu padomes un</w:t>
      </w:r>
      <w:r w:rsidR="00C56BF3">
        <w:rPr>
          <w:bCs/>
          <w:sz w:val="26"/>
          <w:szCs w:val="26"/>
        </w:rPr>
        <w:t xml:space="preserve"> pašpārvaldes institūciju darbā;</w:t>
      </w:r>
    </w:p>
    <w:p w14:paraId="3669903F" w14:textId="31C7BE7B" w:rsidR="00F126AD" w:rsidRPr="007B2B04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iCs/>
          <w:sz w:val="26"/>
          <w:szCs w:val="26"/>
        </w:rPr>
      </w:pPr>
      <w:r w:rsidRPr="008537B5">
        <w:rPr>
          <w:bCs/>
          <w:iCs/>
          <w:sz w:val="26"/>
          <w:szCs w:val="26"/>
        </w:rPr>
        <w:t xml:space="preserve">attīstīt Tieslietu padomes starptautisko sadarbību, aktīvi darbojoties Eiropas Tieslietu padomju asociācijā un regulāri izvērtējot Eiropas Savienības valstu </w:t>
      </w:r>
      <w:r w:rsidRPr="008537B5">
        <w:rPr>
          <w:bCs/>
          <w:iCs/>
          <w:sz w:val="26"/>
          <w:szCs w:val="26"/>
        </w:rPr>
        <w:lastRenderedPageBreak/>
        <w:t>pieredzi tiesu sistēmu darbības efektivizēšanā, kā arī sekmēt sadarbību un pieredzes apmaiņu ar citu Eiropas Savienības dalībvalstu Tieslietu padomēm.</w:t>
      </w:r>
    </w:p>
    <w:bookmarkEnd w:id="1"/>
    <w:p w14:paraId="77095CD1" w14:textId="5EC27E38" w:rsidR="00906EE3" w:rsidRPr="007B2B04" w:rsidRDefault="001E029D" w:rsidP="007B2B04">
      <w:pPr>
        <w:numPr>
          <w:ilvl w:val="0"/>
          <w:numId w:val="2"/>
        </w:numPr>
        <w:spacing w:before="240" w:after="120" w:line="360" w:lineRule="auto"/>
        <w:ind w:left="709" w:hanging="425"/>
        <w:jc w:val="both"/>
        <w:rPr>
          <w:b/>
          <w:bCs/>
          <w:sz w:val="28"/>
          <w:szCs w:val="28"/>
        </w:rPr>
      </w:pPr>
      <w:r w:rsidRPr="007B2B04">
        <w:rPr>
          <w:b/>
          <w:bCs/>
          <w:sz w:val="28"/>
          <w:szCs w:val="28"/>
        </w:rPr>
        <w:t xml:space="preserve">Efektīva </w:t>
      </w:r>
      <w:r w:rsidR="00F1304F" w:rsidRPr="007B2B04">
        <w:rPr>
          <w:b/>
          <w:bCs/>
          <w:sz w:val="28"/>
          <w:szCs w:val="28"/>
        </w:rPr>
        <w:t xml:space="preserve">un kvalitatīva </w:t>
      </w:r>
      <w:r w:rsidRPr="007B2B04">
        <w:rPr>
          <w:b/>
          <w:bCs/>
          <w:sz w:val="28"/>
          <w:szCs w:val="28"/>
        </w:rPr>
        <w:t xml:space="preserve">tiesu vara </w:t>
      </w:r>
    </w:p>
    <w:p w14:paraId="1DF712C9" w14:textId="5072F28F" w:rsidR="00906EE3" w:rsidRPr="00EC4DE7" w:rsidRDefault="00906EE3" w:rsidP="00500754">
      <w:pPr>
        <w:pStyle w:val="Default"/>
        <w:ind w:left="709" w:hanging="425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</w:rPr>
      </w:pPr>
      <w:r w:rsidRPr="00EC4DE7">
        <w:rPr>
          <w:rFonts w:ascii="Times New Roman" w:eastAsia="Calibri" w:hAnsi="Times New Roman" w:cs="Times New Roman"/>
          <w:bCs/>
          <w:color w:val="auto"/>
          <w:sz w:val="26"/>
          <w:szCs w:val="26"/>
        </w:rPr>
        <w:t xml:space="preserve">Mērķis: </w:t>
      </w:r>
      <w:r w:rsidR="00540154" w:rsidRPr="00EC4DE7">
        <w:rPr>
          <w:rFonts w:ascii="Times New Roman" w:eastAsia="Calibri" w:hAnsi="Times New Roman" w:cs="Times New Roman"/>
          <w:bCs/>
          <w:color w:val="auto"/>
          <w:sz w:val="26"/>
          <w:szCs w:val="26"/>
        </w:rPr>
        <w:t xml:space="preserve">Efektīva, ērta, savlaicīga, sabiedrībai saprotama un pieejama tiesu sistēma. </w:t>
      </w:r>
    </w:p>
    <w:p w14:paraId="17F7E01F" w14:textId="104EEF21" w:rsidR="00BD722F" w:rsidRDefault="00A42099" w:rsidP="00500754">
      <w:pPr>
        <w:spacing w:after="120" w:line="360" w:lineRule="auto"/>
        <w:ind w:left="709" w:hanging="425"/>
        <w:jc w:val="both"/>
        <w:rPr>
          <w:bCs/>
          <w:sz w:val="26"/>
          <w:szCs w:val="26"/>
        </w:rPr>
      </w:pPr>
      <w:r w:rsidRPr="00EC4DE7">
        <w:rPr>
          <w:bCs/>
          <w:sz w:val="26"/>
          <w:szCs w:val="26"/>
        </w:rPr>
        <w:t>Šā</w:t>
      </w:r>
      <w:r w:rsidR="00BD722F" w:rsidRPr="00EC4DE7">
        <w:rPr>
          <w:bCs/>
          <w:sz w:val="26"/>
          <w:szCs w:val="26"/>
        </w:rPr>
        <w:t xml:space="preserve"> mērķa īstenošanai Tieslietu padome prioritāri pievērsīsies šādiem uzdevumiem:</w:t>
      </w:r>
    </w:p>
    <w:p w14:paraId="43ADC2D5" w14:textId="1D6B9C4C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 xml:space="preserve">apzināt spriedumu kvalitātes nodrošināšanai un pastāvīgai uzlabošanai būtiskos faktorus un sniegt redzējumu </w:t>
      </w:r>
      <w:r w:rsidR="00C56BF3">
        <w:rPr>
          <w:bCs/>
          <w:sz w:val="26"/>
          <w:szCs w:val="26"/>
        </w:rPr>
        <w:t>par problēmsituāciju risinājumu;</w:t>
      </w:r>
    </w:p>
    <w:p w14:paraId="35C894B3" w14:textId="5CBB568E" w:rsid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</w:t>
      </w:r>
      <w:r w:rsidR="008537B5" w:rsidRPr="008537B5">
        <w:rPr>
          <w:bCs/>
          <w:sz w:val="26"/>
          <w:szCs w:val="26"/>
        </w:rPr>
        <w:t>astāvīgi uzraudzīt un izvērtēt lietu izskatīšanas termiņus un tiesu sistēmas resursu pietiekamību saprātīgu tiesvedības termiņu nodrošināšanai</w:t>
      </w:r>
      <w:r>
        <w:rPr>
          <w:bCs/>
          <w:sz w:val="26"/>
          <w:szCs w:val="26"/>
        </w:rPr>
        <w:t>;</w:t>
      </w:r>
    </w:p>
    <w:p w14:paraId="61A53498" w14:textId="19F463A0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iCs/>
          <w:sz w:val="26"/>
          <w:szCs w:val="26"/>
        </w:rPr>
        <w:t xml:space="preserve">vērtēt tiesu sistēmas darba efektivitāti un piekļuves tiesām garantiju ievērošanu, it īpaši pievēršoties </w:t>
      </w:r>
      <w:r w:rsidRPr="008537B5">
        <w:rPr>
          <w:bCs/>
          <w:sz w:val="26"/>
          <w:szCs w:val="26"/>
        </w:rPr>
        <w:t>tiesu teritoriālās reformas rezultātiem un tās ietekmei uz tiesu sistēmas darbību, kā arī tālāku soļu nepieciešamībai</w:t>
      </w:r>
      <w:r w:rsidR="00C56BF3">
        <w:rPr>
          <w:bCs/>
          <w:sz w:val="26"/>
          <w:szCs w:val="26"/>
        </w:rPr>
        <w:t>;</w:t>
      </w:r>
    </w:p>
    <w:p w14:paraId="417ACA89" w14:textId="13E11C56" w:rsid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r</w:t>
      </w:r>
      <w:r w:rsidR="008537B5" w:rsidRPr="008537B5">
        <w:rPr>
          <w:bCs/>
          <w:sz w:val="26"/>
          <w:szCs w:val="26"/>
        </w:rPr>
        <w:t>osināt diskusiju par tiesnešu kārtējās novērtēšanas procesa pilnveidošanu, nodrošināt vispusīgāku un objektīvāku vērtēšanu;</w:t>
      </w:r>
    </w:p>
    <w:p w14:paraId="05B39C0E" w14:textId="1B6644AF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veicināt tiesu sistēmas darbu atvieglojošus digitalizācijas procesus;</w:t>
      </w:r>
    </w:p>
    <w:p w14:paraId="0394AB36" w14:textId="6215128C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attīstīt tiesnešu specializācijas standartus;</w:t>
      </w:r>
    </w:p>
    <w:p w14:paraId="67FFA6A0" w14:textId="1908FEFD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proaktīvi veicināt problēmu apzināšanu tiesu sistēmā;</w:t>
      </w:r>
    </w:p>
    <w:p w14:paraId="4F0B8B7F" w14:textId="18B14A23" w:rsidR="008537B5" w:rsidRDefault="008537B5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nodrošināt saikni ar tiesu priekšsēdētājiem;</w:t>
      </w:r>
    </w:p>
    <w:p w14:paraId="3676C40A" w14:textId="3A20FBAD" w:rsidR="008537B5" w:rsidRPr="008537B5" w:rsidRDefault="00C56BF3" w:rsidP="0050075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</w:t>
      </w:r>
      <w:r w:rsidR="008537B5" w:rsidRPr="008537B5">
        <w:rPr>
          <w:bCs/>
          <w:sz w:val="26"/>
          <w:szCs w:val="26"/>
        </w:rPr>
        <w:t>eicināt vienotas tiesu darbinieku vērtēšanas metodikas un tai piesaistītas vienotas atlīdzības sistēmas izveidošanu</w:t>
      </w:r>
      <w:r>
        <w:rPr>
          <w:bCs/>
          <w:sz w:val="26"/>
          <w:szCs w:val="26"/>
        </w:rPr>
        <w:t>.</w:t>
      </w:r>
    </w:p>
    <w:p w14:paraId="4AE9F528" w14:textId="3BE9B42D" w:rsidR="001E029D" w:rsidRPr="007B2B04" w:rsidRDefault="001E029D" w:rsidP="007B2B04">
      <w:pPr>
        <w:numPr>
          <w:ilvl w:val="0"/>
          <w:numId w:val="2"/>
        </w:numPr>
        <w:spacing w:before="240" w:after="120" w:line="360" w:lineRule="auto"/>
        <w:ind w:left="709" w:hanging="425"/>
        <w:jc w:val="both"/>
        <w:rPr>
          <w:b/>
          <w:bCs/>
          <w:sz w:val="28"/>
          <w:szCs w:val="28"/>
        </w:rPr>
      </w:pPr>
      <w:r w:rsidRPr="007B2B04">
        <w:rPr>
          <w:b/>
          <w:bCs/>
          <w:sz w:val="28"/>
          <w:szCs w:val="28"/>
        </w:rPr>
        <w:t>Sabiedrības uzticība</w:t>
      </w:r>
      <w:r w:rsidR="0040403C" w:rsidRPr="007B2B04">
        <w:rPr>
          <w:b/>
          <w:bCs/>
          <w:sz w:val="28"/>
          <w:szCs w:val="28"/>
        </w:rPr>
        <w:t>s</w:t>
      </w:r>
      <w:r w:rsidRPr="007B2B04">
        <w:rPr>
          <w:b/>
          <w:bCs/>
          <w:sz w:val="28"/>
          <w:szCs w:val="28"/>
        </w:rPr>
        <w:t xml:space="preserve"> tiesu varai</w:t>
      </w:r>
      <w:r w:rsidR="0040403C" w:rsidRPr="007B2B04">
        <w:rPr>
          <w:b/>
          <w:bCs/>
          <w:sz w:val="28"/>
          <w:szCs w:val="28"/>
        </w:rPr>
        <w:t xml:space="preserve"> veicināšana</w:t>
      </w:r>
    </w:p>
    <w:p w14:paraId="0CAEBE5E" w14:textId="77777777" w:rsidR="00A860C0" w:rsidRPr="00A860C0" w:rsidRDefault="00906EE3" w:rsidP="007B2B04">
      <w:p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M</w:t>
      </w:r>
      <w:r w:rsidR="006C7797" w:rsidRPr="008537B5">
        <w:rPr>
          <w:bCs/>
          <w:sz w:val="26"/>
          <w:szCs w:val="26"/>
        </w:rPr>
        <w:t>ērķi</w:t>
      </w:r>
      <w:r w:rsidRPr="008537B5">
        <w:rPr>
          <w:bCs/>
          <w:sz w:val="26"/>
          <w:szCs w:val="26"/>
        </w:rPr>
        <w:t>s:</w:t>
      </w:r>
      <w:r w:rsidR="006C7797" w:rsidRPr="008537B5">
        <w:rPr>
          <w:bCs/>
          <w:sz w:val="26"/>
          <w:szCs w:val="26"/>
        </w:rPr>
        <w:t xml:space="preserve"> </w:t>
      </w:r>
      <w:r w:rsidR="00366165" w:rsidRPr="008537B5">
        <w:rPr>
          <w:bCs/>
          <w:sz w:val="26"/>
          <w:szCs w:val="26"/>
        </w:rPr>
        <w:t xml:space="preserve">nodrošināta </w:t>
      </w:r>
      <w:r w:rsidR="00355FE9" w:rsidRPr="008537B5">
        <w:rPr>
          <w:bCs/>
          <w:sz w:val="26"/>
          <w:szCs w:val="26"/>
        </w:rPr>
        <w:t>sabiedrības izpratn</w:t>
      </w:r>
      <w:r w:rsidR="00366165" w:rsidRPr="008537B5">
        <w:rPr>
          <w:bCs/>
          <w:sz w:val="26"/>
          <w:szCs w:val="26"/>
        </w:rPr>
        <w:t>e</w:t>
      </w:r>
      <w:r w:rsidR="00355FE9" w:rsidRPr="008537B5">
        <w:rPr>
          <w:bCs/>
          <w:sz w:val="26"/>
          <w:szCs w:val="26"/>
        </w:rPr>
        <w:t xml:space="preserve"> par tiesu varu un</w:t>
      </w:r>
      <w:r w:rsidR="00366165" w:rsidRPr="008537B5">
        <w:rPr>
          <w:bCs/>
          <w:sz w:val="26"/>
          <w:szCs w:val="26"/>
        </w:rPr>
        <w:t xml:space="preserve"> palielināta sabiedrības </w:t>
      </w:r>
      <w:r w:rsidR="00355FE9" w:rsidRPr="008537B5">
        <w:rPr>
          <w:bCs/>
          <w:sz w:val="26"/>
          <w:szCs w:val="26"/>
        </w:rPr>
        <w:t>uzticīb</w:t>
      </w:r>
      <w:r w:rsidR="00366165" w:rsidRPr="008537B5">
        <w:rPr>
          <w:bCs/>
          <w:sz w:val="26"/>
          <w:szCs w:val="26"/>
        </w:rPr>
        <w:t>a</w:t>
      </w:r>
      <w:r w:rsidR="00355FE9" w:rsidRPr="008537B5">
        <w:rPr>
          <w:bCs/>
          <w:sz w:val="26"/>
          <w:szCs w:val="26"/>
        </w:rPr>
        <w:t xml:space="preserve"> tai</w:t>
      </w:r>
      <w:r w:rsidRPr="008537B5">
        <w:rPr>
          <w:bCs/>
          <w:sz w:val="26"/>
          <w:szCs w:val="26"/>
        </w:rPr>
        <w:t>.</w:t>
      </w:r>
      <w:r w:rsidR="00A860C0" w:rsidRPr="00A860C0">
        <w:rPr>
          <w:bCs/>
          <w:sz w:val="26"/>
          <w:szCs w:val="26"/>
        </w:rPr>
        <w:t xml:space="preserve"> Šā mērķa īstenošanai tiek noteikti šādi galvenie uzdevumi:</w:t>
      </w:r>
    </w:p>
    <w:p w14:paraId="06CAD8E0" w14:textId="3F76559B" w:rsidR="008537B5" w:rsidRPr="00A860C0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A860C0">
        <w:rPr>
          <w:bCs/>
          <w:sz w:val="26"/>
          <w:szCs w:val="26"/>
        </w:rPr>
        <w:t>veidot dialogu starp tiesām un sabiedrību, skaidrojot tiesu varas aktualitātes Eiropas tiesiskajā telpā;</w:t>
      </w:r>
    </w:p>
    <w:p w14:paraId="610186A6" w14:textId="77777777" w:rsidR="008537B5" w:rsidRPr="008537B5" w:rsidRDefault="008537B5" w:rsidP="007B2B04">
      <w:pPr>
        <w:pStyle w:val="ListParagraph"/>
        <w:numPr>
          <w:ilvl w:val="1"/>
          <w:numId w:val="2"/>
        </w:numPr>
        <w:spacing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veicināt tiesu sistēmas komunikācijas stratēģijas uzdevumu izpildi un vienoto komunikācijas principu ievērošanu tiesu varas institūcijās;</w:t>
      </w:r>
    </w:p>
    <w:p w14:paraId="4EB2E979" w14:textId="15E62538" w:rsidR="008537B5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attīstīt tiesu varas pārstāvju prasmes sniegt saprotamu, konkrētu un savlaicīgu informāciju par tiesu varas aktualitātēm</w:t>
      </w:r>
      <w:r>
        <w:rPr>
          <w:bCs/>
          <w:sz w:val="26"/>
          <w:szCs w:val="26"/>
        </w:rPr>
        <w:t>;</w:t>
      </w:r>
    </w:p>
    <w:p w14:paraId="61A1B2A9" w14:textId="60FAF06B" w:rsidR="008537B5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izglītot sabiedrību, sniegt informāciju par norisēm tiesu sistēmā</w:t>
      </w:r>
      <w:r>
        <w:rPr>
          <w:bCs/>
          <w:sz w:val="26"/>
          <w:szCs w:val="26"/>
        </w:rPr>
        <w:t>;</w:t>
      </w:r>
    </w:p>
    <w:p w14:paraId="30C06BF9" w14:textId="317CDE87" w:rsidR="008537B5" w:rsidRDefault="008537B5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8537B5">
        <w:rPr>
          <w:bCs/>
          <w:sz w:val="26"/>
          <w:szCs w:val="26"/>
        </w:rPr>
        <w:t>periodiski veikt izvērtējumu par sabiedrības uzticību tiesu varai un attieksmi pret tiesu sistēmu un tiesu darbu</w:t>
      </w:r>
      <w:r w:rsidR="00A860C0">
        <w:rPr>
          <w:bCs/>
          <w:sz w:val="26"/>
          <w:szCs w:val="26"/>
        </w:rPr>
        <w:t>;</w:t>
      </w:r>
    </w:p>
    <w:p w14:paraId="17264049" w14:textId="278A6E93" w:rsidR="00A860C0" w:rsidRDefault="00A860C0" w:rsidP="007B2B04">
      <w:pPr>
        <w:pStyle w:val="ListParagraph"/>
        <w:numPr>
          <w:ilvl w:val="1"/>
          <w:numId w:val="2"/>
        </w:numPr>
        <w:spacing w:after="120" w:line="276" w:lineRule="auto"/>
        <w:ind w:left="709" w:hanging="425"/>
        <w:jc w:val="both"/>
        <w:rPr>
          <w:bCs/>
          <w:sz w:val="26"/>
          <w:szCs w:val="26"/>
        </w:rPr>
      </w:pPr>
      <w:r w:rsidRPr="00A860C0">
        <w:rPr>
          <w:bCs/>
          <w:sz w:val="26"/>
          <w:szCs w:val="26"/>
        </w:rPr>
        <w:t>pastāvīgi uzturēt dialogu ar konstitucionālajiem orgāniem un informēt sabiedrību par tā gaitu</w:t>
      </w:r>
      <w:r>
        <w:rPr>
          <w:bCs/>
          <w:sz w:val="26"/>
          <w:szCs w:val="26"/>
        </w:rPr>
        <w:t>.</w:t>
      </w:r>
    </w:p>
    <w:sectPr w:rsidR="00A860C0" w:rsidSect="007B2B04">
      <w:footerReference w:type="default" r:id="rId8"/>
      <w:pgSz w:w="11906" w:h="16838"/>
      <w:pgMar w:top="1418" w:right="1416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62F1" w14:textId="77777777" w:rsidR="00407C6E" w:rsidRDefault="00407C6E" w:rsidP="00444D85">
      <w:r>
        <w:separator/>
      </w:r>
    </w:p>
  </w:endnote>
  <w:endnote w:type="continuationSeparator" w:id="0">
    <w:p w14:paraId="5C97A26D" w14:textId="77777777" w:rsidR="00407C6E" w:rsidRDefault="00407C6E" w:rsidP="0044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190102"/>
      <w:docPartObj>
        <w:docPartGallery w:val="Page Numbers (Bottom of Page)"/>
        <w:docPartUnique/>
      </w:docPartObj>
    </w:sdtPr>
    <w:sdtEndPr/>
    <w:sdtContent>
      <w:p w14:paraId="575FEC33" w14:textId="7FDB9684" w:rsidR="002A1641" w:rsidRDefault="0085203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2B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53978" w14:textId="77777777" w:rsidR="002A1641" w:rsidRDefault="002A1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66BD5" w14:textId="77777777" w:rsidR="00407C6E" w:rsidRDefault="00407C6E" w:rsidP="00444D85">
      <w:r>
        <w:separator/>
      </w:r>
    </w:p>
  </w:footnote>
  <w:footnote w:type="continuationSeparator" w:id="0">
    <w:p w14:paraId="69027E60" w14:textId="77777777" w:rsidR="00407C6E" w:rsidRDefault="00407C6E" w:rsidP="0044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47DD"/>
    <w:multiLevelType w:val="hybridMultilevel"/>
    <w:tmpl w:val="6B646808"/>
    <w:lvl w:ilvl="0" w:tplc="7CCAC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561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8A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2C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21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6F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CE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05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C68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080596"/>
    <w:multiLevelType w:val="hybridMultilevel"/>
    <w:tmpl w:val="EB7CB6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8EF"/>
    <w:multiLevelType w:val="hybridMultilevel"/>
    <w:tmpl w:val="ECCCDA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BF3"/>
    <w:multiLevelType w:val="hybridMultilevel"/>
    <w:tmpl w:val="4A3684E4"/>
    <w:lvl w:ilvl="0" w:tplc="BE08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63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AD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25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89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C6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09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ED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0F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C32CE3"/>
    <w:multiLevelType w:val="hybridMultilevel"/>
    <w:tmpl w:val="7930C0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5BF5"/>
    <w:multiLevelType w:val="hybridMultilevel"/>
    <w:tmpl w:val="2D103B04"/>
    <w:lvl w:ilvl="0" w:tplc="042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23F81882"/>
    <w:multiLevelType w:val="hybridMultilevel"/>
    <w:tmpl w:val="91084A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23C07"/>
    <w:multiLevelType w:val="multilevel"/>
    <w:tmpl w:val="C810A4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91135E5"/>
    <w:multiLevelType w:val="hybridMultilevel"/>
    <w:tmpl w:val="92925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6E24"/>
    <w:multiLevelType w:val="hybridMultilevel"/>
    <w:tmpl w:val="8EA49A7A"/>
    <w:lvl w:ilvl="0" w:tplc="3F203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C5408"/>
    <w:multiLevelType w:val="hybridMultilevel"/>
    <w:tmpl w:val="E904CC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7246E"/>
    <w:multiLevelType w:val="hybridMultilevel"/>
    <w:tmpl w:val="8788031E"/>
    <w:lvl w:ilvl="0" w:tplc="E9A2A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C3FFA"/>
    <w:multiLevelType w:val="hybridMultilevel"/>
    <w:tmpl w:val="94CE3B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476"/>
    <w:multiLevelType w:val="hybridMultilevel"/>
    <w:tmpl w:val="31AE6EF4"/>
    <w:lvl w:ilvl="0" w:tplc="CC3816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53EF7"/>
    <w:multiLevelType w:val="multilevel"/>
    <w:tmpl w:val="86B8A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1586111"/>
    <w:multiLevelType w:val="hybridMultilevel"/>
    <w:tmpl w:val="384C4A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46DA8"/>
    <w:multiLevelType w:val="hybridMultilevel"/>
    <w:tmpl w:val="0708FA6E"/>
    <w:lvl w:ilvl="0" w:tplc="CC3816A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A51807"/>
    <w:multiLevelType w:val="hybridMultilevel"/>
    <w:tmpl w:val="FE7A35A0"/>
    <w:lvl w:ilvl="0" w:tplc="C01A2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980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B6B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E0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66F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EE5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8F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87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C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822169"/>
    <w:multiLevelType w:val="hybridMultilevel"/>
    <w:tmpl w:val="7D12A7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85020"/>
    <w:multiLevelType w:val="hybridMultilevel"/>
    <w:tmpl w:val="5AD87D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C6744"/>
    <w:multiLevelType w:val="hybridMultilevel"/>
    <w:tmpl w:val="E632937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E0966"/>
    <w:multiLevelType w:val="hybridMultilevel"/>
    <w:tmpl w:val="9836C1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667D1"/>
    <w:multiLevelType w:val="hybridMultilevel"/>
    <w:tmpl w:val="466AA4F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354EC"/>
    <w:multiLevelType w:val="hybridMultilevel"/>
    <w:tmpl w:val="4CB08FCE"/>
    <w:lvl w:ilvl="0" w:tplc="04260001">
      <w:start w:val="1"/>
      <w:numFmt w:val="bullet"/>
      <w:lvlText w:val=""/>
      <w:lvlJc w:val="left"/>
      <w:pPr>
        <w:ind w:left="-10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3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6"/>
  </w:num>
  <w:num w:numId="10">
    <w:abstractNumId w:val="9"/>
  </w:num>
  <w:num w:numId="11">
    <w:abstractNumId w:val="17"/>
  </w:num>
  <w:num w:numId="12">
    <w:abstractNumId w:val="14"/>
  </w:num>
  <w:num w:numId="13">
    <w:abstractNumId w:val="22"/>
  </w:num>
  <w:num w:numId="14">
    <w:abstractNumId w:val="6"/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2"/>
  </w:num>
  <w:num w:numId="19">
    <w:abstractNumId w:val="8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D"/>
    <w:rsid w:val="000121A6"/>
    <w:rsid w:val="00017B26"/>
    <w:rsid w:val="00062DC4"/>
    <w:rsid w:val="00067EF5"/>
    <w:rsid w:val="00097417"/>
    <w:rsid w:val="000B1849"/>
    <w:rsid w:val="000D6B7F"/>
    <w:rsid w:val="000D7DA8"/>
    <w:rsid w:val="00105138"/>
    <w:rsid w:val="00107231"/>
    <w:rsid w:val="0011667E"/>
    <w:rsid w:val="0013718B"/>
    <w:rsid w:val="00154828"/>
    <w:rsid w:val="001609EE"/>
    <w:rsid w:val="001820D0"/>
    <w:rsid w:val="001823E1"/>
    <w:rsid w:val="0019799A"/>
    <w:rsid w:val="001B3AB4"/>
    <w:rsid w:val="001B3B2E"/>
    <w:rsid w:val="001B7AFE"/>
    <w:rsid w:val="001E029D"/>
    <w:rsid w:val="001F61E2"/>
    <w:rsid w:val="00212B05"/>
    <w:rsid w:val="00214FE1"/>
    <w:rsid w:val="00222020"/>
    <w:rsid w:val="002630AD"/>
    <w:rsid w:val="002630DB"/>
    <w:rsid w:val="00265E47"/>
    <w:rsid w:val="00271D27"/>
    <w:rsid w:val="00274405"/>
    <w:rsid w:val="002817C9"/>
    <w:rsid w:val="002A1641"/>
    <w:rsid w:val="002A2A23"/>
    <w:rsid w:val="002A62BD"/>
    <w:rsid w:val="002B0124"/>
    <w:rsid w:val="002B211A"/>
    <w:rsid w:val="002B774D"/>
    <w:rsid w:val="002C27A1"/>
    <w:rsid w:val="002D59B0"/>
    <w:rsid w:val="002D600C"/>
    <w:rsid w:val="002F4921"/>
    <w:rsid w:val="003115C8"/>
    <w:rsid w:val="00330A45"/>
    <w:rsid w:val="003449E8"/>
    <w:rsid w:val="003517A8"/>
    <w:rsid w:val="00355FE9"/>
    <w:rsid w:val="00366165"/>
    <w:rsid w:val="00375B58"/>
    <w:rsid w:val="003A1039"/>
    <w:rsid w:val="003A1DFC"/>
    <w:rsid w:val="003A6597"/>
    <w:rsid w:val="003B40E7"/>
    <w:rsid w:val="003B48A1"/>
    <w:rsid w:val="003B5439"/>
    <w:rsid w:val="003D46BC"/>
    <w:rsid w:val="003D4B5E"/>
    <w:rsid w:val="003E1756"/>
    <w:rsid w:val="003F385D"/>
    <w:rsid w:val="0040403C"/>
    <w:rsid w:val="00407C6E"/>
    <w:rsid w:val="00427CFE"/>
    <w:rsid w:val="004443ED"/>
    <w:rsid w:val="00444D85"/>
    <w:rsid w:val="0045068C"/>
    <w:rsid w:val="00467483"/>
    <w:rsid w:val="0047121E"/>
    <w:rsid w:val="004822FA"/>
    <w:rsid w:val="00495056"/>
    <w:rsid w:val="004A73BE"/>
    <w:rsid w:val="004C1556"/>
    <w:rsid w:val="004D0662"/>
    <w:rsid w:val="004D174A"/>
    <w:rsid w:val="004D37F2"/>
    <w:rsid w:val="004D7658"/>
    <w:rsid w:val="004E3171"/>
    <w:rsid w:val="004F647C"/>
    <w:rsid w:val="00500754"/>
    <w:rsid w:val="00520984"/>
    <w:rsid w:val="0053743E"/>
    <w:rsid w:val="00540154"/>
    <w:rsid w:val="0055476F"/>
    <w:rsid w:val="00556CFC"/>
    <w:rsid w:val="00564719"/>
    <w:rsid w:val="00583268"/>
    <w:rsid w:val="005836DB"/>
    <w:rsid w:val="0058679C"/>
    <w:rsid w:val="005967A3"/>
    <w:rsid w:val="005A1F60"/>
    <w:rsid w:val="005B7BD8"/>
    <w:rsid w:val="005E0915"/>
    <w:rsid w:val="005F73A0"/>
    <w:rsid w:val="005F75D5"/>
    <w:rsid w:val="006132A8"/>
    <w:rsid w:val="0061354E"/>
    <w:rsid w:val="00625932"/>
    <w:rsid w:val="00626181"/>
    <w:rsid w:val="00634BA9"/>
    <w:rsid w:val="00647E35"/>
    <w:rsid w:val="00670F39"/>
    <w:rsid w:val="00676A84"/>
    <w:rsid w:val="00680C48"/>
    <w:rsid w:val="006A3869"/>
    <w:rsid w:val="006A7A90"/>
    <w:rsid w:val="006C06D6"/>
    <w:rsid w:val="006C1A7E"/>
    <w:rsid w:val="006C55E0"/>
    <w:rsid w:val="006C6CAE"/>
    <w:rsid w:val="006C7797"/>
    <w:rsid w:val="006D1205"/>
    <w:rsid w:val="006E48E8"/>
    <w:rsid w:val="00705257"/>
    <w:rsid w:val="00722660"/>
    <w:rsid w:val="00735148"/>
    <w:rsid w:val="00735F74"/>
    <w:rsid w:val="00741173"/>
    <w:rsid w:val="007455E9"/>
    <w:rsid w:val="00761FAD"/>
    <w:rsid w:val="00763AC0"/>
    <w:rsid w:val="00767F8B"/>
    <w:rsid w:val="007905ED"/>
    <w:rsid w:val="00797D46"/>
    <w:rsid w:val="007B2B04"/>
    <w:rsid w:val="007B4EE6"/>
    <w:rsid w:val="007C02FC"/>
    <w:rsid w:val="007F3A22"/>
    <w:rsid w:val="007F6507"/>
    <w:rsid w:val="00804707"/>
    <w:rsid w:val="00811145"/>
    <w:rsid w:val="008136BB"/>
    <w:rsid w:val="00832687"/>
    <w:rsid w:val="00840294"/>
    <w:rsid w:val="00852035"/>
    <w:rsid w:val="008537B5"/>
    <w:rsid w:val="0086453A"/>
    <w:rsid w:val="0087693E"/>
    <w:rsid w:val="0087782A"/>
    <w:rsid w:val="00884D4A"/>
    <w:rsid w:val="00886D94"/>
    <w:rsid w:val="008875F5"/>
    <w:rsid w:val="008A1464"/>
    <w:rsid w:val="008C1CF3"/>
    <w:rsid w:val="008D7E07"/>
    <w:rsid w:val="008F5D67"/>
    <w:rsid w:val="00906EE3"/>
    <w:rsid w:val="0091138B"/>
    <w:rsid w:val="00914A0A"/>
    <w:rsid w:val="00922406"/>
    <w:rsid w:val="009237B6"/>
    <w:rsid w:val="00942011"/>
    <w:rsid w:val="0094461B"/>
    <w:rsid w:val="00951687"/>
    <w:rsid w:val="00963EBB"/>
    <w:rsid w:val="00981BA1"/>
    <w:rsid w:val="009A3156"/>
    <w:rsid w:val="009B07AB"/>
    <w:rsid w:val="009C00C0"/>
    <w:rsid w:val="009C72B9"/>
    <w:rsid w:val="009D07ED"/>
    <w:rsid w:val="009D107A"/>
    <w:rsid w:val="009D51F6"/>
    <w:rsid w:val="009D6883"/>
    <w:rsid w:val="009E1E72"/>
    <w:rsid w:val="009E69E5"/>
    <w:rsid w:val="009F44E5"/>
    <w:rsid w:val="00A12434"/>
    <w:rsid w:val="00A21A54"/>
    <w:rsid w:val="00A42099"/>
    <w:rsid w:val="00A70146"/>
    <w:rsid w:val="00A70567"/>
    <w:rsid w:val="00A81B06"/>
    <w:rsid w:val="00A827A8"/>
    <w:rsid w:val="00A860C0"/>
    <w:rsid w:val="00A951C9"/>
    <w:rsid w:val="00A97F6D"/>
    <w:rsid w:val="00AA343F"/>
    <w:rsid w:val="00AC2495"/>
    <w:rsid w:val="00AD04D6"/>
    <w:rsid w:val="00B26C1C"/>
    <w:rsid w:val="00B31DEC"/>
    <w:rsid w:val="00B3211F"/>
    <w:rsid w:val="00B33FB2"/>
    <w:rsid w:val="00B34A51"/>
    <w:rsid w:val="00B44ACD"/>
    <w:rsid w:val="00B557CD"/>
    <w:rsid w:val="00B64061"/>
    <w:rsid w:val="00B72E7F"/>
    <w:rsid w:val="00B77CA5"/>
    <w:rsid w:val="00B90144"/>
    <w:rsid w:val="00BA327E"/>
    <w:rsid w:val="00BC0854"/>
    <w:rsid w:val="00BC7153"/>
    <w:rsid w:val="00BD41FD"/>
    <w:rsid w:val="00BD722F"/>
    <w:rsid w:val="00BF3566"/>
    <w:rsid w:val="00C01947"/>
    <w:rsid w:val="00C12635"/>
    <w:rsid w:val="00C24A68"/>
    <w:rsid w:val="00C44207"/>
    <w:rsid w:val="00C55C0F"/>
    <w:rsid w:val="00C56BF3"/>
    <w:rsid w:val="00C63558"/>
    <w:rsid w:val="00C64BEA"/>
    <w:rsid w:val="00CB0FBF"/>
    <w:rsid w:val="00CB67E4"/>
    <w:rsid w:val="00CD1046"/>
    <w:rsid w:val="00CF64A2"/>
    <w:rsid w:val="00D02AC7"/>
    <w:rsid w:val="00D24A11"/>
    <w:rsid w:val="00D27BF8"/>
    <w:rsid w:val="00D30BD7"/>
    <w:rsid w:val="00D47316"/>
    <w:rsid w:val="00D47929"/>
    <w:rsid w:val="00D52179"/>
    <w:rsid w:val="00D55B1C"/>
    <w:rsid w:val="00D6006B"/>
    <w:rsid w:val="00D61937"/>
    <w:rsid w:val="00D67ADF"/>
    <w:rsid w:val="00DB6A5E"/>
    <w:rsid w:val="00DC0D69"/>
    <w:rsid w:val="00DD4353"/>
    <w:rsid w:val="00DE00F0"/>
    <w:rsid w:val="00DF086D"/>
    <w:rsid w:val="00E03C84"/>
    <w:rsid w:val="00E153CA"/>
    <w:rsid w:val="00E2298A"/>
    <w:rsid w:val="00E40DD7"/>
    <w:rsid w:val="00E50C66"/>
    <w:rsid w:val="00E6061D"/>
    <w:rsid w:val="00E65100"/>
    <w:rsid w:val="00E6799C"/>
    <w:rsid w:val="00E778EE"/>
    <w:rsid w:val="00E77A05"/>
    <w:rsid w:val="00E87C86"/>
    <w:rsid w:val="00E91E42"/>
    <w:rsid w:val="00E93AB5"/>
    <w:rsid w:val="00EA08E8"/>
    <w:rsid w:val="00EB21D2"/>
    <w:rsid w:val="00EC4DE7"/>
    <w:rsid w:val="00EC61AE"/>
    <w:rsid w:val="00ED5862"/>
    <w:rsid w:val="00EE75C5"/>
    <w:rsid w:val="00EF52FA"/>
    <w:rsid w:val="00F126AD"/>
    <w:rsid w:val="00F1304F"/>
    <w:rsid w:val="00F35436"/>
    <w:rsid w:val="00F35786"/>
    <w:rsid w:val="00F4704A"/>
    <w:rsid w:val="00F54855"/>
    <w:rsid w:val="00F6555E"/>
    <w:rsid w:val="00F97A93"/>
    <w:rsid w:val="00FA0D40"/>
    <w:rsid w:val="00FC5ABE"/>
    <w:rsid w:val="00FD0ABB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8EE2"/>
  <w15:docId w15:val="{C972007E-5FA8-4677-BE41-FABFF252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0C0"/>
    <w:pPr>
      <w:spacing w:after="0" w:line="240" w:lineRule="auto"/>
    </w:pPr>
    <w:rPr>
      <w:rFonts w:eastAsia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1E0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2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29D"/>
    <w:rPr>
      <w:rFonts w:eastAsia="Calibri" w:cs="Times New Roman"/>
      <w:sz w:val="22"/>
    </w:r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1E029D"/>
    <w:rPr>
      <w:rFonts w:eastAsia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74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417"/>
    <w:rPr>
      <w:rFonts w:eastAsia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9113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121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C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5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7CD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7CD"/>
    <w:rPr>
      <w:rFonts w:eastAsia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67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567"/>
    <w:rPr>
      <w:vertAlign w:val="superscript"/>
    </w:rPr>
  </w:style>
  <w:style w:type="paragraph" w:styleId="Revision">
    <w:name w:val="Revision"/>
    <w:hidden/>
    <w:uiPriority w:val="99"/>
    <w:semiHidden/>
    <w:rsid w:val="00EE75C5"/>
    <w:pPr>
      <w:spacing w:after="0" w:line="240" w:lineRule="auto"/>
    </w:pPr>
    <w:rPr>
      <w:rFonts w:eastAsia="Calibri" w:cs="Times New Roman"/>
      <w:sz w:val="22"/>
    </w:rPr>
  </w:style>
  <w:style w:type="table" w:styleId="TableGrid">
    <w:name w:val="Table Grid"/>
    <w:basedOn w:val="TableNormal"/>
    <w:uiPriority w:val="59"/>
    <w:rsid w:val="002D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0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3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36A9-53F8-4B9A-93BF-0675DCB4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5818</Words>
  <Characters>3317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Harbaceviča</dc:creator>
  <cp:keywords/>
  <dc:description/>
  <cp:lastModifiedBy>Rasma Zvejniece</cp:lastModifiedBy>
  <cp:revision>6</cp:revision>
  <cp:lastPrinted>2021-03-16T07:10:00Z</cp:lastPrinted>
  <dcterms:created xsi:type="dcterms:W3CDTF">2021-03-16T06:47:00Z</dcterms:created>
  <dcterms:modified xsi:type="dcterms:W3CDTF">2021-03-16T11:21:00Z</dcterms:modified>
</cp:coreProperties>
</file>