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5180" w14:textId="77777777" w:rsidR="009678C1" w:rsidRDefault="009678C1" w:rsidP="00AC6B37">
      <w:pPr>
        <w:ind w:right="141"/>
        <w:jc w:val="right"/>
        <w:rPr>
          <w:rFonts w:cs="Times New Roman"/>
          <w:i/>
          <w:sz w:val="26"/>
          <w:szCs w:val="26"/>
        </w:rPr>
      </w:pPr>
    </w:p>
    <w:p w14:paraId="6F4CB63F" w14:textId="38880260" w:rsidR="00AC6B37" w:rsidRPr="004D5232" w:rsidRDefault="007534D7" w:rsidP="00AC6B37">
      <w:pPr>
        <w:ind w:right="141"/>
        <w:jc w:val="right"/>
        <w:rPr>
          <w:rFonts w:cs="Times New Roman"/>
          <w:i/>
          <w:sz w:val="26"/>
          <w:szCs w:val="26"/>
        </w:rPr>
      </w:pPr>
      <w:r>
        <w:rPr>
          <w:rFonts w:cs="Times New Roman"/>
          <w:i/>
          <w:sz w:val="26"/>
          <w:szCs w:val="26"/>
        </w:rPr>
        <w:t>Izskatīts</w:t>
      </w:r>
      <w:bookmarkStart w:id="0" w:name="_GoBack"/>
      <w:bookmarkEnd w:id="0"/>
      <w:r w:rsidR="00AC6B37" w:rsidRPr="004D5232">
        <w:rPr>
          <w:rFonts w:cs="Times New Roman"/>
          <w:i/>
          <w:sz w:val="26"/>
          <w:szCs w:val="26"/>
        </w:rPr>
        <w:t xml:space="preserve"> Tieslietu padomes 2019. gada 25. novembra sēdē</w:t>
      </w:r>
    </w:p>
    <w:p w14:paraId="6CF88B57" w14:textId="77777777" w:rsidR="00AC6B37" w:rsidRPr="004D5232" w:rsidRDefault="00AC6B37" w:rsidP="00AC6B37">
      <w:pPr>
        <w:jc w:val="right"/>
        <w:rPr>
          <w:rFonts w:cs="Times New Roman"/>
          <w:b/>
          <w:i/>
          <w:sz w:val="26"/>
          <w:szCs w:val="26"/>
        </w:rPr>
      </w:pPr>
      <w:r w:rsidRPr="004D5232">
        <w:rPr>
          <w:rFonts w:cs="Times New Roman"/>
          <w:i/>
          <w:sz w:val="26"/>
          <w:szCs w:val="26"/>
        </w:rPr>
        <w:t xml:space="preserve"> </w:t>
      </w:r>
    </w:p>
    <w:p w14:paraId="16067D92" w14:textId="77777777" w:rsidR="00AC6B37" w:rsidRPr="004D5232" w:rsidRDefault="00AC6B37" w:rsidP="00AC6B37">
      <w:pPr>
        <w:jc w:val="center"/>
        <w:rPr>
          <w:rFonts w:cs="Times New Roman"/>
          <w:b/>
          <w:sz w:val="26"/>
          <w:szCs w:val="26"/>
        </w:rPr>
      </w:pPr>
      <w:r w:rsidRPr="004D5232">
        <w:rPr>
          <w:rFonts w:cs="Times New Roman"/>
          <w:b/>
          <w:sz w:val="26"/>
          <w:szCs w:val="26"/>
        </w:rPr>
        <w:t>Priekšlikumi grozījumiem likumā „Par tiesu varu”</w:t>
      </w:r>
    </w:p>
    <w:p w14:paraId="120C1259" w14:textId="77777777" w:rsidR="002369C2" w:rsidRPr="004D5232" w:rsidRDefault="002369C2" w:rsidP="002369C2">
      <w:pPr>
        <w:jc w:val="center"/>
        <w:rPr>
          <w:rFonts w:cs="Times New Roman"/>
          <w:sz w:val="26"/>
          <w:szCs w:val="26"/>
        </w:rPr>
      </w:pPr>
    </w:p>
    <w:tbl>
      <w:tblPr>
        <w:tblStyle w:val="TableGrid"/>
        <w:tblW w:w="14590" w:type="dxa"/>
        <w:tblLook w:val="04A0" w:firstRow="1" w:lastRow="0" w:firstColumn="1" w:lastColumn="0" w:noHBand="0" w:noVBand="1"/>
      </w:tblPr>
      <w:tblGrid>
        <w:gridCol w:w="6400"/>
        <w:gridCol w:w="764"/>
        <w:gridCol w:w="5341"/>
        <w:gridCol w:w="2085"/>
      </w:tblGrid>
      <w:tr w:rsidR="009E4A2A" w:rsidRPr="004D5232" w14:paraId="77CE5539" w14:textId="77777777" w:rsidTr="009E36E6">
        <w:trPr>
          <w:trHeight w:val="571"/>
        </w:trPr>
        <w:tc>
          <w:tcPr>
            <w:tcW w:w="6167" w:type="dxa"/>
            <w:vAlign w:val="center"/>
          </w:tcPr>
          <w:p w14:paraId="74289EAB" w14:textId="77777777" w:rsidR="00AC6B37" w:rsidRPr="004D5232" w:rsidRDefault="00AC6B37" w:rsidP="00691A92">
            <w:pPr>
              <w:jc w:val="center"/>
              <w:rPr>
                <w:rFonts w:cs="Times New Roman"/>
                <w:b/>
                <w:sz w:val="26"/>
                <w:szCs w:val="26"/>
              </w:rPr>
            </w:pPr>
            <w:r w:rsidRPr="004D5232">
              <w:rPr>
                <w:rFonts w:cs="Times New Roman"/>
                <w:b/>
                <w:sz w:val="26"/>
                <w:szCs w:val="26"/>
              </w:rPr>
              <w:t>Spēkā esošā redakcija</w:t>
            </w:r>
          </w:p>
        </w:tc>
        <w:tc>
          <w:tcPr>
            <w:tcW w:w="784" w:type="dxa"/>
          </w:tcPr>
          <w:p w14:paraId="555C0B1E" w14:textId="77777777" w:rsidR="00AC6B37" w:rsidRPr="004D5232" w:rsidRDefault="00AC6B37" w:rsidP="009E4A2A">
            <w:pPr>
              <w:rPr>
                <w:rFonts w:cs="Times New Roman"/>
                <w:b/>
                <w:sz w:val="26"/>
                <w:szCs w:val="26"/>
              </w:rPr>
            </w:pPr>
          </w:p>
          <w:p w14:paraId="4723679F" w14:textId="77777777" w:rsidR="009E4A2A" w:rsidRPr="004D5232" w:rsidRDefault="009E4A2A" w:rsidP="009E4A2A">
            <w:pPr>
              <w:rPr>
                <w:rFonts w:cs="Times New Roman"/>
                <w:b/>
                <w:sz w:val="26"/>
                <w:szCs w:val="26"/>
              </w:rPr>
            </w:pPr>
          </w:p>
        </w:tc>
        <w:tc>
          <w:tcPr>
            <w:tcW w:w="5518" w:type="dxa"/>
            <w:vAlign w:val="center"/>
          </w:tcPr>
          <w:p w14:paraId="344B23EA" w14:textId="77777777" w:rsidR="00AC6B37" w:rsidRPr="004D5232" w:rsidRDefault="00AC6B37" w:rsidP="00691A92">
            <w:pPr>
              <w:jc w:val="center"/>
              <w:rPr>
                <w:rFonts w:cs="Times New Roman"/>
                <w:b/>
                <w:sz w:val="26"/>
                <w:szCs w:val="26"/>
              </w:rPr>
            </w:pPr>
            <w:r w:rsidRPr="004D5232">
              <w:rPr>
                <w:rFonts w:cs="Times New Roman"/>
                <w:b/>
                <w:sz w:val="26"/>
                <w:szCs w:val="26"/>
              </w:rPr>
              <w:t xml:space="preserve">Likumprojekts </w:t>
            </w:r>
            <w:r w:rsidR="00493F2D" w:rsidRPr="004D5232">
              <w:rPr>
                <w:rFonts w:cs="Times New Roman"/>
                <w:b/>
                <w:sz w:val="26"/>
                <w:szCs w:val="26"/>
              </w:rPr>
              <w:t>(</w:t>
            </w:r>
            <w:proofErr w:type="spellStart"/>
            <w:r w:rsidR="00493F2D" w:rsidRPr="004D5232">
              <w:rPr>
                <w:rFonts w:cs="Times New Roman"/>
                <w:b/>
                <w:sz w:val="26"/>
                <w:szCs w:val="26"/>
              </w:rPr>
              <w:t>lkp</w:t>
            </w:r>
            <w:proofErr w:type="spellEnd"/>
            <w:r w:rsidR="00493F2D" w:rsidRPr="004D5232">
              <w:rPr>
                <w:rFonts w:cs="Times New Roman"/>
                <w:b/>
                <w:sz w:val="26"/>
                <w:szCs w:val="26"/>
              </w:rPr>
              <w:t xml:space="preserve"> 4</w:t>
            </w:r>
            <w:r w:rsidR="001E61B5" w:rsidRPr="004D5232">
              <w:rPr>
                <w:rFonts w:cs="Times New Roman"/>
                <w:b/>
                <w:sz w:val="26"/>
                <w:szCs w:val="26"/>
              </w:rPr>
              <w:t>92</w:t>
            </w:r>
            <w:r w:rsidR="00493F2D" w:rsidRPr="004D5232">
              <w:rPr>
                <w:rFonts w:cs="Times New Roman"/>
                <w:b/>
                <w:sz w:val="26"/>
                <w:szCs w:val="26"/>
              </w:rPr>
              <w:t>/Lp13)</w:t>
            </w:r>
          </w:p>
        </w:tc>
        <w:tc>
          <w:tcPr>
            <w:tcW w:w="2121" w:type="dxa"/>
          </w:tcPr>
          <w:p w14:paraId="41ADAA17" w14:textId="77777777" w:rsidR="00AC6B37" w:rsidRPr="004D5232" w:rsidRDefault="00AC6B37" w:rsidP="00691A92">
            <w:pPr>
              <w:jc w:val="center"/>
              <w:rPr>
                <w:rFonts w:cs="Times New Roman"/>
                <w:b/>
                <w:sz w:val="26"/>
                <w:szCs w:val="26"/>
              </w:rPr>
            </w:pPr>
            <w:r w:rsidRPr="004D5232">
              <w:rPr>
                <w:rFonts w:cs="Times New Roman"/>
                <w:b/>
                <w:sz w:val="26"/>
                <w:szCs w:val="26"/>
              </w:rPr>
              <w:t xml:space="preserve">Tieslietu padomes </w:t>
            </w:r>
          </w:p>
          <w:p w14:paraId="3E630547" w14:textId="17A9472A" w:rsidR="00AC6B37" w:rsidRPr="004D5232" w:rsidRDefault="009678C1" w:rsidP="00691A92">
            <w:pPr>
              <w:jc w:val="center"/>
              <w:rPr>
                <w:rFonts w:cs="Times New Roman"/>
                <w:b/>
                <w:sz w:val="26"/>
                <w:szCs w:val="26"/>
              </w:rPr>
            </w:pPr>
            <w:r>
              <w:rPr>
                <w:rFonts w:cs="Times New Roman"/>
                <w:b/>
                <w:sz w:val="26"/>
                <w:szCs w:val="26"/>
              </w:rPr>
              <w:t>lēmums</w:t>
            </w:r>
          </w:p>
        </w:tc>
      </w:tr>
      <w:tr w:rsidR="009E4A2A" w:rsidRPr="004D5232" w14:paraId="46FB18E5" w14:textId="77777777" w:rsidTr="009E36E6">
        <w:tc>
          <w:tcPr>
            <w:tcW w:w="6167" w:type="dxa"/>
          </w:tcPr>
          <w:p w14:paraId="41A86325" w14:textId="77777777" w:rsidR="00AC6B37" w:rsidRPr="004D5232" w:rsidRDefault="00AC6B37" w:rsidP="00691A92">
            <w:pPr>
              <w:ind w:firstLine="567"/>
              <w:jc w:val="both"/>
              <w:rPr>
                <w:rFonts w:cs="Times New Roman"/>
                <w:sz w:val="26"/>
                <w:szCs w:val="26"/>
              </w:rPr>
            </w:pPr>
          </w:p>
        </w:tc>
        <w:tc>
          <w:tcPr>
            <w:tcW w:w="784" w:type="dxa"/>
          </w:tcPr>
          <w:p w14:paraId="73F04A98" w14:textId="77777777" w:rsidR="00AC6B37" w:rsidRPr="004D5232" w:rsidRDefault="00AC6B37" w:rsidP="009E4A2A">
            <w:pPr>
              <w:ind w:firstLine="567"/>
              <w:rPr>
                <w:rFonts w:cs="Times New Roman"/>
                <w:b/>
                <w:sz w:val="26"/>
                <w:szCs w:val="26"/>
              </w:rPr>
            </w:pPr>
          </w:p>
        </w:tc>
        <w:tc>
          <w:tcPr>
            <w:tcW w:w="5518" w:type="dxa"/>
          </w:tcPr>
          <w:p w14:paraId="646AA659" w14:textId="77777777" w:rsidR="00AC6B37" w:rsidRPr="004D5232" w:rsidRDefault="00AC6B37" w:rsidP="00691A92">
            <w:pPr>
              <w:ind w:firstLine="567"/>
              <w:jc w:val="both"/>
              <w:rPr>
                <w:rFonts w:cs="Times New Roman"/>
                <w:sz w:val="26"/>
                <w:szCs w:val="26"/>
              </w:rPr>
            </w:pPr>
            <w:r w:rsidRPr="004D5232">
              <w:rPr>
                <w:rFonts w:cs="Times New Roman"/>
                <w:sz w:val="26"/>
                <w:szCs w:val="26"/>
              </w:rPr>
              <w:t>Izdarīt likumā „</w:t>
            </w:r>
            <w:hyperlink r:id="rId7" w:tgtFrame="_blank" w:history="1">
              <w:r w:rsidRPr="004D5232">
                <w:rPr>
                  <w:rFonts w:cs="Times New Roman"/>
                  <w:sz w:val="26"/>
                  <w:szCs w:val="26"/>
                </w:rPr>
                <w:t>Par tiesu varu</w:t>
              </w:r>
            </w:hyperlink>
            <w:r w:rsidRPr="004D5232">
              <w:rPr>
                <w:rFonts w:cs="Times New Roman"/>
                <w:sz w:val="26"/>
                <w:szCs w:val="26"/>
              </w:rPr>
              <w:t>" (Latvijas Republikas Augstākās Padomes un Valdības Ziņotājs, 1993, 1. nr.; Latvijas Republikas Saeimas un Ministru Kabineta Ziņotājs, 1994, 1., 13. nr.; 1995, 10., 22. nr.; 1996, 3., 13. nr.; 1997, 5., 21. nr.; 1998, 22., 23. nr.; 1999, 23. nr.; 2001, 24. nr.; 2002, 23. nr.; 2003, 14. nr.; 2004, 2. nr.; 2005, 8., 20. nr.; 2006, 7., 24. nr.; 2007, 24. nr.; 2008, 10., 24. nr.; 2009, 2., 12., 14. nr.; Latvijas Vēstnesis, 2009, 199. nr.; 2010, 99., 206. nr.; 2011, 99., 120. nr.; 2013, 128., 201. nr.; 2014, 228. nr.; 2015, 97., 122. nr.; 2018, 20. nr., 188. nr., 225. nr.) šādus grozījumus:</w:t>
            </w:r>
          </w:p>
        </w:tc>
        <w:tc>
          <w:tcPr>
            <w:tcW w:w="2121" w:type="dxa"/>
          </w:tcPr>
          <w:p w14:paraId="6A7C8B5B" w14:textId="77777777" w:rsidR="00AC6B37" w:rsidRPr="004D5232" w:rsidRDefault="00AC6B37" w:rsidP="00691A92">
            <w:pPr>
              <w:ind w:firstLine="567"/>
              <w:jc w:val="both"/>
              <w:rPr>
                <w:rFonts w:cs="Times New Roman"/>
                <w:sz w:val="26"/>
                <w:szCs w:val="26"/>
              </w:rPr>
            </w:pPr>
          </w:p>
        </w:tc>
      </w:tr>
      <w:tr w:rsidR="009E4A2A" w:rsidRPr="004D5232" w14:paraId="72408BE7" w14:textId="77777777" w:rsidTr="009E36E6">
        <w:tc>
          <w:tcPr>
            <w:tcW w:w="6167" w:type="dxa"/>
          </w:tcPr>
          <w:p w14:paraId="63B2069D"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b/>
                <w:bCs/>
                <w:color w:val="414142"/>
                <w:sz w:val="20"/>
                <w:szCs w:val="20"/>
              </w:rPr>
              <w:t>32. pants. Rajona (pilsētas) tiesas tiesneši</w:t>
            </w:r>
          </w:p>
          <w:p w14:paraId="3FB4A235"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(1) Rajona (pilsētas) tiesas sastāvā ir tiesas priekšsēdētājs un tiesneši.</w:t>
            </w:r>
          </w:p>
          <w:p w14:paraId="0FBF97AF"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(2) Rajona (pilsētas) tiesā var būt tiesas priekšsēdētāja vietnieki.</w:t>
            </w:r>
          </w:p>
          <w:p w14:paraId="442AD28A"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 xml:space="preserve">(3) Tiesnešu kopskaitu rajonu (pilsētu) </w:t>
            </w:r>
            <w:r w:rsidRPr="002C38C3">
              <w:rPr>
                <w:rFonts w:ascii="Arial" w:hAnsi="Arial" w:cs="Arial"/>
                <w:color w:val="414142"/>
                <w:sz w:val="20"/>
                <w:szCs w:val="20"/>
                <w:u w:val="single"/>
              </w:rPr>
              <w:t>tiesās</w:t>
            </w:r>
            <w:r>
              <w:rPr>
                <w:rFonts w:ascii="Arial" w:hAnsi="Arial" w:cs="Arial"/>
                <w:color w:val="414142"/>
                <w:sz w:val="20"/>
                <w:szCs w:val="20"/>
              </w:rPr>
              <w:t>, kā arī Administratīvajā rajona tiesā nosaka Saeima pēc Tieslietu padomes priekšlikuma. Tiesnešu skaitu katrā tiesā nosaka Tieslietu padome pēc tieslietu ministra priekšlikuma.</w:t>
            </w:r>
          </w:p>
          <w:p w14:paraId="39DBDA4A"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(4) Izmeklēšanas tiesnesis līdztekus izmeklēšanas tiesneša pienākumu pildīšanai neskata krimināllietas.</w:t>
            </w:r>
          </w:p>
          <w:p w14:paraId="2C236760" w14:textId="04234425" w:rsidR="00160B1F" w:rsidRPr="002C38C3" w:rsidRDefault="002C38C3" w:rsidP="00172339">
            <w:pPr>
              <w:pStyle w:val="labojumupamats"/>
              <w:shd w:val="clear" w:color="auto" w:fill="FFFFFF"/>
              <w:spacing w:before="45" w:beforeAutospacing="0" w:after="0" w:afterAutospacing="0" w:line="248" w:lineRule="atLeast"/>
              <w:ind w:firstLine="300"/>
              <w:jc w:val="both"/>
              <w:rPr>
                <w:rFonts w:ascii="Arial" w:hAnsi="Arial" w:cs="Arial"/>
                <w:i/>
                <w:iCs/>
                <w:color w:val="414142"/>
                <w:sz w:val="20"/>
                <w:szCs w:val="20"/>
              </w:rPr>
            </w:pPr>
            <w:r>
              <w:rPr>
                <w:rFonts w:ascii="Arial" w:hAnsi="Arial" w:cs="Arial"/>
                <w:i/>
                <w:iCs/>
                <w:color w:val="414142"/>
                <w:sz w:val="20"/>
                <w:szCs w:val="20"/>
              </w:rPr>
              <w:t>(Ar grozījumiem, kas izdarīti ar </w:t>
            </w:r>
            <w:hyperlink r:id="rId8" w:tgtFrame="_blank" w:history="1">
              <w:r>
                <w:rPr>
                  <w:rStyle w:val="Hyperlink"/>
                  <w:rFonts w:ascii="Arial" w:hAnsi="Arial" w:cs="Arial"/>
                  <w:i/>
                  <w:iCs/>
                  <w:sz w:val="20"/>
                  <w:szCs w:val="20"/>
                </w:rPr>
                <w:t>15.10.1998.</w:t>
              </w:r>
            </w:hyperlink>
            <w:r>
              <w:rPr>
                <w:rFonts w:ascii="Arial" w:hAnsi="Arial" w:cs="Arial"/>
                <w:i/>
                <w:iCs/>
                <w:color w:val="414142"/>
                <w:sz w:val="20"/>
                <w:szCs w:val="20"/>
              </w:rPr>
              <w:t>, </w:t>
            </w:r>
            <w:hyperlink r:id="rId9" w:tgtFrame="_blank" w:history="1">
              <w:r>
                <w:rPr>
                  <w:rStyle w:val="Hyperlink"/>
                  <w:rFonts w:ascii="Arial" w:hAnsi="Arial" w:cs="Arial"/>
                  <w:i/>
                  <w:iCs/>
                  <w:sz w:val="20"/>
                  <w:szCs w:val="20"/>
                </w:rPr>
                <w:t>28.09.2005.</w:t>
              </w:r>
            </w:hyperlink>
            <w:r>
              <w:rPr>
                <w:rFonts w:ascii="Arial" w:hAnsi="Arial" w:cs="Arial"/>
                <w:i/>
                <w:iCs/>
                <w:color w:val="414142"/>
                <w:sz w:val="20"/>
                <w:szCs w:val="20"/>
              </w:rPr>
              <w:t>, </w:t>
            </w:r>
            <w:hyperlink r:id="rId10" w:tgtFrame="_blank" w:history="1">
              <w:r>
                <w:rPr>
                  <w:rStyle w:val="Hyperlink"/>
                  <w:rFonts w:ascii="Arial" w:hAnsi="Arial" w:cs="Arial"/>
                  <w:i/>
                  <w:iCs/>
                  <w:sz w:val="20"/>
                  <w:szCs w:val="20"/>
                </w:rPr>
                <w:t>23.02.2006.</w:t>
              </w:r>
            </w:hyperlink>
            <w:r>
              <w:rPr>
                <w:rFonts w:ascii="Arial" w:hAnsi="Arial" w:cs="Arial"/>
                <w:i/>
                <w:iCs/>
                <w:color w:val="414142"/>
                <w:sz w:val="20"/>
                <w:szCs w:val="20"/>
              </w:rPr>
              <w:t>, </w:t>
            </w:r>
            <w:hyperlink r:id="rId11" w:tgtFrame="_blank" w:history="1">
              <w:r>
                <w:rPr>
                  <w:rStyle w:val="Hyperlink"/>
                  <w:rFonts w:ascii="Arial" w:hAnsi="Arial" w:cs="Arial"/>
                  <w:i/>
                  <w:iCs/>
                  <w:sz w:val="20"/>
                  <w:szCs w:val="20"/>
                </w:rPr>
                <w:t>03.06.2010.</w:t>
              </w:r>
            </w:hyperlink>
            <w:r>
              <w:rPr>
                <w:rFonts w:ascii="Arial" w:hAnsi="Arial" w:cs="Arial"/>
                <w:i/>
                <w:iCs/>
                <w:color w:val="414142"/>
                <w:sz w:val="20"/>
                <w:szCs w:val="20"/>
              </w:rPr>
              <w:t> un </w:t>
            </w:r>
            <w:hyperlink r:id="rId12" w:tgtFrame="_blank" w:history="1">
              <w:r>
                <w:rPr>
                  <w:rStyle w:val="Hyperlink"/>
                  <w:rFonts w:ascii="Arial" w:hAnsi="Arial" w:cs="Arial"/>
                  <w:i/>
                  <w:iCs/>
                  <w:sz w:val="20"/>
                  <w:szCs w:val="20"/>
                </w:rPr>
                <w:t>13.06.2013</w:t>
              </w:r>
            </w:hyperlink>
            <w:r>
              <w:rPr>
                <w:rFonts w:ascii="Arial" w:hAnsi="Arial" w:cs="Arial"/>
                <w:i/>
                <w:iCs/>
                <w:color w:val="414142"/>
                <w:sz w:val="20"/>
                <w:szCs w:val="20"/>
              </w:rPr>
              <w:t>. likumu, kas stājas spēkā </w:t>
            </w:r>
            <w:hyperlink r:id="rId13" w:tgtFrame="_blank" w:history="1">
              <w:r>
                <w:rPr>
                  <w:rStyle w:val="Hyperlink"/>
                  <w:rFonts w:ascii="Arial" w:hAnsi="Arial" w:cs="Arial"/>
                  <w:i/>
                  <w:iCs/>
                  <w:sz w:val="20"/>
                  <w:szCs w:val="20"/>
                </w:rPr>
                <w:t>01.09.2013.</w:t>
              </w:r>
            </w:hyperlink>
            <w:r>
              <w:rPr>
                <w:rFonts w:ascii="Arial" w:hAnsi="Arial" w:cs="Arial"/>
                <w:i/>
                <w:iCs/>
                <w:color w:val="414142"/>
                <w:sz w:val="20"/>
                <w:szCs w:val="20"/>
              </w:rPr>
              <w:t>)</w:t>
            </w:r>
          </w:p>
        </w:tc>
        <w:tc>
          <w:tcPr>
            <w:tcW w:w="784" w:type="dxa"/>
          </w:tcPr>
          <w:p w14:paraId="18F11553" w14:textId="77777777" w:rsidR="002C38C3" w:rsidRDefault="002C38C3" w:rsidP="009E4A2A">
            <w:pPr>
              <w:pStyle w:val="naisf"/>
              <w:spacing w:before="0" w:beforeAutospacing="0" w:after="0" w:afterAutospacing="0"/>
              <w:jc w:val="center"/>
              <w:rPr>
                <w:b/>
                <w:sz w:val="26"/>
                <w:szCs w:val="26"/>
              </w:rPr>
            </w:pPr>
          </w:p>
          <w:p w14:paraId="6CBBB537" w14:textId="77777777" w:rsidR="002C38C3" w:rsidRDefault="002C38C3" w:rsidP="009E4A2A">
            <w:pPr>
              <w:pStyle w:val="naisf"/>
              <w:spacing w:before="0" w:beforeAutospacing="0" w:after="0" w:afterAutospacing="0"/>
              <w:jc w:val="center"/>
              <w:rPr>
                <w:b/>
                <w:sz w:val="26"/>
                <w:szCs w:val="26"/>
              </w:rPr>
            </w:pPr>
          </w:p>
          <w:p w14:paraId="1788C541" w14:textId="77777777" w:rsidR="002C38C3" w:rsidRDefault="002C38C3" w:rsidP="009E4A2A">
            <w:pPr>
              <w:pStyle w:val="naisf"/>
              <w:spacing w:before="0" w:beforeAutospacing="0" w:after="0" w:afterAutospacing="0"/>
              <w:jc w:val="center"/>
              <w:rPr>
                <w:b/>
                <w:sz w:val="26"/>
                <w:szCs w:val="26"/>
              </w:rPr>
            </w:pPr>
          </w:p>
          <w:p w14:paraId="39BF10C4" w14:textId="77777777" w:rsidR="002C38C3" w:rsidRDefault="002C38C3" w:rsidP="009E4A2A">
            <w:pPr>
              <w:pStyle w:val="naisf"/>
              <w:spacing w:before="0" w:beforeAutospacing="0" w:after="0" w:afterAutospacing="0"/>
              <w:jc w:val="center"/>
              <w:rPr>
                <w:b/>
                <w:sz w:val="26"/>
                <w:szCs w:val="26"/>
              </w:rPr>
            </w:pPr>
          </w:p>
          <w:p w14:paraId="65418ACA" w14:textId="75041C50" w:rsidR="00AC6B37" w:rsidRPr="004D5232" w:rsidRDefault="00AC6B37" w:rsidP="009E4A2A">
            <w:pPr>
              <w:pStyle w:val="naisf"/>
              <w:spacing w:before="0" w:beforeAutospacing="0" w:after="0" w:afterAutospacing="0"/>
              <w:jc w:val="center"/>
              <w:rPr>
                <w:b/>
                <w:sz w:val="26"/>
                <w:szCs w:val="26"/>
              </w:rPr>
            </w:pPr>
            <w:r w:rsidRPr="004D5232">
              <w:rPr>
                <w:b/>
                <w:sz w:val="26"/>
                <w:szCs w:val="26"/>
              </w:rPr>
              <w:t>1.</w:t>
            </w:r>
          </w:p>
        </w:tc>
        <w:tc>
          <w:tcPr>
            <w:tcW w:w="5518" w:type="dxa"/>
          </w:tcPr>
          <w:p w14:paraId="6F2D6E9B" w14:textId="77777777" w:rsidR="002C38C3" w:rsidRDefault="002C38C3" w:rsidP="004D5232">
            <w:pPr>
              <w:shd w:val="clear" w:color="auto" w:fill="FFFFFF"/>
              <w:spacing w:before="100" w:beforeAutospacing="1"/>
              <w:jc w:val="both"/>
              <w:rPr>
                <w:rFonts w:eastAsia="Times New Roman" w:cs="Times New Roman"/>
                <w:color w:val="000000"/>
                <w:sz w:val="26"/>
                <w:szCs w:val="26"/>
                <w:lang w:eastAsia="lv-LV"/>
              </w:rPr>
            </w:pPr>
          </w:p>
          <w:p w14:paraId="3F119FF9" w14:textId="77777777" w:rsidR="002C38C3" w:rsidRDefault="002C38C3" w:rsidP="004D5232">
            <w:pPr>
              <w:shd w:val="clear" w:color="auto" w:fill="FFFFFF"/>
              <w:spacing w:before="100" w:beforeAutospacing="1"/>
              <w:jc w:val="both"/>
              <w:rPr>
                <w:rFonts w:eastAsia="Times New Roman" w:cs="Times New Roman"/>
                <w:color w:val="000000"/>
                <w:sz w:val="26"/>
                <w:szCs w:val="26"/>
                <w:lang w:eastAsia="lv-LV"/>
              </w:rPr>
            </w:pPr>
          </w:p>
          <w:p w14:paraId="1E765B13" w14:textId="3CF93276" w:rsidR="00AC6B37" w:rsidRPr="004D5232" w:rsidRDefault="001E61B5" w:rsidP="004D5232">
            <w:pPr>
              <w:shd w:val="clear" w:color="auto" w:fill="FFFFFF"/>
              <w:spacing w:before="100" w:beforeAutospacing="1"/>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Papildināt 32. panta trešo daļu pēc vārda </w:t>
            </w:r>
            <w:r w:rsidR="004D5232" w:rsidRPr="004D5232">
              <w:rPr>
                <w:rFonts w:eastAsia="Times New Roman" w:cs="Times New Roman"/>
                <w:color w:val="000000"/>
                <w:sz w:val="26"/>
                <w:szCs w:val="26"/>
                <w:lang w:eastAsia="lv-LV"/>
              </w:rPr>
              <w:t>“</w:t>
            </w:r>
            <w:r w:rsidRPr="001760C7">
              <w:rPr>
                <w:rFonts w:eastAsia="Times New Roman" w:cs="Times New Roman"/>
                <w:color w:val="000000"/>
                <w:sz w:val="26"/>
                <w:szCs w:val="26"/>
                <w:lang w:eastAsia="lv-LV"/>
              </w:rPr>
              <w:t>tiesās</w:t>
            </w:r>
            <w:r w:rsidR="004D5232" w:rsidRPr="004D5232">
              <w:rPr>
                <w:rFonts w:eastAsia="Times New Roman" w:cs="Times New Roman"/>
                <w:color w:val="000000"/>
                <w:sz w:val="26"/>
                <w:szCs w:val="26"/>
                <w:lang w:eastAsia="lv-LV"/>
              </w:rPr>
              <w:t>”</w:t>
            </w:r>
            <w:r w:rsidRPr="001760C7">
              <w:rPr>
                <w:rFonts w:eastAsia="Times New Roman" w:cs="Times New Roman"/>
                <w:color w:val="000000"/>
                <w:sz w:val="26"/>
                <w:szCs w:val="26"/>
                <w:lang w:eastAsia="lv-LV"/>
              </w:rPr>
              <w:t xml:space="preserve"> ar vārdiem </w:t>
            </w:r>
            <w:r w:rsidR="004D5232" w:rsidRPr="004D5232">
              <w:rPr>
                <w:rFonts w:eastAsia="Times New Roman" w:cs="Times New Roman"/>
                <w:color w:val="000000"/>
                <w:sz w:val="26"/>
                <w:szCs w:val="26"/>
                <w:lang w:eastAsia="lv-LV"/>
              </w:rPr>
              <w:t>“</w:t>
            </w:r>
            <w:r w:rsidRPr="001760C7">
              <w:rPr>
                <w:rFonts w:eastAsia="Times New Roman" w:cs="Times New Roman"/>
                <w:color w:val="000000"/>
                <w:sz w:val="26"/>
                <w:szCs w:val="26"/>
                <w:lang w:eastAsia="lv-LV"/>
              </w:rPr>
              <w:t>un Ekonomisko lietu tiesā</w:t>
            </w:r>
            <w:r w:rsidR="004D5232" w:rsidRPr="004D5232">
              <w:rPr>
                <w:rFonts w:eastAsia="Times New Roman" w:cs="Times New Roman"/>
                <w:color w:val="000000"/>
                <w:sz w:val="26"/>
                <w:szCs w:val="26"/>
                <w:lang w:eastAsia="lv-LV"/>
              </w:rPr>
              <w:t>”</w:t>
            </w:r>
            <w:r w:rsidRPr="001760C7">
              <w:rPr>
                <w:rFonts w:eastAsia="Times New Roman" w:cs="Times New Roman"/>
                <w:color w:val="000000"/>
                <w:sz w:val="26"/>
                <w:szCs w:val="26"/>
                <w:lang w:eastAsia="lv-LV"/>
              </w:rPr>
              <w:t>.</w:t>
            </w:r>
          </w:p>
        </w:tc>
        <w:tc>
          <w:tcPr>
            <w:tcW w:w="2121" w:type="dxa"/>
          </w:tcPr>
          <w:p w14:paraId="069F27CC" w14:textId="77777777" w:rsidR="00DB116F" w:rsidRDefault="00DB116F" w:rsidP="00447403">
            <w:pPr>
              <w:pStyle w:val="naisf"/>
              <w:spacing w:before="0" w:beforeAutospacing="0" w:after="0" w:afterAutospacing="0"/>
              <w:jc w:val="both"/>
              <w:rPr>
                <w:bCs/>
                <w:sz w:val="26"/>
                <w:szCs w:val="26"/>
              </w:rPr>
            </w:pPr>
          </w:p>
          <w:p w14:paraId="5874C9B0" w14:textId="71037571" w:rsidR="00AC6B37" w:rsidRPr="00172339" w:rsidRDefault="00674A6D" w:rsidP="00447403">
            <w:pPr>
              <w:pStyle w:val="naisf"/>
              <w:spacing w:before="0" w:beforeAutospacing="0" w:after="0" w:afterAutospacing="0"/>
              <w:jc w:val="both"/>
              <w:rPr>
                <w:b/>
                <w:bCs/>
                <w:sz w:val="26"/>
                <w:szCs w:val="26"/>
              </w:rPr>
            </w:pPr>
            <w:r w:rsidRPr="00172339">
              <w:rPr>
                <w:b/>
                <w:bCs/>
                <w:sz w:val="26"/>
                <w:szCs w:val="26"/>
              </w:rPr>
              <w:t>N</w:t>
            </w:r>
            <w:r w:rsidR="00AC6B37" w:rsidRPr="00172339">
              <w:rPr>
                <w:b/>
                <w:bCs/>
                <w:sz w:val="26"/>
                <w:szCs w:val="26"/>
              </w:rPr>
              <w:t>eatbalstīt</w:t>
            </w:r>
          </w:p>
          <w:p w14:paraId="3D90ACC3" w14:textId="266DFAD7" w:rsidR="00674A6D" w:rsidRPr="00172339" w:rsidRDefault="00674A6D" w:rsidP="00447403">
            <w:pPr>
              <w:pStyle w:val="naisf"/>
              <w:spacing w:before="0" w:beforeAutospacing="0" w:after="0" w:afterAutospacing="0"/>
              <w:jc w:val="both"/>
              <w:rPr>
                <w:b/>
                <w:bCs/>
                <w:sz w:val="26"/>
                <w:szCs w:val="26"/>
              </w:rPr>
            </w:pPr>
          </w:p>
        </w:tc>
      </w:tr>
      <w:tr w:rsidR="009E4A2A" w:rsidRPr="004D5232" w14:paraId="6BA30EEF" w14:textId="77777777" w:rsidTr="009E36E6">
        <w:tc>
          <w:tcPr>
            <w:tcW w:w="6167" w:type="dxa"/>
          </w:tcPr>
          <w:p w14:paraId="7094C306"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b/>
                <w:bCs/>
                <w:color w:val="414142"/>
                <w:sz w:val="20"/>
                <w:szCs w:val="20"/>
              </w:rPr>
              <w:lastRenderedPageBreak/>
              <w:t>42. pants. Apgabaltiesas tiesu kolēģijas</w:t>
            </w:r>
          </w:p>
          <w:p w14:paraId="160AC0E8"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(1) Apgabaltiesā var būt kolēģijas.</w:t>
            </w:r>
          </w:p>
          <w:p w14:paraId="35974459"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(2) Tiesu kolēģijas vada to priekšsēdētāji, kas vienlaikus ir apgabaltiesas priekšsēdētāja vietnieki, un šo kolēģiju sastāvā ietilpst tiesneši.</w:t>
            </w:r>
          </w:p>
          <w:p w14:paraId="0725C96D"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(3) Apgabaltiesas tiesu kolēģijas apstiprina apgabaltiesas priekšsēdētājs.</w:t>
            </w:r>
          </w:p>
          <w:p w14:paraId="4FAD0BD3" w14:textId="77777777" w:rsidR="002C38C3" w:rsidRP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u w:val="single"/>
              </w:rPr>
            </w:pPr>
            <w:r>
              <w:rPr>
                <w:rFonts w:ascii="Arial" w:hAnsi="Arial" w:cs="Arial"/>
                <w:color w:val="414142"/>
                <w:sz w:val="20"/>
                <w:szCs w:val="20"/>
              </w:rPr>
              <w:t xml:space="preserve">(4) </w:t>
            </w:r>
            <w:r w:rsidRPr="002C38C3">
              <w:rPr>
                <w:rFonts w:ascii="Arial" w:hAnsi="Arial" w:cs="Arial"/>
                <w:color w:val="414142"/>
                <w:sz w:val="20"/>
                <w:szCs w:val="20"/>
                <w:u w:val="single"/>
              </w:rPr>
              <w:t>Ja apgabaltiesas tiesu kolēģijā ir vairāk par piecpadsmit tiesnešiem, var izveidot divas attiecīgā nosaukuma tiesu kolēģijas.</w:t>
            </w:r>
          </w:p>
          <w:p w14:paraId="054D483D" w14:textId="1A4D3424" w:rsidR="00AC6B37" w:rsidRPr="002C38C3" w:rsidRDefault="002C38C3" w:rsidP="002C38C3">
            <w:pPr>
              <w:pStyle w:val="labojumupamats"/>
              <w:shd w:val="clear" w:color="auto" w:fill="FFFFFF"/>
              <w:spacing w:before="45" w:beforeAutospacing="0" w:after="0" w:afterAutospacing="0" w:line="248" w:lineRule="atLeast"/>
              <w:ind w:firstLine="300"/>
              <w:jc w:val="both"/>
              <w:rPr>
                <w:rFonts w:ascii="Arial" w:hAnsi="Arial" w:cs="Arial"/>
                <w:i/>
                <w:iCs/>
                <w:color w:val="414142"/>
                <w:sz w:val="20"/>
                <w:szCs w:val="20"/>
              </w:rPr>
            </w:pPr>
            <w:r>
              <w:rPr>
                <w:rFonts w:ascii="Arial" w:hAnsi="Arial" w:cs="Arial"/>
                <w:i/>
                <w:iCs/>
                <w:color w:val="414142"/>
                <w:sz w:val="20"/>
                <w:szCs w:val="20"/>
              </w:rPr>
              <w:t>(Ar grozījumiem, kas izdarīti ar </w:t>
            </w:r>
            <w:hyperlink r:id="rId14" w:tgtFrame="_blank" w:history="1">
              <w:r>
                <w:rPr>
                  <w:rStyle w:val="Hyperlink"/>
                  <w:rFonts w:ascii="Arial" w:hAnsi="Arial" w:cs="Arial"/>
                  <w:i/>
                  <w:iCs/>
                  <w:sz w:val="20"/>
                  <w:szCs w:val="20"/>
                </w:rPr>
                <w:t>28.09.1995.</w:t>
              </w:r>
            </w:hyperlink>
            <w:r>
              <w:rPr>
                <w:rFonts w:ascii="Arial" w:hAnsi="Arial" w:cs="Arial"/>
                <w:i/>
                <w:iCs/>
                <w:color w:val="414142"/>
                <w:sz w:val="20"/>
                <w:szCs w:val="20"/>
              </w:rPr>
              <w:t>, </w:t>
            </w:r>
            <w:hyperlink r:id="rId15" w:tgtFrame="_blank" w:history="1">
              <w:r>
                <w:rPr>
                  <w:rStyle w:val="Hyperlink"/>
                  <w:rFonts w:ascii="Arial" w:hAnsi="Arial" w:cs="Arial"/>
                  <w:i/>
                  <w:iCs/>
                  <w:sz w:val="20"/>
                  <w:szCs w:val="20"/>
                </w:rPr>
                <w:t>31.10.2002.</w:t>
              </w:r>
            </w:hyperlink>
            <w:r>
              <w:rPr>
                <w:rFonts w:ascii="Arial" w:hAnsi="Arial" w:cs="Arial"/>
                <w:i/>
                <w:iCs/>
                <w:color w:val="414142"/>
                <w:sz w:val="20"/>
                <w:szCs w:val="20"/>
              </w:rPr>
              <w:t>, </w:t>
            </w:r>
            <w:hyperlink r:id="rId16" w:tgtFrame="_blank" w:history="1">
              <w:r>
                <w:rPr>
                  <w:rStyle w:val="Hyperlink"/>
                  <w:rFonts w:ascii="Arial" w:hAnsi="Arial" w:cs="Arial"/>
                  <w:i/>
                  <w:iCs/>
                  <w:sz w:val="20"/>
                  <w:szCs w:val="20"/>
                </w:rPr>
                <w:t>04.12.2003.</w:t>
              </w:r>
            </w:hyperlink>
            <w:r>
              <w:rPr>
                <w:rFonts w:ascii="Arial" w:hAnsi="Arial" w:cs="Arial"/>
                <w:i/>
                <w:iCs/>
                <w:color w:val="414142"/>
                <w:sz w:val="20"/>
                <w:szCs w:val="20"/>
              </w:rPr>
              <w:t>, </w:t>
            </w:r>
            <w:hyperlink r:id="rId17" w:tgtFrame="_blank" w:history="1">
              <w:r>
                <w:rPr>
                  <w:rStyle w:val="Hyperlink"/>
                  <w:rFonts w:ascii="Arial" w:hAnsi="Arial" w:cs="Arial"/>
                  <w:i/>
                  <w:iCs/>
                  <w:sz w:val="20"/>
                  <w:szCs w:val="20"/>
                </w:rPr>
                <w:t>03.06.2010.</w:t>
              </w:r>
            </w:hyperlink>
            <w:r>
              <w:rPr>
                <w:rFonts w:ascii="Arial" w:hAnsi="Arial" w:cs="Arial"/>
                <w:i/>
                <w:iCs/>
                <w:color w:val="414142"/>
                <w:sz w:val="20"/>
                <w:szCs w:val="20"/>
              </w:rPr>
              <w:t> un </w:t>
            </w:r>
            <w:hyperlink r:id="rId18" w:tgtFrame="_blank" w:history="1">
              <w:r>
                <w:rPr>
                  <w:rStyle w:val="Hyperlink"/>
                  <w:rFonts w:ascii="Arial" w:hAnsi="Arial" w:cs="Arial"/>
                  <w:i/>
                  <w:iCs/>
                  <w:sz w:val="20"/>
                  <w:szCs w:val="20"/>
                </w:rPr>
                <w:t>18.01.2018</w:t>
              </w:r>
            </w:hyperlink>
            <w:r>
              <w:rPr>
                <w:rFonts w:ascii="Arial" w:hAnsi="Arial" w:cs="Arial"/>
                <w:i/>
                <w:iCs/>
                <w:color w:val="414142"/>
                <w:sz w:val="20"/>
                <w:szCs w:val="20"/>
              </w:rPr>
              <w:t>. likumu, kas stājas spēkā </w:t>
            </w:r>
            <w:hyperlink r:id="rId19" w:tgtFrame="_blank" w:history="1">
              <w:r>
                <w:rPr>
                  <w:rStyle w:val="Hyperlink"/>
                  <w:rFonts w:ascii="Arial" w:hAnsi="Arial" w:cs="Arial"/>
                  <w:i/>
                  <w:iCs/>
                  <w:sz w:val="20"/>
                  <w:szCs w:val="20"/>
                </w:rPr>
                <w:t>12.02.2018.</w:t>
              </w:r>
            </w:hyperlink>
            <w:r>
              <w:rPr>
                <w:rFonts w:ascii="Arial" w:hAnsi="Arial" w:cs="Arial"/>
                <w:i/>
                <w:iCs/>
                <w:color w:val="414142"/>
                <w:sz w:val="20"/>
                <w:szCs w:val="20"/>
              </w:rPr>
              <w:t>)</w:t>
            </w:r>
          </w:p>
        </w:tc>
        <w:tc>
          <w:tcPr>
            <w:tcW w:w="784" w:type="dxa"/>
          </w:tcPr>
          <w:p w14:paraId="332A2918" w14:textId="77777777" w:rsidR="002C38C3" w:rsidRDefault="002C38C3" w:rsidP="009E4A2A">
            <w:pPr>
              <w:jc w:val="center"/>
              <w:rPr>
                <w:rFonts w:cs="Times New Roman"/>
                <w:b/>
                <w:sz w:val="26"/>
                <w:szCs w:val="26"/>
              </w:rPr>
            </w:pPr>
          </w:p>
          <w:p w14:paraId="40E8E2D7" w14:textId="77777777" w:rsidR="002C38C3" w:rsidRDefault="002C38C3" w:rsidP="009E4A2A">
            <w:pPr>
              <w:jc w:val="center"/>
              <w:rPr>
                <w:rFonts w:cs="Times New Roman"/>
                <w:b/>
                <w:sz w:val="26"/>
                <w:szCs w:val="26"/>
              </w:rPr>
            </w:pPr>
          </w:p>
          <w:p w14:paraId="31141A34" w14:textId="77777777" w:rsidR="002C38C3" w:rsidRDefault="002C38C3" w:rsidP="009E4A2A">
            <w:pPr>
              <w:jc w:val="center"/>
              <w:rPr>
                <w:rFonts w:cs="Times New Roman"/>
                <w:b/>
                <w:sz w:val="26"/>
                <w:szCs w:val="26"/>
              </w:rPr>
            </w:pPr>
          </w:p>
          <w:p w14:paraId="486810B1" w14:textId="77777777" w:rsidR="002C38C3" w:rsidRDefault="002C38C3" w:rsidP="009E4A2A">
            <w:pPr>
              <w:jc w:val="center"/>
              <w:rPr>
                <w:rFonts w:cs="Times New Roman"/>
                <w:b/>
                <w:sz w:val="26"/>
                <w:szCs w:val="26"/>
              </w:rPr>
            </w:pPr>
          </w:p>
          <w:p w14:paraId="6D9AACF5" w14:textId="77777777" w:rsidR="002C38C3" w:rsidRDefault="002C38C3" w:rsidP="009E4A2A">
            <w:pPr>
              <w:jc w:val="center"/>
              <w:rPr>
                <w:rFonts w:cs="Times New Roman"/>
                <w:b/>
                <w:sz w:val="26"/>
                <w:szCs w:val="26"/>
              </w:rPr>
            </w:pPr>
          </w:p>
          <w:p w14:paraId="6BD042A5" w14:textId="77777777" w:rsidR="002C38C3" w:rsidRDefault="002C38C3" w:rsidP="009E4A2A">
            <w:pPr>
              <w:jc w:val="center"/>
              <w:rPr>
                <w:rFonts w:cs="Times New Roman"/>
                <w:b/>
                <w:sz w:val="26"/>
                <w:szCs w:val="26"/>
              </w:rPr>
            </w:pPr>
          </w:p>
          <w:p w14:paraId="00D90BA1" w14:textId="61EA1263" w:rsidR="00AC6B37" w:rsidRPr="004D5232" w:rsidRDefault="00AC6B37" w:rsidP="009E4A2A">
            <w:pPr>
              <w:jc w:val="center"/>
              <w:rPr>
                <w:rFonts w:cs="Times New Roman"/>
                <w:b/>
                <w:sz w:val="26"/>
                <w:szCs w:val="26"/>
              </w:rPr>
            </w:pPr>
            <w:r w:rsidRPr="004D5232">
              <w:rPr>
                <w:rFonts w:cs="Times New Roman"/>
                <w:b/>
                <w:sz w:val="26"/>
                <w:szCs w:val="26"/>
              </w:rPr>
              <w:t>2.</w:t>
            </w:r>
          </w:p>
        </w:tc>
        <w:tc>
          <w:tcPr>
            <w:tcW w:w="5518" w:type="dxa"/>
          </w:tcPr>
          <w:p w14:paraId="58ED20E4" w14:textId="77777777" w:rsidR="002C38C3" w:rsidRDefault="002C38C3" w:rsidP="00355991">
            <w:pPr>
              <w:shd w:val="clear" w:color="auto" w:fill="FFFFFF"/>
              <w:spacing w:before="100" w:beforeAutospacing="1"/>
              <w:jc w:val="both"/>
              <w:rPr>
                <w:rFonts w:eastAsia="Times New Roman" w:cs="Times New Roman"/>
                <w:color w:val="000000"/>
                <w:sz w:val="26"/>
                <w:szCs w:val="26"/>
                <w:lang w:eastAsia="lv-LV"/>
              </w:rPr>
            </w:pPr>
          </w:p>
          <w:p w14:paraId="3BA64301" w14:textId="77777777" w:rsidR="002C38C3" w:rsidRDefault="002C38C3" w:rsidP="00355991">
            <w:pPr>
              <w:shd w:val="clear" w:color="auto" w:fill="FFFFFF"/>
              <w:spacing w:before="100" w:beforeAutospacing="1"/>
              <w:jc w:val="both"/>
              <w:rPr>
                <w:rFonts w:eastAsia="Times New Roman" w:cs="Times New Roman"/>
                <w:color w:val="000000"/>
                <w:sz w:val="26"/>
                <w:szCs w:val="26"/>
                <w:lang w:eastAsia="lv-LV"/>
              </w:rPr>
            </w:pPr>
          </w:p>
          <w:p w14:paraId="6F56517B" w14:textId="77777777" w:rsidR="002C38C3" w:rsidRDefault="002C38C3" w:rsidP="00355991">
            <w:pPr>
              <w:shd w:val="clear" w:color="auto" w:fill="FFFFFF"/>
              <w:spacing w:before="100" w:beforeAutospacing="1"/>
              <w:jc w:val="both"/>
              <w:rPr>
                <w:rFonts w:eastAsia="Times New Roman" w:cs="Times New Roman"/>
                <w:color w:val="000000"/>
                <w:sz w:val="26"/>
                <w:szCs w:val="26"/>
                <w:lang w:eastAsia="lv-LV"/>
              </w:rPr>
            </w:pPr>
          </w:p>
          <w:p w14:paraId="532C6047" w14:textId="74655AB9" w:rsidR="00355991" w:rsidRPr="004D5232" w:rsidRDefault="001E61B5" w:rsidP="00355991">
            <w:pPr>
              <w:shd w:val="clear" w:color="auto" w:fill="FFFFFF"/>
              <w:spacing w:before="100" w:beforeAutospacing="1"/>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Izteikt 42. panta ceturto daļu šādā redakcijā:</w:t>
            </w:r>
          </w:p>
          <w:p w14:paraId="54776EF5" w14:textId="5F724167" w:rsidR="00AC6B37" w:rsidRPr="004D5232" w:rsidRDefault="009D4771" w:rsidP="00355991">
            <w:pPr>
              <w:shd w:val="clear" w:color="auto" w:fill="FFFFFF"/>
              <w:spacing w:before="100" w:beforeAutospacing="1"/>
              <w:jc w:val="both"/>
              <w:rPr>
                <w:rFonts w:eastAsia="Times New Roman" w:cs="Times New Roman"/>
                <w:color w:val="000000"/>
                <w:sz w:val="26"/>
                <w:szCs w:val="26"/>
                <w:lang w:eastAsia="lv-LV"/>
              </w:rPr>
            </w:pPr>
            <w:r>
              <w:rPr>
                <w:rFonts w:eastAsia="Times New Roman" w:cs="Times New Roman"/>
                <w:color w:val="000000"/>
                <w:sz w:val="26"/>
                <w:szCs w:val="26"/>
                <w:lang w:eastAsia="lv-LV"/>
              </w:rPr>
              <w:t>“</w:t>
            </w:r>
            <w:r w:rsidR="001E61B5" w:rsidRPr="004D5232">
              <w:rPr>
                <w:rFonts w:eastAsia="Times New Roman" w:cs="Times New Roman"/>
                <w:color w:val="000000"/>
                <w:sz w:val="26"/>
                <w:szCs w:val="26"/>
                <w:lang w:eastAsia="lv-LV"/>
              </w:rPr>
              <w:t>(</w:t>
            </w:r>
            <w:r w:rsidR="001E61B5" w:rsidRPr="001760C7">
              <w:rPr>
                <w:rFonts w:eastAsia="Times New Roman" w:cs="Times New Roman"/>
                <w:color w:val="000000"/>
                <w:sz w:val="26"/>
                <w:szCs w:val="26"/>
                <w:lang w:eastAsia="lv-LV"/>
              </w:rPr>
              <w:t>4) Ja apgabaltiesas tiesu kolēģijā ir vairāk par 12 tiesnešiem, var izveidot divas vai vairākas attiecīgā nosaukuma tiesu kolēģijas.</w:t>
            </w:r>
          </w:p>
        </w:tc>
        <w:tc>
          <w:tcPr>
            <w:tcW w:w="2121" w:type="dxa"/>
          </w:tcPr>
          <w:p w14:paraId="200C8325" w14:textId="77777777" w:rsidR="00DB116F" w:rsidRDefault="00DB116F" w:rsidP="00447403">
            <w:pPr>
              <w:jc w:val="both"/>
              <w:rPr>
                <w:rFonts w:cs="Times New Roman"/>
                <w:bCs/>
                <w:sz w:val="26"/>
                <w:szCs w:val="26"/>
              </w:rPr>
            </w:pPr>
          </w:p>
          <w:p w14:paraId="492CAE71" w14:textId="77777777" w:rsidR="00DB116F" w:rsidRDefault="00DB116F" w:rsidP="00447403">
            <w:pPr>
              <w:jc w:val="both"/>
              <w:rPr>
                <w:rFonts w:cs="Times New Roman"/>
                <w:bCs/>
                <w:sz w:val="26"/>
                <w:szCs w:val="26"/>
              </w:rPr>
            </w:pPr>
          </w:p>
          <w:p w14:paraId="212A5A4C" w14:textId="77777777" w:rsidR="00DB116F" w:rsidRDefault="00DB116F" w:rsidP="00447403">
            <w:pPr>
              <w:jc w:val="both"/>
              <w:rPr>
                <w:rFonts w:cs="Times New Roman"/>
                <w:bCs/>
                <w:sz w:val="26"/>
                <w:szCs w:val="26"/>
              </w:rPr>
            </w:pPr>
          </w:p>
          <w:p w14:paraId="7F42B0BE" w14:textId="77777777" w:rsidR="00DB116F" w:rsidRDefault="00DB116F" w:rsidP="00447403">
            <w:pPr>
              <w:jc w:val="both"/>
              <w:rPr>
                <w:rFonts w:cs="Times New Roman"/>
                <w:bCs/>
                <w:sz w:val="26"/>
                <w:szCs w:val="26"/>
              </w:rPr>
            </w:pPr>
          </w:p>
          <w:p w14:paraId="15AB4760" w14:textId="77777777" w:rsidR="00DB116F" w:rsidRDefault="00DB116F" w:rsidP="00447403">
            <w:pPr>
              <w:jc w:val="both"/>
              <w:rPr>
                <w:rFonts w:cs="Times New Roman"/>
                <w:bCs/>
                <w:sz w:val="26"/>
                <w:szCs w:val="26"/>
              </w:rPr>
            </w:pPr>
          </w:p>
          <w:p w14:paraId="6B4B9225" w14:textId="77777777" w:rsidR="00DB116F" w:rsidRDefault="00DB116F" w:rsidP="00447403">
            <w:pPr>
              <w:jc w:val="both"/>
              <w:rPr>
                <w:rFonts w:cs="Times New Roman"/>
                <w:bCs/>
                <w:sz w:val="26"/>
                <w:szCs w:val="26"/>
              </w:rPr>
            </w:pPr>
          </w:p>
          <w:p w14:paraId="28E009E6" w14:textId="61C33DEE" w:rsidR="00DB116F" w:rsidRPr="009678C1" w:rsidRDefault="009678C1" w:rsidP="00447403">
            <w:pPr>
              <w:jc w:val="both"/>
              <w:rPr>
                <w:rFonts w:cs="Times New Roman"/>
                <w:b/>
                <w:bCs/>
                <w:sz w:val="26"/>
                <w:szCs w:val="26"/>
              </w:rPr>
            </w:pPr>
            <w:r w:rsidRPr="009678C1">
              <w:rPr>
                <w:rFonts w:cs="Times New Roman"/>
                <w:b/>
                <w:bCs/>
                <w:sz w:val="26"/>
                <w:szCs w:val="26"/>
              </w:rPr>
              <w:t>Neatbalstīt</w:t>
            </w:r>
          </w:p>
          <w:p w14:paraId="3554A415" w14:textId="77777777" w:rsidR="00DB116F" w:rsidRDefault="00DB116F" w:rsidP="00447403">
            <w:pPr>
              <w:jc w:val="both"/>
              <w:rPr>
                <w:rFonts w:cs="Times New Roman"/>
                <w:bCs/>
                <w:sz w:val="26"/>
                <w:szCs w:val="26"/>
              </w:rPr>
            </w:pPr>
          </w:p>
          <w:p w14:paraId="2BA3CAA3" w14:textId="77777777" w:rsidR="00AC6B37" w:rsidRDefault="00AC6B37" w:rsidP="00447403">
            <w:pPr>
              <w:jc w:val="both"/>
              <w:rPr>
                <w:rFonts w:cs="Times New Roman"/>
                <w:bCs/>
                <w:sz w:val="26"/>
                <w:szCs w:val="26"/>
              </w:rPr>
            </w:pPr>
          </w:p>
          <w:p w14:paraId="04E8A232" w14:textId="57F9F7C9" w:rsidR="00172339" w:rsidRPr="004D5232" w:rsidRDefault="00172339" w:rsidP="00447403">
            <w:pPr>
              <w:jc w:val="both"/>
              <w:rPr>
                <w:rFonts w:cs="Times New Roman"/>
                <w:bCs/>
                <w:sz w:val="26"/>
                <w:szCs w:val="26"/>
              </w:rPr>
            </w:pPr>
          </w:p>
        </w:tc>
      </w:tr>
      <w:tr w:rsidR="009E4A2A" w:rsidRPr="004D5232" w14:paraId="250300F7" w14:textId="77777777" w:rsidTr="009E36E6">
        <w:tc>
          <w:tcPr>
            <w:tcW w:w="6167" w:type="dxa"/>
          </w:tcPr>
          <w:p w14:paraId="00B100AE"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b/>
                <w:bCs/>
                <w:color w:val="414142"/>
                <w:sz w:val="20"/>
                <w:szCs w:val="20"/>
              </w:rPr>
              <w:t>73.</w:t>
            </w:r>
            <w:r>
              <w:rPr>
                <w:rFonts w:ascii="Arial" w:hAnsi="Arial" w:cs="Arial"/>
                <w:b/>
                <w:bCs/>
                <w:color w:val="414142"/>
                <w:sz w:val="20"/>
                <w:szCs w:val="20"/>
                <w:vertAlign w:val="superscript"/>
              </w:rPr>
              <w:t>1</w:t>
            </w:r>
            <w:r>
              <w:rPr>
                <w:rFonts w:ascii="Arial" w:hAnsi="Arial" w:cs="Arial"/>
                <w:b/>
                <w:bCs/>
                <w:color w:val="414142"/>
                <w:sz w:val="20"/>
                <w:szCs w:val="20"/>
              </w:rPr>
              <w:t> pants. Tiesneša pārcelšana uz vakanto tiesneša amatu</w:t>
            </w:r>
          </w:p>
          <w:p w14:paraId="2173C15E"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(1) Tieslietu padome, pamatojoties uz pozitīvu Tiesnešu kvalifikācijas kolēģijas atzinumu, lemj par tiesneša pārcelšanu citā tāda paša līmeņa tiesā vai tiesu namā. Tiesnešu kvalifikācijas kolēģija pirms atzinuma sniegšanas veic tiesneša profesionālās darbības ārpuskārtas novērtēšanu gadījumos, kad:</w:t>
            </w:r>
          </w:p>
          <w:p w14:paraId="70CE08CA" w14:textId="77777777" w:rsidR="002C38C3" w:rsidRDefault="002C38C3" w:rsidP="002C38C3">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1) </w:t>
            </w:r>
            <w:r>
              <w:rPr>
                <w:rStyle w:val="fontsize2"/>
                <w:rFonts w:ascii="Arial" w:hAnsi="Arial" w:cs="Arial"/>
                <w:i/>
                <w:iCs/>
                <w:color w:val="414142"/>
                <w:sz w:val="20"/>
                <w:szCs w:val="20"/>
              </w:rPr>
              <w:t>(izslēgts ar </w:t>
            </w:r>
            <w:hyperlink r:id="rId20" w:tgtFrame="_blank" w:history="1">
              <w:r>
                <w:rPr>
                  <w:rStyle w:val="Hyperlink"/>
                  <w:rFonts w:ascii="Arial" w:hAnsi="Arial" w:cs="Arial"/>
                  <w:i/>
                  <w:iCs/>
                  <w:color w:val="16497B"/>
                  <w:sz w:val="20"/>
                  <w:szCs w:val="20"/>
                </w:rPr>
                <w:t>21.07.2011</w:t>
              </w:r>
            </w:hyperlink>
            <w:r>
              <w:rPr>
                <w:rStyle w:val="fontsize2"/>
                <w:rFonts w:ascii="Arial" w:hAnsi="Arial" w:cs="Arial"/>
                <w:i/>
                <w:iCs/>
                <w:color w:val="414142"/>
                <w:sz w:val="20"/>
                <w:szCs w:val="20"/>
              </w:rPr>
              <w:t>. likumu)</w:t>
            </w:r>
            <w:r>
              <w:rPr>
                <w:rFonts w:ascii="Arial" w:hAnsi="Arial" w:cs="Arial"/>
                <w:color w:val="414142"/>
                <w:sz w:val="20"/>
                <w:szCs w:val="20"/>
              </w:rPr>
              <w:t>;</w:t>
            </w:r>
          </w:p>
          <w:p w14:paraId="2B342A54" w14:textId="77777777" w:rsidR="002C38C3" w:rsidRPr="002C38C3" w:rsidRDefault="002C38C3" w:rsidP="002C38C3">
            <w:pPr>
              <w:pStyle w:val="tv213"/>
              <w:shd w:val="clear" w:color="auto" w:fill="FFFFFF"/>
              <w:spacing w:before="0" w:beforeAutospacing="0" w:after="0" w:afterAutospacing="0" w:line="293" w:lineRule="atLeast"/>
              <w:ind w:left="600"/>
              <w:jc w:val="both"/>
              <w:rPr>
                <w:rFonts w:ascii="Arial" w:hAnsi="Arial" w:cs="Arial"/>
                <w:color w:val="414142"/>
                <w:sz w:val="20"/>
                <w:szCs w:val="20"/>
                <w:u w:val="single"/>
              </w:rPr>
            </w:pPr>
            <w:r>
              <w:rPr>
                <w:rFonts w:ascii="Arial" w:hAnsi="Arial" w:cs="Arial"/>
                <w:color w:val="414142"/>
                <w:sz w:val="20"/>
                <w:szCs w:val="20"/>
              </w:rPr>
              <w:t xml:space="preserve">2) </w:t>
            </w:r>
            <w:r w:rsidRPr="002C38C3">
              <w:rPr>
                <w:rFonts w:ascii="Arial" w:hAnsi="Arial" w:cs="Arial"/>
                <w:color w:val="414142"/>
                <w:sz w:val="20"/>
                <w:szCs w:val="20"/>
                <w:u w:val="single"/>
              </w:rPr>
              <w:t>rajona (pilsētas) tiesas tiesnesis pieteicies uz tiesneša amata vakanci Administratīvajā rajona tiesā;</w:t>
            </w:r>
          </w:p>
          <w:p w14:paraId="0B489AD5" w14:textId="77777777" w:rsidR="002C38C3" w:rsidRPr="002C38C3" w:rsidRDefault="002C38C3" w:rsidP="002C38C3">
            <w:pPr>
              <w:pStyle w:val="tv213"/>
              <w:shd w:val="clear" w:color="auto" w:fill="FFFFFF"/>
              <w:spacing w:before="0" w:beforeAutospacing="0" w:after="0" w:afterAutospacing="0" w:line="293" w:lineRule="atLeast"/>
              <w:ind w:left="600"/>
              <w:jc w:val="both"/>
              <w:rPr>
                <w:rFonts w:ascii="Arial" w:hAnsi="Arial" w:cs="Arial"/>
                <w:color w:val="414142"/>
                <w:sz w:val="20"/>
                <w:szCs w:val="20"/>
                <w:u w:val="single"/>
              </w:rPr>
            </w:pPr>
            <w:r w:rsidRPr="002C38C3">
              <w:rPr>
                <w:rFonts w:ascii="Arial" w:hAnsi="Arial" w:cs="Arial"/>
                <w:color w:val="414142"/>
                <w:sz w:val="20"/>
                <w:szCs w:val="20"/>
                <w:u w:val="single"/>
              </w:rPr>
              <w:t>3) Administratīvās rajona tiesas tiesnesis pieteicies uz tiesneša amata vakanci rajona (pilsētas) tiesā;</w:t>
            </w:r>
          </w:p>
          <w:p w14:paraId="7B688756" w14:textId="77777777" w:rsidR="002C38C3" w:rsidRDefault="002C38C3" w:rsidP="002C38C3">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4) apgabaltiesas tiesnesis pieteicies uz tiesneša amata vakanci Administratīvajā apgabaltiesā;</w:t>
            </w:r>
          </w:p>
          <w:p w14:paraId="741CE3A7" w14:textId="77777777" w:rsidR="002C38C3" w:rsidRDefault="002C38C3" w:rsidP="002C38C3">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5) Administratīvās apgabaltiesas tiesnesis pieteicies uz amata vakanci citā apgabaltiesā.</w:t>
            </w:r>
          </w:p>
          <w:p w14:paraId="13566FC9"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(2) Tieslietu padome, pamatojoties uz pozitīvu Tiesnešu kvalifikācijas kolēģijas atzinumu, lemj par tiesneša pārcelšanu darbā apgabaltiesā. Tiesnešu kvalifikācijas kolēģija pirms atzinuma sniegšanas veic tiesneša profesionālās darbības ārpuskārtas novērtēšanu gadījumos, kad:</w:t>
            </w:r>
          </w:p>
          <w:p w14:paraId="760B3E12" w14:textId="77777777" w:rsidR="002C38C3" w:rsidRDefault="002C38C3" w:rsidP="002C38C3">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1) </w:t>
            </w:r>
            <w:r>
              <w:rPr>
                <w:rStyle w:val="fontsize2"/>
                <w:rFonts w:ascii="Arial" w:hAnsi="Arial" w:cs="Arial"/>
                <w:i/>
                <w:iCs/>
                <w:color w:val="414142"/>
                <w:sz w:val="20"/>
                <w:szCs w:val="20"/>
              </w:rPr>
              <w:t>(izslēgts ar </w:t>
            </w:r>
            <w:hyperlink r:id="rId21" w:tgtFrame="_blank" w:history="1">
              <w:r>
                <w:rPr>
                  <w:rStyle w:val="Hyperlink"/>
                  <w:rFonts w:ascii="Arial" w:hAnsi="Arial" w:cs="Arial"/>
                  <w:i/>
                  <w:iCs/>
                  <w:color w:val="16497B"/>
                  <w:sz w:val="20"/>
                  <w:szCs w:val="20"/>
                </w:rPr>
                <w:t>21.07.2011</w:t>
              </w:r>
            </w:hyperlink>
            <w:r>
              <w:rPr>
                <w:rStyle w:val="fontsize2"/>
                <w:rFonts w:ascii="Arial" w:hAnsi="Arial" w:cs="Arial"/>
                <w:i/>
                <w:iCs/>
                <w:color w:val="414142"/>
                <w:sz w:val="20"/>
                <w:szCs w:val="20"/>
              </w:rPr>
              <w:t>. likumu)</w:t>
            </w:r>
            <w:r>
              <w:rPr>
                <w:rFonts w:ascii="Arial" w:hAnsi="Arial" w:cs="Arial"/>
                <w:color w:val="414142"/>
                <w:sz w:val="20"/>
                <w:szCs w:val="20"/>
              </w:rPr>
              <w:t>;</w:t>
            </w:r>
          </w:p>
          <w:p w14:paraId="28592064" w14:textId="77777777" w:rsidR="002C38C3" w:rsidRPr="002C38C3" w:rsidRDefault="002C38C3" w:rsidP="002C38C3">
            <w:pPr>
              <w:pStyle w:val="tv213"/>
              <w:shd w:val="clear" w:color="auto" w:fill="FFFFFF"/>
              <w:spacing w:before="0" w:beforeAutospacing="0" w:after="0" w:afterAutospacing="0" w:line="293" w:lineRule="atLeast"/>
              <w:ind w:left="600"/>
              <w:jc w:val="both"/>
              <w:rPr>
                <w:rFonts w:ascii="Arial" w:hAnsi="Arial" w:cs="Arial"/>
                <w:color w:val="414142"/>
                <w:sz w:val="20"/>
                <w:szCs w:val="20"/>
                <w:u w:val="single"/>
              </w:rPr>
            </w:pPr>
            <w:r>
              <w:rPr>
                <w:rFonts w:ascii="Arial" w:hAnsi="Arial" w:cs="Arial"/>
                <w:color w:val="414142"/>
                <w:sz w:val="20"/>
                <w:szCs w:val="20"/>
              </w:rPr>
              <w:lastRenderedPageBreak/>
              <w:t xml:space="preserve">2) </w:t>
            </w:r>
            <w:r w:rsidRPr="002C38C3">
              <w:rPr>
                <w:rFonts w:ascii="Arial" w:hAnsi="Arial" w:cs="Arial"/>
                <w:color w:val="414142"/>
                <w:sz w:val="20"/>
                <w:szCs w:val="20"/>
                <w:u w:val="single"/>
              </w:rPr>
              <w:t>rajona (pilsētas) tiesas tiesnesis pieteicies uz tiesneša amata vakanci Administratīvajā apgabaltiesā;</w:t>
            </w:r>
          </w:p>
          <w:p w14:paraId="7E3C6CDF" w14:textId="77777777" w:rsidR="002C38C3" w:rsidRPr="002C38C3" w:rsidRDefault="002C38C3" w:rsidP="002C38C3">
            <w:pPr>
              <w:pStyle w:val="tv213"/>
              <w:shd w:val="clear" w:color="auto" w:fill="FFFFFF"/>
              <w:spacing w:before="0" w:beforeAutospacing="0" w:after="0" w:afterAutospacing="0" w:line="293" w:lineRule="atLeast"/>
              <w:ind w:left="600"/>
              <w:jc w:val="both"/>
              <w:rPr>
                <w:rFonts w:ascii="Arial" w:hAnsi="Arial" w:cs="Arial"/>
                <w:color w:val="414142"/>
                <w:sz w:val="20"/>
                <w:szCs w:val="20"/>
                <w:u w:val="single"/>
              </w:rPr>
            </w:pPr>
            <w:r w:rsidRPr="002C38C3">
              <w:rPr>
                <w:rFonts w:ascii="Arial" w:hAnsi="Arial" w:cs="Arial"/>
                <w:color w:val="414142"/>
                <w:sz w:val="20"/>
                <w:szCs w:val="20"/>
                <w:u w:val="single"/>
              </w:rPr>
              <w:t>3) Administratīvās rajona tiesas tiesnesis pieteicies uz tiesneša amata vakanci apgabaltiesā.</w:t>
            </w:r>
          </w:p>
          <w:p w14:paraId="6F29B154"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(2</w:t>
            </w:r>
            <w:r>
              <w:rPr>
                <w:rFonts w:ascii="Arial" w:hAnsi="Arial" w:cs="Arial"/>
                <w:color w:val="414142"/>
                <w:sz w:val="20"/>
                <w:szCs w:val="20"/>
                <w:vertAlign w:val="superscript"/>
              </w:rPr>
              <w:t>1</w:t>
            </w:r>
            <w:r>
              <w:rPr>
                <w:rFonts w:ascii="Arial" w:hAnsi="Arial" w:cs="Arial"/>
                <w:color w:val="414142"/>
                <w:sz w:val="20"/>
                <w:szCs w:val="20"/>
              </w:rPr>
              <w:t>) Tieslietu padome lemj par tiesneša pārcelšanu amatā zemāka līmeņa tiesā. Tiesnesi var pārcelt zemāka līmeņa tiesas tiesneša amatā, ja viņš devis rakstveida piekrišanu.</w:t>
            </w:r>
          </w:p>
          <w:p w14:paraId="2D84C958"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(3) Ja tiesnesis saņēmis pozitīvu atzinumu, Tiesnešu kvalifikācijas kolēģija virza viņa kandidatūru pārcelšanai amatā. Ja uz vienu amata vakanci pretendē vairāki kandidāti, kas saņēmuši pozitīvu atzinumu, Tiesnešu kvalifikācijas kolēģija pieņem motivētu lēmumu un pārcelšanai amatā virza piemērotāko kandidātu.</w:t>
            </w:r>
          </w:p>
          <w:p w14:paraId="5A2D091D" w14:textId="77777777" w:rsidR="002C38C3" w:rsidRDefault="002C38C3" w:rsidP="002C38C3">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(4) Tieslietu padome pēc Augstākās tiesas priekšsēdētāja priekšlikuma, pamatojoties uz pozitīvu attiecīgā Senāta departamenta senatoru kopsapulces atzinumu, lemj par tiesneša pārcelšanu Augstākās tiesas tiesneša amatā.</w:t>
            </w:r>
          </w:p>
          <w:p w14:paraId="193B20CC" w14:textId="3ED94E25" w:rsidR="00AC6B37" w:rsidRPr="002C38C3" w:rsidRDefault="002C38C3" w:rsidP="002C38C3">
            <w:pPr>
              <w:pStyle w:val="labojumupamats"/>
              <w:shd w:val="clear" w:color="auto" w:fill="FFFFFF"/>
              <w:spacing w:before="45" w:beforeAutospacing="0" w:after="0" w:afterAutospacing="0" w:line="248" w:lineRule="atLeast"/>
              <w:ind w:firstLine="300"/>
              <w:jc w:val="both"/>
              <w:rPr>
                <w:rFonts w:ascii="Arial" w:hAnsi="Arial" w:cs="Arial"/>
                <w:i/>
                <w:iCs/>
                <w:color w:val="414142"/>
                <w:sz w:val="20"/>
                <w:szCs w:val="20"/>
              </w:rPr>
            </w:pPr>
            <w:r>
              <w:rPr>
                <w:rFonts w:ascii="Arial" w:hAnsi="Arial" w:cs="Arial"/>
                <w:i/>
                <w:iCs/>
                <w:color w:val="414142"/>
                <w:sz w:val="20"/>
                <w:szCs w:val="20"/>
              </w:rPr>
              <w:t>(</w:t>
            </w:r>
            <w:hyperlink r:id="rId22" w:tgtFrame="_blank" w:history="1">
              <w:r>
                <w:rPr>
                  <w:rStyle w:val="Hyperlink"/>
                  <w:rFonts w:ascii="Arial" w:hAnsi="Arial" w:cs="Arial"/>
                  <w:i/>
                  <w:iCs/>
                  <w:sz w:val="20"/>
                  <w:szCs w:val="20"/>
                </w:rPr>
                <w:t>03.06.2010</w:t>
              </w:r>
            </w:hyperlink>
            <w:r>
              <w:rPr>
                <w:rFonts w:ascii="Arial" w:hAnsi="Arial" w:cs="Arial"/>
                <w:i/>
                <w:iCs/>
                <w:color w:val="414142"/>
                <w:sz w:val="20"/>
                <w:szCs w:val="20"/>
              </w:rPr>
              <w:t>. likuma redakcijā ar grozījumiem, kas izdarīti ar </w:t>
            </w:r>
            <w:hyperlink r:id="rId23" w:tgtFrame="_blank" w:history="1">
              <w:r>
                <w:rPr>
                  <w:rStyle w:val="Hyperlink"/>
                  <w:rFonts w:ascii="Arial" w:hAnsi="Arial" w:cs="Arial"/>
                  <w:i/>
                  <w:iCs/>
                  <w:sz w:val="20"/>
                  <w:szCs w:val="20"/>
                </w:rPr>
                <w:t>09.06.2011.</w:t>
              </w:r>
            </w:hyperlink>
            <w:r>
              <w:rPr>
                <w:rFonts w:ascii="Arial" w:hAnsi="Arial" w:cs="Arial"/>
                <w:i/>
                <w:iCs/>
                <w:color w:val="414142"/>
                <w:sz w:val="20"/>
                <w:szCs w:val="20"/>
              </w:rPr>
              <w:t>, </w:t>
            </w:r>
            <w:hyperlink r:id="rId24" w:tgtFrame="_blank" w:history="1">
              <w:r>
                <w:rPr>
                  <w:rStyle w:val="Hyperlink"/>
                  <w:rFonts w:ascii="Arial" w:hAnsi="Arial" w:cs="Arial"/>
                  <w:i/>
                  <w:iCs/>
                  <w:sz w:val="20"/>
                  <w:szCs w:val="20"/>
                </w:rPr>
                <w:t>21.07.2011.</w:t>
              </w:r>
            </w:hyperlink>
            <w:r>
              <w:rPr>
                <w:rFonts w:ascii="Arial" w:hAnsi="Arial" w:cs="Arial"/>
                <w:i/>
                <w:iCs/>
                <w:color w:val="414142"/>
                <w:sz w:val="20"/>
                <w:szCs w:val="20"/>
              </w:rPr>
              <w:t>, </w:t>
            </w:r>
            <w:hyperlink r:id="rId25" w:tgtFrame="_blank" w:history="1">
              <w:r>
                <w:rPr>
                  <w:rStyle w:val="Hyperlink"/>
                  <w:rFonts w:ascii="Arial" w:hAnsi="Arial" w:cs="Arial"/>
                  <w:i/>
                  <w:iCs/>
                  <w:sz w:val="20"/>
                  <w:szCs w:val="20"/>
                </w:rPr>
                <w:t>13.06.2013.</w:t>
              </w:r>
            </w:hyperlink>
            <w:r>
              <w:rPr>
                <w:rFonts w:ascii="Arial" w:hAnsi="Arial" w:cs="Arial"/>
                <w:i/>
                <w:iCs/>
                <w:color w:val="414142"/>
                <w:sz w:val="20"/>
                <w:szCs w:val="20"/>
              </w:rPr>
              <w:t>, </w:t>
            </w:r>
            <w:hyperlink r:id="rId26" w:tgtFrame="_blank" w:history="1">
              <w:r>
                <w:rPr>
                  <w:rStyle w:val="Hyperlink"/>
                  <w:rFonts w:ascii="Arial" w:hAnsi="Arial" w:cs="Arial"/>
                  <w:i/>
                  <w:iCs/>
                  <w:sz w:val="20"/>
                  <w:szCs w:val="20"/>
                </w:rPr>
                <w:t>18.01.2018.</w:t>
              </w:r>
            </w:hyperlink>
            <w:r>
              <w:rPr>
                <w:rFonts w:ascii="Arial" w:hAnsi="Arial" w:cs="Arial"/>
                <w:i/>
                <w:iCs/>
                <w:color w:val="414142"/>
                <w:sz w:val="20"/>
                <w:szCs w:val="20"/>
              </w:rPr>
              <w:t> un </w:t>
            </w:r>
            <w:hyperlink r:id="rId27" w:tgtFrame="_blank" w:history="1">
              <w:r>
                <w:rPr>
                  <w:rStyle w:val="Hyperlink"/>
                  <w:rFonts w:ascii="Arial" w:hAnsi="Arial" w:cs="Arial"/>
                  <w:i/>
                  <w:iCs/>
                  <w:sz w:val="20"/>
                  <w:szCs w:val="20"/>
                </w:rPr>
                <w:t>25.10.2018</w:t>
              </w:r>
            </w:hyperlink>
            <w:r>
              <w:rPr>
                <w:rFonts w:ascii="Arial" w:hAnsi="Arial" w:cs="Arial"/>
                <w:i/>
                <w:iCs/>
                <w:color w:val="414142"/>
                <w:sz w:val="20"/>
                <w:szCs w:val="20"/>
              </w:rPr>
              <w:t>. likumu, kas stājas spēkā </w:t>
            </w:r>
            <w:hyperlink r:id="rId28" w:tgtFrame="_blank" w:history="1">
              <w:r>
                <w:rPr>
                  <w:rStyle w:val="Hyperlink"/>
                  <w:rFonts w:ascii="Arial" w:hAnsi="Arial" w:cs="Arial"/>
                  <w:i/>
                  <w:iCs/>
                  <w:sz w:val="20"/>
                  <w:szCs w:val="20"/>
                </w:rPr>
                <w:t>28.11.2018.</w:t>
              </w:r>
            </w:hyperlink>
            <w:r>
              <w:rPr>
                <w:rFonts w:ascii="Arial" w:hAnsi="Arial" w:cs="Arial"/>
                <w:i/>
                <w:iCs/>
                <w:color w:val="414142"/>
                <w:sz w:val="20"/>
                <w:szCs w:val="20"/>
              </w:rPr>
              <w:t>)</w:t>
            </w:r>
          </w:p>
        </w:tc>
        <w:tc>
          <w:tcPr>
            <w:tcW w:w="784" w:type="dxa"/>
          </w:tcPr>
          <w:p w14:paraId="0C65FC4B" w14:textId="77777777" w:rsidR="00AC6B37" w:rsidRPr="004D5232" w:rsidRDefault="00AC6B37" w:rsidP="009E4A2A">
            <w:pPr>
              <w:jc w:val="center"/>
              <w:rPr>
                <w:rFonts w:cs="Times New Roman"/>
                <w:b/>
                <w:sz w:val="26"/>
                <w:szCs w:val="26"/>
              </w:rPr>
            </w:pPr>
            <w:r w:rsidRPr="004D5232">
              <w:rPr>
                <w:rFonts w:cs="Times New Roman"/>
                <w:b/>
                <w:sz w:val="26"/>
                <w:szCs w:val="26"/>
              </w:rPr>
              <w:lastRenderedPageBreak/>
              <w:t>3.</w:t>
            </w:r>
          </w:p>
        </w:tc>
        <w:tc>
          <w:tcPr>
            <w:tcW w:w="5518" w:type="dxa"/>
          </w:tcPr>
          <w:p w14:paraId="4FE13902" w14:textId="79C0D5E8" w:rsidR="001E61B5" w:rsidRPr="001760C7" w:rsidRDefault="001E61B5" w:rsidP="001E61B5">
            <w:pPr>
              <w:shd w:val="clear" w:color="auto" w:fill="FFFFFF"/>
              <w:spacing w:before="100" w:beforeAutospacing="1"/>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73.</w:t>
            </w:r>
            <w:r w:rsidRPr="001760C7">
              <w:rPr>
                <w:rFonts w:eastAsia="Times New Roman" w:cs="Times New Roman"/>
                <w:color w:val="000000"/>
                <w:sz w:val="26"/>
                <w:szCs w:val="26"/>
                <w:vertAlign w:val="superscript"/>
                <w:lang w:eastAsia="lv-LV"/>
              </w:rPr>
              <w:t>1</w:t>
            </w:r>
            <w:r w:rsidRPr="001760C7">
              <w:rPr>
                <w:rFonts w:eastAsia="Times New Roman" w:cs="Times New Roman"/>
                <w:color w:val="000000"/>
                <w:sz w:val="26"/>
                <w:szCs w:val="26"/>
                <w:lang w:eastAsia="lv-LV"/>
              </w:rPr>
              <w:t> pantā:</w:t>
            </w:r>
          </w:p>
          <w:p w14:paraId="6C0D1217" w14:textId="734CEE99" w:rsidR="001E61B5" w:rsidRPr="001760C7" w:rsidRDefault="001E61B5" w:rsidP="001E61B5">
            <w:pPr>
              <w:shd w:val="clear" w:color="auto" w:fill="FFFFFF"/>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izteikt pirmās daļas 2. un 3. punktu šādā redakcijā: </w:t>
            </w:r>
          </w:p>
          <w:p w14:paraId="4C7BF1D8" w14:textId="7C8FF00A" w:rsidR="001E61B5" w:rsidRPr="001760C7" w:rsidRDefault="002C38C3" w:rsidP="001E61B5">
            <w:pPr>
              <w:shd w:val="clear" w:color="auto" w:fill="FFFFFF"/>
              <w:spacing w:before="100" w:beforeAutospacing="1"/>
              <w:jc w:val="both"/>
              <w:rPr>
                <w:rFonts w:eastAsia="Times New Roman" w:cs="Times New Roman"/>
                <w:color w:val="000000"/>
                <w:sz w:val="26"/>
                <w:szCs w:val="26"/>
                <w:lang w:eastAsia="lv-LV"/>
              </w:rPr>
            </w:pPr>
            <w:r>
              <w:rPr>
                <w:rFonts w:eastAsia="Times New Roman" w:cs="Times New Roman"/>
                <w:color w:val="000000"/>
                <w:sz w:val="26"/>
                <w:szCs w:val="26"/>
                <w:lang w:eastAsia="lv-LV"/>
              </w:rPr>
              <w:t>“</w:t>
            </w:r>
            <w:r w:rsidR="001E61B5" w:rsidRPr="001760C7">
              <w:rPr>
                <w:rFonts w:eastAsia="Times New Roman" w:cs="Times New Roman"/>
                <w:color w:val="000000"/>
                <w:sz w:val="26"/>
                <w:szCs w:val="26"/>
                <w:lang w:eastAsia="lv-LV"/>
              </w:rPr>
              <w:t>2) rajona (pilsētas) tiesas tiesnesis pieteicies uz tiesneša amata vakanci Administratīvajā rajona tiesā vai Ekonomisko lietu tiesā;</w:t>
            </w:r>
          </w:p>
          <w:p w14:paraId="49F9BE1D" w14:textId="77777777" w:rsidR="001E61B5" w:rsidRPr="001760C7" w:rsidRDefault="001E61B5" w:rsidP="001E61B5">
            <w:pPr>
              <w:shd w:val="clear" w:color="auto" w:fill="FFFFFF"/>
              <w:spacing w:before="100" w:beforeAutospacing="1"/>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3) Administratīvās rajona tiesas tiesnesis pieteicies uz tiesneša amata vakanci rajona (pilsētas) tiesā vai Ekonomisko lietu tiesā;";</w:t>
            </w:r>
          </w:p>
          <w:p w14:paraId="0CFF45CA" w14:textId="77777777" w:rsidR="001E61B5" w:rsidRPr="001760C7" w:rsidRDefault="001E61B5" w:rsidP="001E61B5">
            <w:pPr>
              <w:shd w:val="clear" w:color="auto" w:fill="FFFFFF"/>
              <w:ind w:firstLine="709"/>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 </w:t>
            </w:r>
          </w:p>
          <w:p w14:paraId="01B2BAAF" w14:textId="1D4D736D" w:rsidR="001E61B5" w:rsidRPr="001760C7" w:rsidRDefault="001E61B5" w:rsidP="004D5232">
            <w:pPr>
              <w:shd w:val="clear" w:color="auto" w:fill="FFFFFF"/>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papildināt pirmo daļu ar 3.</w:t>
            </w:r>
            <w:r w:rsidRPr="001760C7">
              <w:rPr>
                <w:rFonts w:eastAsia="Times New Roman" w:cs="Times New Roman"/>
                <w:color w:val="000000"/>
                <w:sz w:val="26"/>
                <w:szCs w:val="26"/>
                <w:vertAlign w:val="superscript"/>
                <w:lang w:eastAsia="lv-LV"/>
              </w:rPr>
              <w:t>1</w:t>
            </w:r>
            <w:r w:rsidRPr="001760C7">
              <w:rPr>
                <w:rFonts w:eastAsia="Times New Roman" w:cs="Times New Roman"/>
                <w:color w:val="000000"/>
                <w:sz w:val="26"/>
                <w:szCs w:val="26"/>
                <w:lang w:eastAsia="lv-LV"/>
              </w:rPr>
              <w:t> punktu šādā redakcijā: </w:t>
            </w:r>
          </w:p>
          <w:p w14:paraId="4AD68C20" w14:textId="194E16EA" w:rsidR="001E61B5" w:rsidRPr="001760C7" w:rsidRDefault="002C38C3" w:rsidP="004D5232">
            <w:pPr>
              <w:shd w:val="clear" w:color="auto" w:fill="FFFFFF"/>
              <w:jc w:val="both"/>
              <w:rPr>
                <w:rFonts w:eastAsia="Times New Roman" w:cs="Times New Roman"/>
                <w:color w:val="000000"/>
                <w:sz w:val="26"/>
                <w:szCs w:val="26"/>
                <w:lang w:eastAsia="lv-LV"/>
              </w:rPr>
            </w:pPr>
            <w:r>
              <w:rPr>
                <w:rFonts w:eastAsia="Times New Roman" w:cs="Times New Roman"/>
                <w:color w:val="000000"/>
                <w:sz w:val="26"/>
                <w:szCs w:val="26"/>
                <w:lang w:eastAsia="lv-LV"/>
              </w:rPr>
              <w:t>“</w:t>
            </w:r>
            <w:r w:rsidR="001E61B5" w:rsidRPr="001760C7">
              <w:rPr>
                <w:rFonts w:eastAsia="Times New Roman" w:cs="Times New Roman"/>
                <w:color w:val="000000"/>
                <w:sz w:val="26"/>
                <w:szCs w:val="26"/>
                <w:lang w:eastAsia="lv-LV"/>
              </w:rPr>
              <w:t>3</w:t>
            </w:r>
            <w:r w:rsidR="001E61B5" w:rsidRPr="001760C7">
              <w:rPr>
                <w:rFonts w:eastAsia="Times New Roman" w:cs="Times New Roman"/>
                <w:color w:val="000000"/>
                <w:sz w:val="26"/>
                <w:szCs w:val="26"/>
                <w:vertAlign w:val="superscript"/>
                <w:lang w:eastAsia="lv-LV"/>
              </w:rPr>
              <w:t>1</w:t>
            </w:r>
            <w:r w:rsidR="001E61B5" w:rsidRPr="001760C7">
              <w:rPr>
                <w:rFonts w:eastAsia="Times New Roman" w:cs="Times New Roman"/>
                <w:color w:val="000000"/>
                <w:sz w:val="26"/>
                <w:szCs w:val="26"/>
                <w:lang w:eastAsia="lv-LV"/>
              </w:rPr>
              <w:t>) Ekonomisko lietu tiesas tiesnesis pieteicies uz tiesneša amata vakanci rajona (pilsētas) tiesā vai Administratīvajā rajona tiesā;</w:t>
            </w:r>
            <w:r>
              <w:rPr>
                <w:rFonts w:eastAsia="Times New Roman" w:cs="Times New Roman"/>
                <w:color w:val="000000"/>
                <w:sz w:val="26"/>
                <w:szCs w:val="26"/>
                <w:lang w:eastAsia="lv-LV"/>
              </w:rPr>
              <w:t>”</w:t>
            </w:r>
            <w:r w:rsidR="001E61B5" w:rsidRPr="001760C7">
              <w:rPr>
                <w:rFonts w:eastAsia="Times New Roman" w:cs="Times New Roman"/>
                <w:color w:val="000000"/>
                <w:sz w:val="26"/>
                <w:szCs w:val="26"/>
                <w:lang w:eastAsia="lv-LV"/>
              </w:rPr>
              <w:t>; </w:t>
            </w:r>
          </w:p>
          <w:p w14:paraId="40E497DC" w14:textId="77777777" w:rsidR="004D5232" w:rsidRDefault="004D5232" w:rsidP="001E61B5">
            <w:pPr>
              <w:shd w:val="clear" w:color="auto" w:fill="FFFFFF"/>
              <w:jc w:val="both"/>
              <w:rPr>
                <w:rFonts w:eastAsia="Times New Roman" w:cs="Times New Roman"/>
                <w:color w:val="000000"/>
                <w:sz w:val="26"/>
                <w:szCs w:val="26"/>
                <w:lang w:eastAsia="lv-LV"/>
              </w:rPr>
            </w:pPr>
          </w:p>
          <w:p w14:paraId="1148D1C1" w14:textId="77777777" w:rsidR="002C38C3" w:rsidRDefault="002C38C3" w:rsidP="001E61B5">
            <w:pPr>
              <w:shd w:val="clear" w:color="auto" w:fill="FFFFFF"/>
              <w:jc w:val="both"/>
              <w:rPr>
                <w:rFonts w:eastAsia="Times New Roman" w:cs="Times New Roman"/>
                <w:color w:val="000000"/>
                <w:sz w:val="26"/>
                <w:szCs w:val="26"/>
                <w:lang w:eastAsia="lv-LV"/>
              </w:rPr>
            </w:pPr>
          </w:p>
          <w:p w14:paraId="6D0CEF3A" w14:textId="77777777" w:rsidR="002C38C3" w:rsidRDefault="002C38C3" w:rsidP="001E61B5">
            <w:pPr>
              <w:shd w:val="clear" w:color="auto" w:fill="FFFFFF"/>
              <w:jc w:val="both"/>
              <w:rPr>
                <w:rFonts w:eastAsia="Times New Roman" w:cs="Times New Roman"/>
                <w:color w:val="000000"/>
                <w:sz w:val="26"/>
                <w:szCs w:val="26"/>
                <w:lang w:eastAsia="lv-LV"/>
              </w:rPr>
            </w:pPr>
          </w:p>
          <w:p w14:paraId="26CDC3B2" w14:textId="77777777" w:rsidR="002C38C3" w:rsidRDefault="002C38C3" w:rsidP="001E61B5">
            <w:pPr>
              <w:shd w:val="clear" w:color="auto" w:fill="FFFFFF"/>
              <w:jc w:val="both"/>
              <w:rPr>
                <w:rFonts w:eastAsia="Times New Roman" w:cs="Times New Roman"/>
                <w:color w:val="000000"/>
                <w:sz w:val="26"/>
                <w:szCs w:val="26"/>
                <w:lang w:eastAsia="lv-LV"/>
              </w:rPr>
            </w:pPr>
          </w:p>
          <w:p w14:paraId="5C6EDB7E" w14:textId="244283FA" w:rsidR="001E61B5" w:rsidRPr="004D5232" w:rsidRDefault="001E61B5" w:rsidP="001E61B5">
            <w:pPr>
              <w:shd w:val="clear" w:color="auto" w:fill="FFFFFF"/>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izteikt otrās daļas 2. un 3. punktu šādā redakcijā:</w:t>
            </w:r>
          </w:p>
          <w:p w14:paraId="52EAB99F" w14:textId="5715380C" w:rsidR="001E61B5" w:rsidRPr="004D5232" w:rsidRDefault="002C38C3" w:rsidP="001E61B5">
            <w:pPr>
              <w:shd w:val="clear" w:color="auto" w:fill="FFFFFF"/>
              <w:jc w:val="both"/>
              <w:rPr>
                <w:rFonts w:eastAsia="Times New Roman" w:cs="Times New Roman"/>
                <w:color w:val="000000"/>
                <w:sz w:val="26"/>
                <w:szCs w:val="26"/>
                <w:lang w:eastAsia="lv-LV"/>
              </w:rPr>
            </w:pPr>
            <w:r>
              <w:rPr>
                <w:rFonts w:eastAsia="Times New Roman" w:cs="Times New Roman"/>
                <w:color w:val="000000"/>
                <w:sz w:val="26"/>
                <w:szCs w:val="26"/>
                <w:lang w:eastAsia="lv-LV"/>
              </w:rPr>
              <w:lastRenderedPageBreak/>
              <w:t>“</w:t>
            </w:r>
            <w:r w:rsidR="001E61B5" w:rsidRPr="001760C7">
              <w:rPr>
                <w:rFonts w:eastAsia="Times New Roman" w:cs="Times New Roman"/>
                <w:color w:val="000000"/>
                <w:sz w:val="26"/>
                <w:szCs w:val="26"/>
                <w:lang w:eastAsia="lv-LV"/>
              </w:rPr>
              <w:t>2) rajona (pilsētas) tiesas tiesnesis vai Ekonomisko lietu tiesas tiesnesis pieteicies uz tiesneša amata vakanci Administratīvajā apgabaltiesā;</w:t>
            </w:r>
          </w:p>
          <w:p w14:paraId="0A96E286" w14:textId="5D7C7411" w:rsidR="00AC6B37" w:rsidRPr="004D5232" w:rsidRDefault="001E61B5" w:rsidP="001E61B5">
            <w:pPr>
              <w:shd w:val="clear" w:color="auto" w:fill="FFFFFF"/>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3) Administratīvās rajona tiesas tiesnesis vai Ekonomisko lietu tiesas tiesnesis pieteicies uz tiesneša amata vakanci apgabaltiesā.</w:t>
            </w:r>
            <w:r w:rsidR="002C38C3">
              <w:rPr>
                <w:rFonts w:eastAsia="Times New Roman" w:cs="Times New Roman"/>
                <w:color w:val="000000"/>
                <w:sz w:val="26"/>
                <w:szCs w:val="26"/>
                <w:lang w:eastAsia="lv-LV"/>
              </w:rPr>
              <w:t>”</w:t>
            </w:r>
          </w:p>
        </w:tc>
        <w:tc>
          <w:tcPr>
            <w:tcW w:w="2121" w:type="dxa"/>
          </w:tcPr>
          <w:p w14:paraId="3302A942" w14:textId="77777777" w:rsidR="004D5232" w:rsidRPr="004D5232" w:rsidRDefault="004D5232" w:rsidP="00447403">
            <w:pPr>
              <w:jc w:val="both"/>
              <w:rPr>
                <w:rFonts w:cs="Times New Roman"/>
                <w:bCs/>
                <w:sz w:val="26"/>
                <w:szCs w:val="26"/>
              </w:rPr>
            </w:pPr>
          </w:p>
          <w:p w14:paraId="5699C09A" w14:textId="77777777" w:rsidR="009678C1" w:rsidRPr="009678C1" w:rsidRDefault="009678C1" w:rsidP="009678C1">
            <w:pPr>
              <w:jc w:val="both"/>
              <w:rPr>
                <w:rFonts w:cs="Times New Roman"/>
                <w:b/>
                <w:bCs/>
                <w:sz w:val="26"/>
                <w:szCs w:val="26"/>
              </w:rPr>
            </w:pPr>
            <w:r w:rsidRPr="009678C1">
              <w:rPr>
                <w:rFonts w:cs="Times New Roman"/>
                <w:b/>
                <w:bCs/>
                <w:sz w:val="26"/>
                <w:szCs w:val="26"/>
              </w:rPr>
              <w:t>Neatbalstīt</w:t>
            </w:r>
          </w:p>
          <w:p w14:paraId="65E7EF5E" w14:textId="77777777" w:rsidR="00AC6B37" w:rsidRDefault="00AC6B37" w:rsidP="00447403">
            <w:pPr>
              <w:jc w:val="both"/>
              <w:rPr>
                <w:rFonts w:cs="Times New Roman"/>
                <w:bCs/>
                <w:sz w:val="26"/>
                <w:szCs w:val="26"/>
              </w:rPr>
            </w:pPr>
          </w:p>
          <w:p w14:paraId="637EB520" w14:textId="77777777" w:rsidR="009678C1" w:rsidRDefault="009678C1" w:rsidP="00447403">
            <w:pPr>
              <w:jc w:val="both"/>
              <w:rPr>
                <w:rFonts w:cs="Times New Roman"/>
                <w:bCs/>
                <w:sz w:val="26"/>
                <w:szCs w:val="26"/>
              </w:rPr>
            </w:pPr>
          </w:p>
          <w:p w14:paraId="0EF77D05" w14:textId="77777777" w:rsidR="009678C1" w:rsidRDefault="009678C1" w:rsidP="00447403">
            <w:pPr>
              <w:jc w:val="both"/>
              <w:rPr>
                <w:rFonts w:cs="Times New Roman"/>
                <w:bCs/>
                <w:sz w:val="26"/>
                <w:szCs w:val="26"/>
              </w:rPr>
            </w:pPr>
          </w:p>
          <w:p w14:paraId="4783EDFA" w14:textId="77777777" w:rsidR="009678C1" w:rsidRDefault="009678C1" w:rsidP="00447403">
            <w:pPr>
              <w:jc w:val="both"/>
              <w:rPr>
                <w:rFonts w:cs="Times New Roman"/>
                <w:bCs/>
                <w:sz w:val="26"/>
                <w:szCs w:val="26"/>
              </w:rPr>
            </w:pPr>
          </w:p>
          <w:p w14:paraId="2B4D5C66" w14:textId="77777777" w:rsidR="009678C1" w:rsidRDefault="009678C1" w:rsidP="00447403">
            <w:pPr>
              <w:jc w:val="both"/>
              <w:rPr>
                <w:rFonts w:cs="Times New Roman"/>
                <w:bCs/>
                <w:sz w:val="26"/>
                <w:szCs w:val="26"/>
              </w:rPr>
            </w:pPr>
          </w:p>
          <w:p w14:paraId="51DE80F5" w14:textId="77777777" w:rsidR="009678C1" w:rsidRDefault="009678C1" w:rsidP="00447403">
            <w:pPr>
              <w:jc w:val="both"/>
              <w:rPr>
                <w:rFonts w:cs="Times New Roman"/>
                <w:bCs/>
                <w:sz w:val="26"/>
                <w:szCs w:val="26"/>
              </w:rPr>
            </w:pPr>
          </w:p>
          <w:p w14:paraId="600610EB" w14:textId="77777777" w:rsidR="009678C1" w:rsidRDefault="009678C1" w:rsidP="00447403">
            <w:pPr>
              <w:jc w:val="both"/>
              <w:rPr>
                <w:rFonts w:cs="Times New Roman"/>
                <w:bCs/>
                <w:sz w:val="26"/>
                <w:szCs w:val="26"/>
              </w:rPr>
            </w:pPr>
          </w:p>
          <w:p w14:paraId="63C3E002" w14:textId="77777777" w:rsidR="009678C1" w:rsidRDefault="009678C1" w:rsidP="00447403">
            <w:pPr>
              <w:jc w:val="both"/>
              <w:rPr>
                <w:rFonts w:cs="Times New Roman"/>
                <w:bCs/>
                <w:sz w:val="26"/>
                <w:szCs w:val="26"/>
              </w:rPr>
            </w:pPr>
          </w:p>
          <w:p w14:paraId="6C75A85B" w14:textId="77777777" w:rsidR="009678C1" w:rsidRDefault="009678C1" w:rsidP="00447403">
            <w:pPr>
              <w:jc w:val="both"/>
              <w:rPr>
                <w:rFonts w:cs="Times New Roman"/>
                <w:bCs/>
                <w:sz w:val="26"/>
                <w:szCs w:val="26"/>
              </w:rPr>
            </w:pPr>
          </w:p>
          <w:p w14:paraId="78C8A005" w14:textId="77777777" w:rsidR="009678C1" w:rsidRDefault="009678C1" w:rsidP="00447403">
            <w:pPr>
              <w:jc w:val="both"/>
              <w:rPr>
                <w:rFonts w:cs="Times New Roman"/>
                <w:bCs/>
                <w:sz w:val="26"/>
                <w:szCs w:val="26"/>
              </w:rPr>
            </w:pPr>
          </w:p>
          <w:p w14:paraId="43AFCE7C" w14:textId="77777777" w:rsidR="009678C1" w:rsidRDefault="009678C1" w:rsidP="00447403">
            <w:pPr>
              <w:jc w:val="both"/>
              <w:rPr>
                <w:rFonts w:cs="Times New Roman"/>
                <w:bCs/>
                <w:sz w:val="26"/>
                <w:szCs w:val="26"/>
              </w:rPr>
            </w:pPr>
          </w:p>
          <w:p w14:paraId="4A914FD3" w14:textId="77777777" w:rsidR="009678C1" w:rsidRDefault="009678C1" w:rsidP="00447403">
            <w:pPr>
              <w:jc w:val="both"/>
              <w:rPr>
                <w:rFonts w:cs="Times New Roman"/>
                <w:bCs/>
                <w:sz w:val="26"/>
                <w:szCs w:val="26"/>
              </w:rPr>
            </w:pPr>
          </w:p>
          <w:p w14:paraId="43B03741" w14:textId="77777777" w:rsidR="009678C1" w:rsidRDefault="009678C1" w:rsidP="00447403">
            <w:pPr>
              <w:jc w:val="both"/>
              <w:rPr>
                <w:rFonts w:cs="Times New Roman"/>
                <w:bCs/>
                <w:sz w:val="26"/>
                <w:szCs w:val="26"/>
              </w:rPr>
            </w:pPr>
          </w:p>
          <w:p w14:paraId="5A449E24" w14:textId="77777777" w:rsidR="009678C1" w:rsidRDefault="009678C1" w:rsidP="00447403">
            <w:pPr>
              <w:jc w:val="both"/>
              <w:rPr>
                <w:rFonts w:cs="Times New Roman"/>
                <w:bCs/>
                <w:sz w:val="26"/>
                <w:szCs w:val="26"/>
              </w:rPr>
            </w:pPr>
          </w:p>
          <w:p w14:paraId="1573A9A4" w14:textId="77777777" w:rsidR="009678C1" w:rsidRDefault="009678C1" w:rsidP="00447403">
            <w:pPr>
              <w:jc w:val="both"/>
              <w:rPr>
                <w:rFonts w:cs="Times New Roman"/>
                <w:bCs/>
                <w:sz w:val="26"/>
                <w:szCs w:val="26"/>
              </w:rPr>
            </w:pPr>
          </w:p>
          <w:p w14:paraId="113FB4E6" w14:textId="77777777" w:rsidR="009678C1" w:rsidRDefault="009678C1" w:rsidP="00447403">
            <w:pPr>
              <w:jc w:val="both"/>
              <w:rPr>
                <w:rFonts w:cs="Times New Roman"/>
                <w:bCs/>
                <w:sz w:val="26"/>
                <w:szCs w:val="26"/>
              </w:rPr>
            </w:pPr>
          </w:p>
          <w:p w14:paraId="540B977F" w14:textId="77777777" w:rsidR="009678C1" w:rsidRDefault="009678C1" w:rsidP="00447403">
            <w:pPr>
              <w:jc w:val="both"/>
              <w:rPr>
                <w:rFonts w:cs="Times New Roman"/>
                <w:bCs/>
                <w:sz w:val="26"/>
                <w:szCs w:val="26"/>
              </w:rPr>
            </w:pPr>
          </w:p>
          <w:p w14:paraId="5BBFC8F7" w14:textId="77777777" w:rsidR="009678C1" w:rsidRDefault="009678C1" w:rsidP="00447403">
            <w:pPr>
              <w:jc w:val="both"/>
              <w:rPr>
                <w:rFonts w:cs="Times New Roman"/>
                <w:bCs/>
                <w:sz w:val="26"/>
                <w:szCs w:val="26"/>
              </w:rPr>
            </w:pPr>
          </w:p>
          <w:p w14:paraId="678D7FCC" w14:textId="77777777" w:rsidR="009678C1" w:rsidRDefault="009678C1" w:rsidP="00447403">
            <w:pPr>
              <w:jc w:val="both"/>
              <w:rPr>
                <w:rFonts w:cs="Times New Roman"/>
                <w:bCs/>
                <w:sz w:val="26"/>
                <w:szCs w:val="26"/>
              </w:rPr>
            </w:pPr>
          </w:p>
          <w:p w14:paraId="3A6CADAB" w14:textId="487B518E" w:rsidR="009678C1" w:rsidRPr="009678C1" w:rsidRDefault="009678C1" w:rsidP="00447403">
            <w:pPr>
              <w:jc w:val="both"/>
              <w:rPr>
                <w:rFonts w:cs="Times New Roman"/>
                <w:b/>
                <w:bCs/>
                <w:sz w:val="26"/>
                <w:szCs w:val="26"/>
              </w:rPr>
            </w:pPr>
            <w:r w:rsidRPr="009678C1">
              <w:rPr>
                <w:rFonts w:cs="Times New Roman"/>
                <w:b/>
                <w:bCs/>
                <w:sz w:val="26"/>
                <w:szCs w:val="26"/>
              </w:rPr>
              <w:t>Neatbalstīt</w:t>
            </w:r>
          </w:p>
          <w:p w14:paraId="597CD4F8" w14:textId="45A1A947" w:rsidR="00172339" w:rsidRPr="004D5232" w:rsidRDefault="00172339" w:rsidP="00447403">
            <w:pPr>
              <w:jc w:val="both"/>
              <w:rPr>
                <w:rFonts w:cs="Times New Roman"/>
                <w:sz w:val="26"/>
                <w:szCs w:val="26"/>
              </w:rPr>
            </w:pPr>
          </w:p>
        </w:tc>
      </w:tr>
      <w:tr w:rsidR="009E4A2A" w:rsidRPr="004D5232" w14:paraId="0F14D007" w14:textId="77777777" w:rsidTr="009E36E6">
        <w:tc>
          <w:tcPr>
            <w:tcW w:w="6167" w:type="dxa"/>
          </w:tcPr>
          <w:p w14:paraId="6E44B54E" w14:textId="77777777" w:rsidR="003742B4" w:rsidRPr="004D5232" w:rsidRDefault="003742B4" w:rsidP="00F358C5">
            <w:pPr>
              <w:pStyle w:val="labojumupamats"/>
              <w:spacing w:before="0" w:beforeAutospacing="0" w:after="0" w:afterAutospacing="0"/>
              <w:ind w:firstLine="567"/>
              <w:jc w:val="both"/>
              <w:rPr>
                <w:i/>
                <w:sz w:val="26"/>
                <w:szCs w:val="26"/>
              </w:rPr>
            </w:pPr>
          </w:p>
          <w:p w14:paraId="76596677" w14:textId="77777777" w:rsidR="003742B4" w:rsidRPr="004D5232" w:rsidRDefault="003742B4" w:rsidP="00F358C5">
            <w:pPr>
              <w:pStyle w:val="labojumupamats"/>
              <w:spacing w:before="0" w:beforeAutospacing="0" w:after="0" w:afterAutospacing="0"/>
              <w:ind w:firstLine="567"/>
              <w:jc w:val="both"/>
              <w:rPr>
                <w:i/>
                <w:sz w:val="26"/>
                <w:szCs w:val="26"/>
              </w:rPr>
            </w:pPr>
          </w:p>
          <w:p w14:paraId="63618DC0" w14:textId="77777777" w:rsidR="00AC6B37" w:rsidRDefault="003742B4" w:rsidP="00F358C5">
            <w:pPr>
              <w:pStyle w:val="labojumupamats"/>
              <w:spacing w:before="0" w:beforeAutospacing="0" w:after="0" w:afterAutospacing="0"/>
              <w:ind w:firstLine="567"/>
              <w:jc w:val="both"/>
              <w:rPr>
                <w:b/>
                <w:bCs/>
                <w:iCs/>
                <w:sz w:val="26"/>
                <w:szCs w:val="26"/>
              </w:rPr>
            </w:pPr>
            <w:r w:rsidRPr="004D5232">
              <w:rPr>
                <w:b/>
                <w:bCs/>
                <w:iCs/>
                <w:sz w:val="26"/>
                <w:szCs w:val="26"/>
              </w:rPr>
              <w:t>Pārejas noteikumi</w:t>
            </w:r>
          </w:p>
          <w:p w14:paraId="1C37EFF7" w14:textId="327B7328" w:rsidR="00AD7AD1" w:rsidRPr="00AD7AD1" w:rsidRDefault="00AD7AD1" w:rsidP="00F358C5">
            <w:pPr>
              <w:pStyle w:val="labojumupamats"/>
              <w:spacing w:before="0" w:beforeAutospacing="0" w:after="0" w:afterAutospacing="0"/>
              <w:ind w:firstLine="567"/>
              <w:jc w:val="both"/>
              <w:rPr>
                <w:i/>
                <w:sz w:val="26"/>
                <w:szCs w:val="26"/>
              </w:rPr>
            </w:pPr>
            <w:r w:rsidRPr="00AD7AD1">
              <w:rPr>
                <w:i/>
                <w:sz w:val="26"/>
                <w:szCs w:val="26"/>
              </w:rPr>
              <w:t>(1-100)</w:t>
            </w:r>
          </w:p>
        </w:tc>
        <w:tc>
          <w:tcPr>
            <w:tcW w:w="784" w:type="dxa"/>
          </w:tcPr>
          <w:p w14:paraId="74BF0481" w14:textId="77777777" w:rsidR="00AC6B37" w:rsidRPr="004D5232" w:rsidRDefault="00AC6B37" w:rsidP="009E4A2A">
            <w:pPr>
              <w:jc w:val="center"/>
              <w:rPr>
                <w:rFonts w:cs="Times New Roman"/>
                <w:b/>
                <w:sz w:val="26"/>
                <w:szCs w:val="26"/>
              </w:rPr>
            </w:pPr>
            <w:r w:rsidRPr="004D5232">
              <w:rPr>
                <w:rFonts w:cs="Times New Roman"/>
                <w:b/>
                <w:sz w:val="26"/>
                <w:szCs w:val="26"/>
              </w:rPr>
              <w:t>4.</w:t>
            </w:r>
          </w:p>
        </w:tc>
        <w:tc>
          <w:tcPr>
            <w:tcW w:w="5518" w:type="dxa"/>
          </w:tcPr>
          <w:p w14:paraId="298E5BD8" w14:textId="55664030" w:rsidR="002C38C3" w:rsidRDefault="001E61B5" w:rsidP="002C38C3">
            <w:pPr>
              <w:shd w:val="clear" w:color="auto" w:fill="FFFFFF"/>
              <w:spacing w:before="100" w:beforeAutospacing="1"/>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Papildināt pārejas noteikumus ar 101. un 102. punktu šādā redakcijā: </w:t>
            </w:r>
          </w:p>
          <w:p w14:paraId="3901EA0B" w14:textId="43F8769C" w:rsidR="001E61B5" w:rsidRPr="001760C7" w:rsidRDefault="002C38C3" w:rsidP="001E61B5">
            <w:pPr>
              <w:shd w:val="clear" w:color="auto" w:fill="FFFFFF"/>
              <w:jc w:val="both"/>
              <w:rPr>
                <w:rFonts w:eastAsia="Times New Roman" w:cs="Times New Roman"/>
                <w:color w:val="000000"/>
                <w:sz w:val="26"/>
                <w:szCs w:val="26"/>
                <w:lang w:eastAsia="lv-LV"/>
              </w:rPr>
            </w:pPr>
            <w:r>
              <w:rPr>
                <w:rFonts w:eastAsia="Times New Roman" w:cs="Times New Roman"/>
                <w:color w:val="000000"/>
                <w:sz w:val="26"/>
                <w:szCs w:val="26"/>
                <w:lang w:eastAsia="lv-LV"/>
              </w:rPr>
              <w:t>“</w:t>
            </w:r>
            <w:r w:rsidR="001E61B5" w:rsidRPr="001760C7">
              <w:rPr>
                <w:rFonts w:eastAsia="Times New Roman" w:cs="Times New Roman"/>
                <w:color w:val="000000"/>
                <w:sz w:val="26"/>
                <w:szCs w:val="26"/>
                <w:lang w:eastAsia="lv-LV"/>
              </w:rPr>
              <w:t>101. Tieslietu padome līdz 2020. gada 1. februārim nosaka Ekonomisko lietu tiesas darbības teritoriju, tās atrašanās vietu un tiesnešu skaitu.</w:t>
            </w:r>
          </w:p>
          <w:p w14:paraId="197C8B34" w14:textId="17414482" w:rsidR="001E61B5" w:rsidRPr="001760C7" w:rsidRDefault="001E61B5" w:rsidP="001E61B5">
            <w:pPr>
              <w:shd w:val="clear" w:color="auto" w:fill="FFFFFF"/>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102. Ekonomisko lietu tiesa darbu uzsāk 2021. gada 1. janvārī</w:t>
            </w:r>
            <w:r w:rsidR="002C38C3">
              <w:rPr>
                <w:rFonts w:eastAsia="Times New Roman" w:cs="Times New Roman"/>
                <w:color w:val="000000"/>
                <w:sz w:val="26"/>
                <w:szCs w:val="26"/>
                <w:lang w:eastAsia="lv-LV"/>
              </w:rPr>
              <w:t>.”</w:t>
            </w:r>
          </w:p>
          <w:p w14:paraId="59F5103F" w14:textId="77777777" w:rsidR="001E61B5" w:rsidRPr="001760C7" w:rsidRDefault="001E61B5" w:rsidP="001E61B5">
            <w:pPr>
              <w:shd w:val="clear" w:color="auto" w:fill="FFFFFF"/>
              <w:ind w:firstLine="709"/>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 </w:t>
            </w:r>
          </w:p>
          <w:p w14:paraId="0B4AC361" w14:textId="4FBAEEFA" w:rsidR="00AC6B37" w:rsidRPr="004D5232" w:rsidRDefault="001E61B5" w:rsidP="001E61B5">
            <w:pPr>
              <w:shd w:val="clear" w:color="auto" w:fill="FFFFFF"/>
              <w:jc w:val="both"/>
              <w:rPr>
                <w:rFonts w:eastAsia="Times New Roman" w:cs="Times New Roman"/>
                <w:color w:val="000000"/>
                <w:sz w:val="26"/>
                <w:szCs w:val="26"/>
                <w:lang w:eastAsia="lv-LV"/>
              </w:rPr>
            </w:pPr>
            <w:r w:rsidRPr="001760C7">
              <w:rPr>
                <w:rFonts w:eastAsia="Times New Roman" w:cs="Times New Roman"/>
                <w:color w:val="000000"/>
                <w:sz w:val="26"/>
                <w:szCs w:val="26"/>
                <w:lang w:eastAsia="lv-LV"/>
              </w:rPr>
              <w:t>Likums stājas spēkā 2019. gada 1. decembrī.</w:t>
            </w:r>
          </w:p>
        </w:tc>
        <w:tc>
          <w:tcPr>
            <w:tcW w:w="2121" w:type="dxa"/>
          </w:tcPr>
          <w:p w14:paraId="3DF4953E" w14:textId="77777777" w:rsidR="009678C1" w:rsidRPr="009678C1" w:rsidRDefault="009678C1" w:rsidP="009678C1">
            <w:pPr>
              <w:jc w:val="both"/>
              <w:rPr>
                <w:rFonts w:cs="Times New Roman"/>
                <w:b/>
                <w:bCs/>
                <w:sz w:val="26"/>
                <w:szCs w:val="26"/>
              </w:rPr>
            </w:pPr>
            <w:r w:rsidRPr="009678C1">
              <w:rPr>
                <w:rFonts w:cs="Times New Roman"/>
                <w:b/>
                <w:bCs/>
                <w:sz w:val="26"/>
                <w:szCs w:val="26"/>
              </w:rPr>
              <w:t>Neatbalstīt</w:t>
            </w:r>
          </w:p>
          <w:p w14:paraId="4E361789" w14:textId="77777777" w:rsidR="00AC6B37" w:rsidRPr="004D5232" w:rsidRDefault="00AC6B37" w:rsidP="00691A92">
            <w:pPr>
              <w:ind w:firstLine="567"/>
              <w:jc w:val="both"/>
              <w:rPr>
                <w:rFonts w:cs="Times New Roman"/>
                <w:sz w:val="26"/>
                <w:szCs w:val="26"/>
              </w:rPr>
            </w:pPr>
          </w:p>
          <w:p w14:paraId="6B683AFB" w14:textId="77777777" w:rsidR="00447403" w:rsidRPr="004D5232" w:rsidRDefault="00447403" w:rsidP="00691A92">
            <w:pPr>
              <w:ind w:firstLine="567"/>
              <w:jc w:val="both"/>
              <w:rPr>
                <w:rFonts w:cs="Times New Roman"/>
                <w:sz w:val="26"/>
                <w:szCs w:val="26"/>
              </w:rPr>
            </w:pPr>
          </w:p>
          <w:p w14:paraId="2ACCCFF4" w14:textId="77777777" w:rsidR="00447403" w:rsidRPr="004D5232" w:rsidRDefault="00447403" w:rsidP="001E61B5">
            <w:pPr>
              <w:jc w:val="both"/>
              <w:rPr>
                <w:rFonts w:cs="Times New Roman"/>
                <w:sz w:val="26"/>
                <w:szCs w:val="26"/>
              </w:rPr>
            </w:pPr>
          </w:p>
          <w:p w14:paraId="0E528714" w14:textId="7A84F618" w:rsidR="00B2268B" w:rsidRPr="004D5232" w:rsidRDefault="00B2268B" w:rsidP="00172339">
            <w:pPr>
              <w:jc w:val="both"/>
              <w:rPr>
                <w:rFonts w:cs="Times New Roman"/>
                <w:sz w:val="26"/>
                <w:szCs w:val="26"/>
              </w:rPr>
            </w:pPr>
          </w:p>
        </w:tc>
      </w:tr>
    </w:tbl>
    <w:p w14:paraId="0D89E54A" w14:textId="77777777" w:rsidR="002369C2" w:rsidRPr="004D5232" w:rsidRDefault="002369C2" w:rsidP="009E36E6">
      <w:pPr>
        <w:rPr>
          <w:rFonts w:cs="Times New Roman"/>
          <w:sz w:val="26"/>
          <w:szCs w:val="26"/>
        </w:rPr>
      </w:pPr>
    </w:p>
    <w:sectPr w:rsidR="002369C2" w:rsidRPr="004D5232" w:rsidSect="00CD4EAB">
      <w:footerReference w:type="default" r:id="rId29"/>
      <w:pgSz w:w="16838" w:h="11906" w:orient="landscape"/>
      <w:pgMar w:top="993" w:right="1245" w:bottom="851" w:left="993" w:header="708" w:footer="1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8CB70" w14:textId="77777777" w:rsidR="009E4A2A" w:rsidRDefault="009E4A2A" w:rsidP="00691A92">
      <w:r>
        <w:separator/>
      </w:r>
    </w:p>
  </w:endnote>
  <w:endnote w:type="continuationSeparator" w:id="0">
    <w:p w14:paraId="381BAF47" w14:textId="77777777" w:rsidR="009E4A2A" w:rsidRDefault="009E4A2A" w:rsidP="0069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978914"/>
      <w:docPartObj>
        <w:docPartGallery w:val="Page Numbers (Bottom of Page)"/>
        <w:docPartUnique/>
      </w:docPartObj>
    </w:sdtPr>
    <w:sdtEndPr>
      <w:rPr>
        <w:noProof/>
      </w:rPr>
    </w:sdtEndPr>
    <w:sdtContent>
      <w:p w14:paraId="7BE92284" w14:textId="77777777" w:rsidR="009E4A2A" w:rsidRDefault="009E4A2A">
        <w:pPr>
          <w:pStyle w:val="Footer"/>
          <w:jc w:val="right"/>
        </w:pPr>
        <w:r w:rsidRPr="00747A72">
          <w:rPr>
            <w:sz w:val="20"/>
            <w:szCs w:val="20"/>
          </w:rPr>
          <w:fldChar w:fldCharType="begin"/>
        </w:r>
        <w:r w:rsidRPr="00747A72">
          <w:rPr>
            <w:sz w:val="20"/>
            <w:szCs w:val="20"/>
          </w:rPr>
          <w:instrText xml:space="preserve"> PAGE   \* MERGEFORMAT </w:instrText>
        </w:r>
        <w:r w:rsidRPr="00747A72">
          <w:rPr>
            <w:sz w:val="20"/>
            <w:szCs w:val="20"/>
          </w:rPr>
          <w:fldChar w:fldCharType="separate"/>
        </w:r>
        <w:r w:rsidR="007534D7">
          <w:rPr>
            <w:noProof/>
            <w:sz w:val="20"/>
            <w:szCs w:val="20"/>
          </w:rPr>
          <w:t>3</w:t>
        </w:r>
        <w:r w:rsidRPr="00747A72">
          <w:rPr>
            <w:noProof/>
            <w:sz w:val="20"/>
            <w:szCs w:val="20"/>
          </w:rPr>
          <w:fldChar w:fldCharType="end"/>
        </w:r>
      </w:p>
    </w:sdtContent>
  </w:sdt>
  <w:p w14:paraId="39DE120C" w14:textId="77777777" w:rsidR="009E4A2A" w:rsidRDefault="009E4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477CF" w14:textId="77777777" w:rsidR="009E4A2A" w:rsidRDefault="009E4A2A" w:rsidP="00691A92">
      <w:r>
        <w:separator/>
      </w:r>
    </w:p>
  </w:footnote>
  <w:footnote w:type="continuationSeparator" w:id="0">
    <w:p w14:paraId="6D4244DB" w14:textId="77777777" w:rsidR="009E4A2A" w:rsidRDefault="009E4A2A" w:rsidP="00691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C2"/>
    <w:rsid w:val="000408D3"/>
    <w:rsid w:val="000824B9"/>
    <w:rsid w:val="000F0D41"/>
    <w:rsid w:val="00160B1F"/>
    <w:rsid w:val="00172339"/>
    <w:rsid w:val="001A13E8"/>
    <w:rsid w:val="001E61B5"/>
    <w:rsid w:val="002369C2"/>
    <w:rsid w:val="002C0D3E"/>
    <w:rsid w:val="002C38C3"/>
    <w:rsid w:val="00355991"/>
    <w:rsid w:val="003742B4"/>
    <w:rsid w:val="0037776A"/>
    <w:rsid w:val="00382DA5"/>
    <w:rsid w:val="003A394F"/>
    <w:rsid w:val="00447403"/>
    <w:rsid w:val="00466624"/>
    <w:rsid w:val="00493F2D"/>
    <w:rsid w:val="004D5232"/>
    <w:rsid w:val="004E0A84"/>
    <w:rsid w:val="00542A63"/>
    <w:rsid w:val="00674A6D"/>
    <w:rsid w:val="00691A92"/>
    <w:rsid w:val="006D2325"/>
    <w:rsid w:val="006D44C1"/>
    <w:rsid w:val="00747A72"/>
    <w:rsid w:val="007534D7"/>
    <w:rsid w:val="008D5819"/>
    <w:rsid w:val="009678C1"/>
    <w:rsid w:val="009A2F94"/>
    <w:rsid w:val="009D4771"/>
    <w:rsid w:val="009E36E6"/>
    <w:rsid w:val="009E4A2A"/>
    <w:rsid w:val="00AC6B37"/>
    <w:rsid w:val="00AD7AD1"/>
    <w:rsid w:val="00B2268B"/>
    <w:rsid w:val="00CD4EAB"/>
    <w:rsid w:val="00CE16BD"/>
    <w:rsid w:val="00DA1C54"/>
    <w:rsid w:val="00DB116F"/>
    <w:rsid w:val="00E34B91"/>
    <w:rsid w:val="00E94597"/>
    <w:rsid w:val="00E94BE4"/>
    <w:rsid w:val="00EF7843"/>
    <w:rsid w:val="00F358C5"/>
    <w:rsid w:val="00F502A5"/>
    <w:rsid w:val="00F854D5"/>
    <w:rsid w:val="00FE58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576918"/>
  <w15:docId w15:val="{F258C168-7185-45AC-9222-B48711EA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2369C2"/>
    <w:pPr>
      <w:spacing w:before="100" w:beforeAutospacing="1" w:after="100" w:afterAutospacing="1"/>
    </w:pPr>
    <w:rPr>
      <w:rFonts w:eastAsia="Times New Roman" w:cs="Times New Roman"/>
      <w:szCs w:val="24"/>
      <w:lang w:eastAsia="lv-LV"/>
    </w:rPr>
  </w:style>
  <w:style w:type="paragraph" w:customStyle="1" w:styleId="tv2132">
    <w:name w:val="tv2132"/>
    <w:basedOn w:val="Normal"/>
    <w:rsid w:val="00F854D5"/>
    <w:pPr>
      <w:spacing w:line="360" w:lineRule="auto"/>
      <w:ind w:firstLine="300"/>
    </w:pPr>
    <w:rPr>
      <w:rFonts w:eastAsia="Times New Roman" w:cs="Times New Roman"/>
      <w:color w:val="414142"/>
      <w:sz w:val="20"/>
      <w:szCs w:val="20"/>
      <w:lang w:eastAsia="lv-LV"/>
    </w:rPr>
  </w:style>
  <w:style w:type="paragraph" w:customStyle="1" w:styleId="tv213">
    <w:name w:val="tv213"/>
    <w:basedOn w:val="Normal"/>
    <w:rsid w:val="00F854D5"/>
    <w:pPr>
      <w:spacing w:before="100" w:beforeAutospacing="1" w:after="100" w:afterAutospacing="1"/>
    </w:pPr>
    <w:rPr>
      <w:rFonts w:eastAsia="Times New Roman" w:cs="Times New Roman"/>
      <w:szCs w:val="24"/>
      <w:lang w:eastAsia="lv-LV"/>
    </w:rPr>
  </w:style>
  <w:style w:type="character" w:customStyle="1" w:styleId="fontsize2">
    <w:name w:val="fontsize2"/>
    <w:basedOn w:val="DefaultParagraphFont"/>
    <w:rsid w:val="00F854D5"/>
  </w:style>
  <w:style w:type="character" w:styleId="Hyperlink">
    <w:name w:val="Hyperlink"/>
    <w:basedOn w:val="DefaultParagraphFont"/>
    <w:uiPriority w:val="99"/>
    <w:semiHidden/>
    <w:unhideWhenUsed/>
    <w:rsid w:val="00F854D5"/>
    <w:rPr>
      <w:color w:val="0000FF"/>
      <w:u w:val="single"/>
    </w:rPr>
  </w:style>
  <w:style w:type="paragraph" w:customStyle="1" w:styleId="labojumupamats">
    <w:name w:val="labojumu_pamats"/>
    <w:basedOn w:val="Normal"/>
    <w:rsid w:val="00F854D5"/>
    <w:pPr>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DA1C54"/>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691A92"/>
    <w:pPr>
      <w:tabs>
        <w:tab w:val="center" w:pos="4153"/>
        <w:tab w:val="right" w:pos="8306"/>
      </w:tabs>
    </w:pPr>
  </w:style>
  <w:style w:type="character" w:customStyle="1" w:styleId="HeaderChar">
    <w:name w:val="Header Char"/>
    <w:basedOn w:val="DefaultParagraphFont"/>
    <w:link w:val="Header"/>
    <w:uiPriority w:val="99"/>
    <w:rsid w:val="00691A92"/>
  </w:style>
  <w:style w:type="paragraph" w:styleId="Footer">
    <w:name w:val="footer"/>
    <w:basedOn w:val="Normal"/>
    <w:link w:val="FooterChar"/>
    <w:uiPriority w:val="99"/>
    <w:unhideWhenUsed/>
    <w:rsid w:val="00691A92"/>
    <w:pPr>
      <w:tabs>
        <w:tab w:val="center" w:pos="4153"/>
        <w:tab w:val="right" w:pos="8306"/>
      </w:tabs>
    </w:pPr>
  </w:style>
  <w:style w:type="character" w:customStyle="1" w:styleId="FooterChar">
    <w:name w:val="Footer Char"/>
    <w:basedOn w:val="DefaultParagraphFont"/>
    <w:link w:val="Footer"/>
    <w:uiPriority w:val="99"/>
    <w:rsid w:val="00691A92"/>
  </w:style>
  <w:style w:type="paragraph" w:styleId="BalloonText">
    <w:name w:val="Balloon Text"/>
    <w:basedOn w:val="Normal"/>
    <w:link w:val="BalloonTextChar"/>
    <w:uiPriority w:val="99"/>
    <w:semiHidden/>
    <w:unhideWhenUsed/>
    <w:rsid w:val="00753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4249">
      <w:bodyDiv w:val="1"/>
      <w:marLeft w:val="0"/>
      <w:marRight w:val="0"/>
      <w:marTop w:val="0"/>
      <w:marBottom w:val="0"/>
      <w:divBdr>
        <w:top w:val="none" w:sz="0" w:space="0" w:color="auto"/>
        <w:left w:val="none" w:sz="0" w:space="0" w:color="auto"/>
        <w:bottom w:val="none" w:sz="0" w:space="0" w:color="auto"/>
        <w:right w:val="none" w:sz="0" w:space="0" w:color="auto"/>
      </w:divBdr>
    </w:div>
    <w:div w:id="40324646">
      <w:bodyDiv w:val="1"/>
      <w:marLeft w:val="0"/>
      <w:marRight w:val="0"/>
      <w:marTop w:val="0"/>
      <w:marBottom w:val="0"/>
      <w:divBdr>
        <w:top w:val="none" w:sz="0" w:space="0" w:color="auto"/>
        <w:left w:val="none" w:sz="0" w:space="0" w:color="auto"/>
        <w:bottom w:val="none" w:sz="0" w:space="0" w:color="auto"/>
        <w:right w:val="none" w:sz="0" w:space="0" w:color="auto"/>
      </w:divBdr>
    </w:div>
    <w:div w:id="55974933">
      <w:bodyDiv w:val="1"/>
      <w:marLeft w:val="0"/>
      <w:marRight w:val="0"/>
      <w:marTop w:val="0"/>
      <w:marBottom w:val="0"/>
      <w:divBdr>
        <w:top w:val="none" w:sz="0" w:space="0" w:color="auto"/>
        <w:left w:val="none" w:sz="0" w:space="0" w:color="auto"/>
        <w:bottom w:val="none" w:sz="0" w:space="0" w:color="auto"/>
        <w:right w:val="none" w:sz="0" w:space="0" w:color="auto"/>
      </w:divBdr>
    </w:div>
    <w:div w:id="100224254">
      <w:bodyDiv w:val="1"/>
      <w:marLeft w:val="0"/>
      <w:marRight w:val="0"/>
      <w:marTop w:val="0"/>
      <w:marBottom w:val="0"/>
      <w:divBdr>
        <w:top w:val="none" w:sz="0" w:space="0" w:color="auto"/>
        <w:left w:val="none" w:sz="0" w:space="0" w:color="auto"/>
        <w:bottom w:val="none" w:sz="0" w:space="0" w:color="auto"/>
        <w:right w:val="none" w:sz="0" w:space="0" w:color="auto"/>
      </w:divBdr>
    </w:div>
    <w:div w:id="189026928">
      <w:bodyDiv w:val="1"/>
      <w:marLeft w:val="0"/>
      <w:marRight w:val="0"/>
      <w:marTop w:val="0"/>
      <w:marBottom w:val="0"/>
      <w:divBdr>
        <w:top w:val="none" w:sz="0" w:space="0" w:color="auto"/>
        <w:left w:val="none" w:sz="0" w:space="0" w:color="auto"/>
        <w:bottom w:val="none" w:sz="0" w:space="0" w:color="auto"/>
        <w:right w:val="none" w:sz="0" w:space="0" w:color="auto"/>
      </w:divBdr>
    </w:div>
    <w:div w:id="217938443">
      <w:bodyDiv w:val="1"/>
      <w:marLeft w:val="0"/>
      <w:marRight w:val="0"/>
      <w:marTop w:val="0"/>
      <w:marBottom w:val="0"/>
      <w:divBdr>
        <w:top w:val="none" w:sz="0" w:space="0" w:color="auto"/>
        <w:left w:val="none" w:sz="0" w:space="0" w:color="auto"/>
        <w:bottom w:val="none" w:sz="0" w:space="0" w:color="auto"/>
        <w:right w:val="none" w:sz="0" w:space="0" w:color="auto"/>
      </w:divBdr>
    </w:div>
    <w:div w:id="218785495">
      <w:bodyDiv w:val="1"/>
      <w:marLeft w:val="0"/>
      <w:marRight w:val="0"/>
      <w:marTop w:val="0"/>
      <w:marBottom w:val="0"/>
      <w:divBdr>
        <w:top w:val="none" w:sz="0" w:space="0" w:color="auto"/>
        <w:left w:val="none" w:sz="0" w:space="0" w:color="auto"/>
        <w:bottom w:val="none" w:sz="0" w:space="0" w:color="auto"/>
        <w:right w:val="none" w:sz="0" w:space="0" w:color="auto"/>
      </w:divBdr>
    </w:div>
    <w:div w:id="368528914">
      <w:bodyDiv w:val="1"/>
      <w:marLeft w:val="0"/>
      <w:marRight w:val="0"/>
      <w:marTop w:val="0"/>
      <w:marBottom w:val="0"/>
      <w:divBdr>
        <w:top w:val="none" w:sz="0" w:space="0" w:color="auto"/>
        <w:left w:val="none" w:sz="0" w:space="0" w:color="auto"/>
        <w:bottom w:val="none" w:sz="0" w:space="0" w:color="auto"/>
        <w:right w:val="none" w:sz="0" w:space="0" w:color="auto"/>
      </w:divBdr>
    </w:div>
    <w:div w:id="1106658238">
      <w:bodyDiv w:val="1"/>
      <w:marLeft w:val="0"/>
      <w:marRight w:val="0"/>
      <w:marTop w:val="0"/>
      <w:marBottom w:val="0"/>
      <w:divBdr>
        <w:top w:val="none" w:sz="0" w:space="0" w:color="auto"/>
        <w:left w:val="none" w:sz="0" w:space="0" w:color="auto"/>
        <w:bottom w:val="none" w:sz="0" w:space="0" w:color="auto"/>
        <w:right w:val="none" w:sz="0" w:space="0" w:color="auto"/>
      </w:divBdr>
    </w:div>
    <w:div w:id="1125195950">
      <w:bodyDiv w:val="1"/>
      <w:marLeft w:val="0"/>
      <w:marRight w:val="0"/>
      <w:marTop w:val="0"/>
      <w:marBottom w:val="0"/>
      <w:divBdr>
        <w:top w:val="none" w:sz="0" w:space="0" w:color="auto"/>
        <w:left w:val="none" w:sz="0" w:space="0" w:color="auto"/>
        <w:bottom w:val="none" w:sz="0" w:space="0" w:color="auto"/>
        <w:right w:val="none" w:sz="0" w:space="0" w:color="auto"/>
      </w:divBdr>
    </w:div>
    <w:div w:id="1129323337">
      <w:bodyDiv w:val="1"/>
      <w:marLeft w:val="0"/>
      <w:marRight w:val="0"/>
      <w:marTop w:val="0"/>
      <w:marBottom w:val="0"/>
      <w:divBdr>
        <w:top w:val="none" w:sz="0" w:space="0" w:color="auto"/>
        <w:left w:val="none" w:sz="0" w:space="0" w:color="auto"/>
        <w:bottom w:val="none" w:sz="0" w:space="0" w:color="auto"/>
        <w:right w:val="none" w:sz="0" w:space="0" w:color="auto"/>
      </w:divBdr>
    </w:div>
    <w:div w:id="1260136835">
      <w:bodyDiv w:val="1"/>
      <w:marLeft w:val="0"/>
      <w:marRight w:val="0"/>
      <w:marTop w:val="0"/>
      <w:marBottom w:val="0"/>
      <w:divBdr>
        <w:top w:val="none" w:sz="0" w:space="0" w:color="auto"/>
        <w:left w:val="none" w:sz="0" w:space="0" w:color="auto"/>
        <w:bottom w:val="none" w:sz="0" w:space="0" w:color="auto"/>
        <w:right w:val="none" w:sz="0" w:space="0" w:color="auto"/>
      </w:divBdr>
    </w:div>
    <w:div w:id="1270309394">
      <w:bodyDiv w:val="1"/>
      <w:marLeft w:val="0"/>
      <w:marRight w:val="0"/>
      <w:marTop w:val="0"/>
      <w:marBottom w:val="0"/>
      <w:divBdr>
        <w:top w:val="none" w:sz="0" w:space="0" w:color="auto"/>
        <w:left w:val="none" w:sz="0" w:space="0" w:color="auto"/>
        <w:bottom w:val="none" w:sz="0" w:space="0" w:color="auto"/>
        <w:right w:val="none" w:sz="0" w:space="0" w:color="auto"/>
      </w:divBdr>
    </w:div>
    <w:div w:id="1303928926">
      <w:bodyDiv w:val="1"/>
      <w:marLeft w:val="0"/>
      <w:marRight w:val="0"/>
      <w:marTop w:val="0"/>
      <w:marBottom w:val="0"/>
      <w:divBdr>
        <w:top w:val="none" w:sz="0" w:space="0" w:color="auto"/>
        <w:left w:val="none" w:sz="0" w:space="0" w:color="auto"/>
        <w:bottom w:val="none" w:sz="0" w:space="0" w:color="auto"/>
        <w:right w:val="none" w:sz="0" w:space="0" w:color="auto"/>
      </w:divBdr>
    </w:div>
    <w:div w:id="1498036903">
      <w:bodyDiv w:val="1"/>
      <w:marLeft w:val="0"/>
      <w:marRight w:val="0"/>
      <w:marTop w:val="0"/>
      <w:marBottom w:val="0"/>
      <w:divBdr>
        <w:top w:val="none" w:sz="0" w:space="0" w:color="auto"/>
        <w:left w:val="none" w:sz="0" w:space="0" w:color="auto"/>
        <w:bottom w:val="none" w:sz="0" w:space="0" w:color="auto"/>
        <w:right w:val="none" w:sz="0" w:space="0" w:color="auto"/>
      </w:divBdr>
    </w:div>
    <w:div w:id="1557424528">
      <w:bodyDiv w:val="1"/>
      <w:marLeft w:val="0"/>
      <w:marRight w:val="0"/>
      <w:marTop w:val="0"/>
      <w:marBottom w:val="0"/>
      <w:divBdr>
        <w:top w:val="none" w:sz="0" w:space="0" w:color="auto"/>
        <w:left w:val="none" w:sz="0" w:space="0" w:color="auto"/>
        <w:bottom w:val="none" w:sz="0" w:space="0" w:color="auto"/>
        <w:right w:val="none" w:sz="0" w:space="0" w:color="auto"/>
      </w:divBdr>
    </w:div>
    <w:div w:id="1577089338">
      <w:bodyDiv w:val="1"/>
      <w:marLeft w:val="0"/>
      <w:marRight w:val="0"/>
      <w:marTop w:val="0"/>
      <w:marBottom w:val="0"/>
      <w:divBdr>
        <w:top w:val="none" w:sz="0" w:space="0" w:color="auto"/>
        <w:left w:val="none" w:sz="0" w:space="0" w:color="auto"/>
        <w:bottom w:val="none" w:sz="0" w:space="0" w:color="auto"/>
        <w:right w:val="none" w:sz="0" w:space="0" w:color="auto"/>
      </w:divBdr>
    </w:div>
    <w:div w:id="1601327937">
      <w:bodyDiv w:val="1"/>
      <w:marLeft w:val="0"/>
      <w:marRight w:val="0"/>
      <w:marTop w:val="0"/>
      <w:marBottom w:val="0"/>
      <w:divBdr>
        <w:top w:val="none" w:sz="0" w:space="0" w:color="auto"/>
        <w:left w:val="none" w:sz="0" w:space="0" w:color="auto"/>
        <w:bottom w:val="none" w:sz="0" w:space="0" w:color="auto"/>
        <w:right w:val="none" w:sz="0" w:space="0" w:color="auto"/>
      </w:divBdr>
    </w:div>
    <w:div w:id="1631324735">
      <w:bodyDiv w:val="1"/>
      <w:marLeft w:val="0"/>
      <w:marRight w:val="0"/>
      <w:marTop w:val="0"/>
      <w:marBottom w:val="0"/>
      <w:divBdr>
        <w:top w:val="none" w:sz="0" w:space="0" w:color="auto"/>
        <w:left w:val="none" w:sz="0" w:space="0" w:color="auto"/>
        <w:bottom w:val="none" w:sz="0" w:space="0" w:color="auto"/>
        <w:right w:val="none" w:sz="0" w:space="0" w:color="auto"/>
      </w:divBdr>
    </w:div>
    <w:div w:id="1712605081">
      <w:bodyDiv w:val="1"/>
      <w:marLeft w:val="0"/>
      <w:marRight w:val="0"/>
      <w:marTop w:val="0"/>
      <w:marBottom w:val="0"/>
      <w:divBdr>
        <w:top w:val="none" w:sz="0" w:space="0" w:color="auto"/>
        <w:left w:val="none" w:sz="0" w:space="0" w:color="auto"/>
        <w:bottom w:val="none" w:sz="0" w:space="0" w:color="auto"/>
        <w:right w:val="none" w:sz="0" w:space="0" w:color="auto"/>
      </w:divBdr>
    </w:div>
    <w:div w:id="18200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60-grozijumi-likuma-par-tiesu-varu-" TargetMode="External"/><Relationship Id="rId13" Type="http://schemas.openxmlformats.org/officeDocument/2006/relationships/hyperlink" Target="https://likumi.lv/ta/id/62847-par-tiesu-varu/redakcijas-datums/2013/09/01" TargetMode="External"/><Relationship Id="rId18" Type="http://schemas.openxmlformats.org/officeDocument/2006/relationships/hyperlink" Target="https://likumi.lv/ta/id/296706-grozijumi-likuma-par-tiesu-varu-" TargetMode="External"/><Relationship Id="rId26" Type="http://schemas.openxmlformats.org/officeDocument/2006/relationships/hyperlink" Target="https://likumi.lv/ta/id/296706-grozijumi-likuma-par-tiesu-varu-" TargetMode="External"/><Relationship Id="rId3" Type="http://schemas.openxmlformats.org/officeDocument/2006/relationships/settings" Target="settings.xml"/><Relationship Id="rId21" Type="http://schemas.openxmlformats.org/officeDocument/2006/relationships/hyperlink" Target="https://likumi.lv/ta/id/233961-grozijumi-likuma-par-tiesu-varu-" TargetMode="External"/><Relationship Id="rId7" Type="http://schemas.openxmlformats.org/officeDocument/2006/relationships/hyperlink" Target="https://likumi.lv/ta/id/62847-par-tiesu-varu" TargetMode="External"/><Relationship Id="rId12" Type="http://schemas.openxmlformats.org/officeDocument/2006/relationships/hyperlink" Target="https://likumi.lv/ta/id/258013-grozijumi-likuma-par-tiesu-varu-" TargetMode="External"/><Relationship Id="rId17" Type="http://schemas.openxmlformats.org/officeDocument/2006/relationships/hyperlink" Target="https://likumi.lv/ta/id/212199-grozijumi-likuma-par-tiesu-varu-" TargetMode="External"/><Relationship Id="rId25" Type="http://schemas.openxmlformats.org/officeDocument/2006/relationships/hyperlink" Target="https://likumi.lv/ta/id/258013-grozijumi-likuma-par-tiesu-varu-" TargetMode="External"/><Relationship Id="rId2" Type="http://schemas.openxmlformats.org/officeDocument/2006/relationships/styles" Target="styles.xml"/><Relationship Id="rId16" Type="http://schemas.openxmlformats.org/officeDocument/2006/relationships/hyperlink" Target="https://likumi.lv/ta/id/82160-grozijumi-likuma-par-tiesu-varu-" TargetMode="External"/><Relationship Id="rId20" Type="http://schemas.openxmlformats.org/officeDocument/2006/relationships/hyperlink" Target="https://likumi.lv/ta/id/233961-grozijumi-likuma-par-tiesu-va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212199-grozijumi-likuma-par-tiesu-varu-" TargetMode="External"/><Relationship Id="rId24" Type="http://schemas.openxmlformats.org/officeDocument/2006/relationships/hyperlink" Target="https://likumi.lv/ta/id/233961-grozijumi-likuma-par-tiesu-varu-" TargetMode="External"/><Relationship Id="rId5" Type="http://schemas.openxmlformats.org/officeDocument/2006/relationships/footnotes" Target="footnotes.xml"/><Relationship Id="rId15" Type="http://schemas.openxmlformats.org/officeDocument/2006/relationships/hyperlink" Target="https://likumi.lv/ta/id/68486-grozijumi-likuma-par-tiesu-varu-" TargetMode="External"/><Relationship Id="rId23" Type="http://schemas.openxmlformats.org/officeDocument/2006/relationships/hyperlink" Target="https://likumi.lv/ta/id/232257-grozijumi-likuma-par-tiesu-varu-" TargetMode="External"/><Relationship Id="rId28" Type="http://schemas.openxmlformats.org/officeDocument/2006/relationships/hyperlink" Target="https://likumi.lv/ta/id/62847-par-tiesu-varu/redakcijas-datums/2018/11/28" TargetMode="External"/><Relationship Id="rId10" Type="http://schemas.openxmlformats.org/officeDocument/2006/relationships/hyperlink" Target="https://likumi.lv/ta/id/129783-grozijumi-likuma-par-tiesu-varu-" TargetMode="External"/><Relationship Id="rId19" Type="http://schemas.openxmlformats.org/officeDocument/2006/relationships/hyperlink" Target="https://likumi.lv/ta/id/62847-par-tiesu-varu/redakcijas-datums/2018/02/1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117830-grozijums-likuma-par-tiesu-varu-" TargetMode="External"/><Relationship Id="rId14" Type="http://schemas.openxmlformats.org/officeDocument/2006/relationships/hyperlink" Target="https://likumi.lv/ta/id/37111-grozijumi-likuma-par-tiesu-varu-" TargetMode="External"/><Relationship Id="rId22" Type="http://schemas.openxmlformats.org/officeDocument/2006/relationships/hyperlink" Target="https://likumi.lv/ta/id/212199-grozijumi-likuma-par-tiesu-varu-" TargetMode="External"/><Relationship Id="rId27" Type="http://schemas.openxmlformats.org/officeDocument/2006/relationships/hyperlink" Target="https://likumi.lv/ta/id/302980-grozijumi-likuma-par-tiesu-var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1ADC9-DABE-4A0D-B3E9-280E758F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5001</Words>
  <Characters>2852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LR Saeima</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Ķibilde</dc:creator>
  <cp:keywords/>
  <dc:description/>
  <cp:lastModifiedBy>Irina Čaša</cp:lastModifiedBy>
  <cp:revision>3</cp:revision>
  <cp:lastPrinted>2019-12-02T14:00:00Z</cp:lastPrinted>
  <dcterms:created xsi:type="dcterms:W3CDTF">2019-12-02T13:23:00Z</dcterms:created>
  <dcterms:modified xsi:type="dcterms:W3CDTF">2019-12-02T14:01:00Z</dcterms:modified>
</cp:coreProperties>
</file>