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58" w:rsidRPr="00912958" w:rsidRDefault="00912958" w:rsidP="00912958">
      <w:pPr>
        <w:jc w:val="right"/>
        <w:rPr>
          <w:sz w:val="26"/>
          <w:szCs w:val="26"/>
        </w:rPr>
      </w:pPr>
      <w:r w:rsidRPr="00912958">
        <w:rPr>
          <w:sz w:val="26"/>
          <w:szCs w:val="26"/>
        </w:rPr>
        <w:t>Eiropas Tieslietu padomju asociācija (ENCJ)</w:t>
      </w:r>
    </w:p>
    <w:p w:rsidR="00912958" w:rsidRDefault="0074587B" w:rsidP="0074587B">
      <w:pPr>
        <w:jc w:val="center"/>
        <w:rPr>
          <w:b/>
          <w:sz w:val="26"/>
          <w:szCs w:val="26"/>
        </w:rPr>
      </w:pPr>
      <w:r w:rsidRPr="00EE24E5">
        <w:rPr>
          <w:b/>
          <w:sz w:val="26"/>
          <w:szCs w:val="26"/>
        </w:rPr>
        <w:t xml:space="preserve">Eiropas Tieslietu padomju asociācijas Ģenerālā asambleja </w:t>
      </w:r>
    </w:p>
    <w:p w:rsidR="006C5BF4" w:rsidRDefault="00912958" w:rsidP="007458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Varšava</w:t>
      </w:r>
    </w:p>
    <w:p w:rsidR="00912958" w:rsidRDefault="00912958" w:rsidP="0074587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2016.gada</w:t>
      </w:r>
      <w:proofErr w:type="gramEnd"/>
      <w:r>
        <w:rPr>
          <w:b/>
          <w:sz w:val="26"/>
          <w:szCs w:val="26"/>
        </w:rPr>
        <w:t xml:space="preserve"> 1.-3.jūnijs</w:t>
      </w:r>
    </w:p>
    <w:p w:rsidR="00912958" w:rsidRDefault="00912958" w:rsidP="0074587B">
      <w:pPr>
        <w:jc w:val="center"/>
        <w:rPr>
          <w:b/>
          <w:sz w:val="26"/>
          <w:szCs w:val="26"/>
        </w:rPr>
      </w:pPr>
    </w:p>
    <w:p w:rsidR="00912958" w:rsidRDefault="00912958" w:rsidP="007458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VARŠAVAS DEKLARĀCIJA</w:t>
      </w:r>
    </w:p>
    <w:p w:rsidR="00912958" w:rsidRPr="00EE24E5" w:rsidRDefault="00912958" w:rsidP="007458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Par tieslietu sistēmu nākotni Eiropā</w:t>
      </w:r>
    </w:p>
    <w:p w:rsidR="00912958" w:rsidRDefault="00912958" w:rsidP="006560E8">
      <w:pPr>
        <w:jc w:val="both"/>
        <w:rPr>
          <w:sz w:val="26"/>
          <w:szCs w:val="26"/>
        </w:rPr>
      </w:pPr>
      <w:r w:rsidRPr="00912958">
        <w:rPr>
          <w:sz w:val="26"/>
          <w:szCs w:val="26"/>
        </w:rPr>
        <w:t xml:space="preserve">No </w:t>
      </w:r>
      <w:proofErr w:type="gramStart"/>
      <w:r w:rsidRPr="00912958">
        <w:rPr>
          <w:sz w:val="26"/>
          <w:szCs w:val="26"/>
        </w:rPr>
        <w:t>2016.gada</w:t>
      </w:r>
      <w:proofErr w:type="gramEnd"/>
      <w:r w:rsidRPr="00912958">
        <w:rPr>
          <w:sz w:val="26"/>
          <w:szCs w:val="26"/>
        </w:rPr>
        <w:t xml:space="preserve"> 1. līdz 3. jūnijam Varšavā ENCJ tikās savā </w:t>
      </w:r>
      <w:r w:rsidR="006560E8" w:rsidRPr="00912958">
        <w:rPr>
          <w:sz w:val="26"/>
          <w:szCs w:val="26"/>
        </w:rPr>
        <w:t>Ģenerāl</w:t>
      </w:r>
      <w:r w:rsidRPr="00912958">
        <w:rPr>
          <w:sz w:val="26"/>
          <w:szCs w:val="26"/>
        </w:rPr>
        <w:t>ajā Asamblejā.</w:t>
      </w:r>
      <w:r w:rsidR="006560E8" w:rsidRPr="00EE24E5">
        <w:rPr>
          <w:sz w:val="26"/>
          <w:szCs w:val="26"/>
        </w:rPr>
        <w:t xml:space="preserve"> </w:t>
      </w:r>
    </w:p>
    <w:p w:rsidR="00912958" w:rsidRDefault="00912958" w:rsidP="006560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pilntiesīgām ENCJ loceklēm tika ievēlētas divas Grieķijas Augstākās Tieslietu padomes. </w:t>
      </w:r>
    </w:p>
    <w:p w:rsidR="00912958" w:rsidRDefault="00912958" w:rsidP="006560E8">
      <w:pPr>
        <w:jc w:val="both"/>
        <w:rPr>
          <w:sz w:val="26"/>
          <w:szCs w:val="26"/>
        </w:rPr>
      </w:pPr>
      <w:r>
        <w:rPr>
          <w:sz w:val="26"/>
          <w:szCs w:val="26"/>
        </w:rPr>
        <w:t>Ņemot vērā to, ka ENCJ</w:t>
      </w:r>
    </w:p>
    <w:p w:rsidR="00912958" w:rsidRDefault="00912958" w:rsidP="00912958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ir</w:t>
      </w:r>
      <w:proofErr w:type="gramStart"/>
      <w:r>
        <w:rPr>
          <w:sz w:val="26"/>
          <w:szCs w:val="26"/>
        </w:rPr>
        <w:t xml:space="preserve"> </w:t>
      </w:r>
      <w:r w:rsidR="005F7854">
        <w:rPr>
          <w:sz w:val="26"/>
          <w:szCs w:val="26"/>
        </w:rPr>
        <w:t>sekmējusi</w:t>
      </w:r>
      <w:r>
        <w:rPr>
          <w:sz w:val="26"/>
          <w:szCs w:val="26"/>
        </w:rPr>
        <w:t xml:space="preserve"> dialogu grupas</w:t>
      </w:r>
      <w:proofErr w:type="gramEnd"/>
      <w:r>
        <w:rPr>
          <w:sz w:val="26"/>
          <w:szCs w:val="26"/>
        </w:rPr>
        <w:t xml:space="preserve">, lai ļautu tās locekļiem un </w:t>
      </w:r>
      <w:r w:rsidR="00817B88">
        <w:rPr>
          <w:sz w:val="26"/>
          <w:szCs w:val="26"/>
        </w:rPr>
        <w:t xml:space="preserve">novērotājiem attīstīt praktiskus </w:t>
      </w:r>
      <w:r w:rsidR="00F943CB">
        <w:rPr>
          <w:sz w:val="26"/>
          <w:szCs w:val="26"/>
        </w:rPr>
        <w:t>to aktuālāko</w:t>
      </w:r>
      <w:r w:rsidR="00817B88">
        <w:rPr>
          <w:sz w:val="26"/>
          <w:szCs w:val="26"/>
        </w:rPr>
        <w:t xml:space="preserve"> problē</w:t>
      </w:r>
      <w:r w:rsidR="00F943CB">
        <w:rPr>
          <w:sz w:val="26"/>
          <w:szCs w:val="26"/>
        </w:rPr>
        <w:t>mu</w:t>
      </w:r>
      <w:r w:rsidR="00817B88">
        <w:rPr>
          <w:sz w:val="26"/>
          <w:szCs w:val="26"/>
        </w:rPr>
        <w:t xml:space="preserve">, kas skar </w:t>
      </w:r>
      <w:r w:rsidR="00F943CB">
        <w:rPr>
          <w:sz w:val="26"/>
          <w:szCs w:val="26"/>
        </w:rPr>
        <w:t>tiesu neatkarību un uzskatāmību,</w:t>
      </w:r>
      <w:r w:rsidR="00F943CB" w:rsidRPr="00F943CB">
        <w:rPr>
          <w:sz w:val="26"/>
          <w:szCs w:val="26"/>
        </w:rPr>
        <w:t xml:space="preserve"> risinājumus</w:t>
      </w:r>
      <w:r w:rsidR="00F943CB">
        <w:rPr>
          <w:sz w:val="26"/>
          <w:szCs w:val="26"/>
        </w:rPr>
        <w:t>;</w:t>
      </w:r>
    </w:p>
    <w:p w:rsidR="00817B88" w:rsidRDefault="00817B88" w:rsidP="00912958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ir</w:t>
      </w:r>
      <w:proofErr w:type="gramStart"/>
      <w:r>
        <w:rPr>
          <w:sz w:val="26"/>
          <w:szCs w:val="26"/>
        </w:rPr>
        <w:t xml:space="preserve"> identificējusi nepieciešamos elementus</w:t>
      </w:r>
      <w:proofErr w:type="gramEnd"/>
      <w:r>
        <w:rPr>
          <w:sz w:val="26"/>
          <w:szCs w:val="26"/>
        </w:rPr>
        <w:t>, kas vajadzīgi kvalitatīvai tiesas s</w:t>
      </w:r>
      <w:r w:rsidR="00F943CB">
        <w:rPr>
          <w:sz w:val="26"/>
          <w:szCs w:val="26"/>
        </w:rPr>
        <w:t>priešanai, un centīsies noteikt</w:t>
      </w:r>
      <w:r>
        <w:rPr>
          <w:sz w:val="26"/>
          <w:szCs w:val="26"/>
        </w:rPr>
        <w:t xml:space="preserve"> tiesu un tieslietu sistēmas kvalitātes indikatorus, kas palīdzēs </w:t>
      </w:r>
      <w:r w:rsidR="00F943CB">
        <w:rPr>
          <w:sz w:val="26"/>
          <w:szCs w:val="26"/>
        </w:rPr>
        <w:t>novērtēt tieslietu kvalitāti</w:t>
      </w:r>
      <w:r w:rsidR="002D6C68">
        <w:rPr>
          <w:sz w:val="26"/>
          <w:szCs w:val="26"/>
        </w:rPr>
        <w:t xml:space="preserve">, lai to </w:t>
      </w:r>
      <w:r w:rsidR="00F943CB">
        <w:rPr>
          <w:sz w:val="26"/>
          <w:szCs w:val="26"/>
        </w:rPr>
        <w:t>nodrošinātu</w:t>
      </w:r>
      <w:r w:rsidR="002D6C68">
        <w:rPr>
          <w:sz w:val="26"/>
          <w:szCs w:val="26"/>
        </w:rPr>
        <w:t xml:space="preserve"> ES un kandidātvalstīs;</w:t>
      </w:r>
    </w:p>
    <w:p w:rsidR="002D6C68" w:rsidRPr="00912958" w:rsidRDefault="002D6C68" w:rsidP="00912958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ir</w:t>
      </w:r>
      <w:proofErr w:type="gramStart"/>
      <w:r>
        <w:rPr>
          <w:sz w:val="26"/>
          <w:szCs w:val="26"/>
        </w:rPr>
        <w:t xml:space="preserve"> apkopojusi labo praksi par ārpus tiesu un sabiedrības pārstāvjiem Tieslietu padomju darbā un tai līdzīgās institūcijās</w:t>
      </w:r>
      <w:proofErr w:type="gramEnd"/>
      <w:r>
        <w:rPr>
          <w:sz w:val="26"/>
          <w:szCs w:val="26"/>
        </w:rPr>
        <w:t>, kā arī par Tieslietu padomju iesaistīšanu tiesu sistēmu finansēšanā Eiropā;</w:t>
      </w:r>
    </w:p>
    <w:p w:rsidR="00912958" w:rsidRDefault="00912958" w:rsidP="006560E8">
      <w:pPr>
        <w:jc w:val="both"/>
        <w:rPr>
          <w:sz w:val="26"/>
          <w:szCs w:val="26"/>
        </w:rPr>
      </w:pPr>
    </w:p>
    <w:p w:rsidR="002D6C68" w:rsidRDefault="002D6C68" w:rsidP="006560E8">
      <w:pPr>
        <w:jc w:val="both"/>
        <w:rPr>
          <w:sz w:val="26"/>
          <w:szCs w:val="26"/>
        </w:rPr>
      </w:pPr>
      <w:r w:rsidRPr="002D6C68">
        <w:rPr>
          <w:sz w:val="26"/>
          <w:szCs w:val="26"/>
        </w:rPr>
        <w:t>Eiropas Tieslietu padomju asociācijas</w:t>
      </w:r>
      <w:r>
        <w:rPr>
          <w:sz w:val="26"/>
          <w:szCs w:val="26"/>
        </w:rPr>
        <w:t xml:space="preserve"> locekļi un novērotāji</w:t>
      </w:r>
      <w:r w:rsidR="00C4218E">
        <w:rPr>
          <w:sz w:val="26"/>
          <w:szCs w:val="26"/>
        </w:rPr>
        <w:t>, kas</w:t>
      </w:r>
      <w:r>
        <w:rPr>
          <w:sz w:val="26"/>
          <w:szCs w:val="26"/>
        </w:rPr>
        <w:t xml:space="preserve"> tikās VARŠAVĀ no </w:t>
      </w:r>
      <w:proofErr w:type="gramStart"/>
      <w:r>
        <w:rPr>
          <w:sz w:val="26"/>
          <w:szCs w:val="26"/>
        </w:rPr>
        <w:t>2016.gada</w:t>
      </w:r>
      <w:proofErr w:type="gramEnd"/>
      <w:r>
        <w:rPr>
          <w:sz w:val="26"/>
          <w:szCs w:val="26"/>
        </w:rPr>
        <w:t xml:space="preserve"> 1. līdz 3. jūnijam</w:t>
      </w:r>
      <w:r w:rsidR="00C4218E">
        <w:rPr>
          <w:sz w:val="26"/>
          <w:szCs w:val="26"/>
        </w:rPr>
        <w:t xml:space="preserve">, DEKLARĒ, ka: </w:t>
      </w:r>
    </w:p>
    <w:p w:rsidR="00C4218E" w:rsidRDefault="00C4218E" w:rsidP="006560E8">
      <w:pPr>
        <w:jc w:val="both"/>
        <w:rPr>
          <w:sz w:val="26"/>
          <w:szCs w:val="26"/>
        </w:rPr>
      </w:pPr>
    </w:p>
    <w:p w:rsidR="00C4218E" w:rsidRDefault="00C4218E" w:rsidP="00C4218E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Tieslietu padomei vai </w:t>
      </w:r>
      <w:r w:rsidR="005F7854">
        <w:rPr>
          <w:sz w:val="26"/>
          <w:szCs w:val="26"/>
        </w:rPr>
        <w:t xml:space="preserve">tai pielīdzinātai </w:t>
      </w:r>
      <w:r>
        <w:rPr>
          <w:sz w:val="26"/>
          <w:szCs w:val="26"/>
        </w:rPr>
        <w:t xml:space="preserve">pārvaldes institūcijai būtu jāpiedalās tieslietu kvalitātes novērtēšanas procesā, </w:t>
      </w:r>
    </w:p>
    <w:p w:rsidR="00C4218E" w:rsidRDefault="00C4218E" w:rsidP="00C4218E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definējot kvalitātes ietvaru, kas raksturo indikatorus, ieskaitot kritērijus tieslietu kvalitātes noteikšanai un novērtēšanai; </w:t>
      </w:r>
    </w:p>
    <w:p w:rsidR="00C4218E" w:rsidRDefault="00C4218E" w:rsidP="00C4218E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definējot metodes, kā var tikt novērtēta, uzturēta un uzlabota tiesas spriešanas kvalitāte; </w:t>
      </w:r>
    </w:p>
    <w:p w:rsidR="00C4218E" w:rsidRDefault="00C4218E" w:rsidP="00C4218E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identificējot un</w:t>
      </w:r>
      <w:proofErr w:type="gramStart"/>
      <w:r>
        <w:rPr>
          <w:sz w:val="26"/>
          <w:szCs w:val="26"/>
        </w:rPr>
        <w:t xml:space="preserve"> ieviešot labo praksi</w:t>
      </w:r>
      <w:proofErr w:type="gramEnd"/>
      <w:r>
        <w:rPr>
          <w:sz w:val="26"/>
          <w:szCs w:val="26"/>
        </w:rPr>
        <w:t>, kas veicina sabiedrības uzticību tieslietu sistēmai; un</w:t>
      </w:r>
    </w:p>
    <w:p w:rsidR="00C4218E" w:rsidRPr="00C4218E" w:rsidRDefault="00C4218E" w:rsidP="00C4218E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nodrošinot, ka </w:t>
      </w:r>
      <w:r w:rsidR="00C117C1">
        <w:rPr>
          <w:sz w:val="26"/>
          <w:szCs w:val="26"/>
        </w:rPr>
        <w:t>šī</w:t>
      </w:r>
      <w:r w:rsidR="00CF7279">
        <w:rPr>
          <w:sz w:val="26"/>
          <w:szCs w:val="26"/>
        </w:rPr>
        <w:t xml:space="preserve">s sistēmas neiejaucas tiesnešu un tiesas neatkarībā, vai tieslietu sistēmā. </w:t>
      </w:r>
    </w:p>
    <w:p w:rsidR="00C4218E" w:rsidRDefault="00CF7279" w:rsidP="00C4218E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Attiecībā uz Padomju sastāvu, kas skar tās ārpustiesas locekļus:</w:t>
      </w:r>
    </w:p>
    <w:p w:rsidR="00CF7279" w:rsidRDefault="00CF7279" w:rsidP="00CF727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Tieslietu padomju un tām pielīdzinātu institūciju sastāvā vajadzētu iekļaut ārpustiesas locekļus, atspoguļojot sabiedrības daudzveidību;</w:t>
      </w:r>
    </w:p>
    <w:p w:rsidR="00482CBB" w:rsidRPr="00482CBB" w:rsidRDefault="005F7854" w:rsidP="00482CB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uz ārpustiesas </w:t>
      </w:r>
      <w:r w:rsidR="00482CBB">
        <w:rPr>
          <w:sz w:val="26"/>
          <w:szCs w:val="26"/>
        </w:rPr>
        <w:t xml:space="preserve">locekļiem </w:t>
      </w:r>
      <w:r w:rsidRPr="00482CBB">
        <w:rPr>
          <w:sz w:val="26"/>
          <w:szCs w:val="26"/>
        </w:rPr>
        <w:t>jāattiecas tiem pašiem godprātības, neatkarības un neitralitātes standartiem kā tiesnešiem,</w:t>
      </w:r>
      <w:r w:rsidR="00482CBB">
        <w:rPr>
          <w:sz w:val="26"/>
          <w:szCs w:val="26"/>
        </w:rPr>
        <w:t xml:space="preserve"> bet ārpustiesas locekļiem nevajag būt politiķiem vai Tieslietu ministram;</w:t>
      </w:r>
      <w:r w:rsidRPr="00482CBB">
        <w:rPr>
          <w:sz w:val="26"/>
          <w:szCs w:val="26"/>
        </w:rPr>
        <w:t xml:space="preserve"> </w:t>
      </w:r>
    </w:p>
    <w:p w:rsidR="005F7854" w:rsidRPr="00482CBB" w:rsidRDefault="00C117C1" w:rsidP="005F7854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ārpustiesas locekļiem piešķiram</w:t>
      </w:r>
      <w:bookmarkStart w:id="0" w:name="_GoBack"/>
      <w:bookmarkEnd w:id="0"/>
      <w:r w:rsidR="00482CBB">
        <w:rPr>
          <w:sz w:val="26"/>
          <w:szCs w:val="26"/>
        </w:rPr>
        <w:t>s pilnvērtīga locekļa statuss un vēlēšanu tiesības, kā tas ir tiesu sistēmu pārstāvošiem locekļiem.</w:t>
      </w:r>
    </w:p>
    <w:p w:rsidR="00CF7279" w:rsidRDefault="007C638E" w:rsidP="00C4218E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Attiecībā uz tieslietu sistēmu budžetu:</w:t>
      </w:r>
    </w:p>
    <w:p w:rsidR="007C638E" w:rsidRDefault="00D30BC5" w:rsidP="007C638E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budžeta izstrādei jābūt sistēmiski un praktiski brīvai no nepieņemamas politiskās iejaukšanās, tādējādi tiesas tiek finansētas, balstoties uz objektīviem un caurspīdīgiem kritērijiem;</w:t>
      </w:r>
    </w:p>
    <w:p w:rsidR="00D30BC5" w:rsidRPr="00826B19" w:rsidRDefault="00482CBB" w:rsidP="007C638E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Tieslietu padomei</w:t>
      </w:r>
      <w:r w:rsidR="00D30BC5">
        <w:rPr>
          <w:sz w:val="26"/>
          <w:szCs w:val="26"/>
        </w:rPr>
        <w:t xml:space="preserve"> va</w:t>
      </w:r>
      <w:r>
        <w:rPr>
          <w:sz w:val="26"/>
          <w:szCs w:val="26"/>
        </w:rPr>
        <w:t>i tai pielīdzinātai</w:t>
      </w:r>
      <w:r w:rsidR="00D30BC5">
        <w:rPr>
          <w:sz w:val="26"/>
          <w:szCs w:val="26"/>
        </w:rPr>
        <w:t xml:space="preserve"> institūcij</w:t>
      </w:r>
      <w:r>
        <w:rPr>
          <w:sz w:val="26"/>
          <w:szCs w:val="26"/>
        </w:rPr>
        <w:t>ai</w:t>
      </w:r>
      <w:r w:rsidR="00D30BC5">
        <w:rPr>
          <w:sz w:val="26"/>
          <w:szCs w:val="26"/>
        </w:rPr>
        <w:t xml:space="preserve"> jābūt cieši iesaistītai visās budžeta procesa stadijās, un tiesām jābūt nodrošinātām tādā līmenī, lai </w:t>
      </w:r>
      <w:r w:rsidR="00D30BC5" w:rsidRPr="00826B19">
        <w:rPr>
          <w:sz w:val="26"/>
          <w:szCs w:val="26"/>
        </w:rPr>
        <w:t>pastāvētu efektīva un iedarbīga tieslietu sistēma;</w:t>
      </w:r>
    </w:p>
    <w:p w:rsidR="00D30BC5" w:rsidRPr="00826B19" w:rsidRDefault="00D30BC5" w:rsidP="007C638E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826B19">
        <w:rPr>
          <w:sz w:val="26"/>
          <w:szCs w:val="26"/>
        </w:rPr>
        <w:t>budžeta prioritātes ir jādefinē sadarbībā ar attiecīgām tiesām saskaņā ar caurspīdīgiem kritērijiem, un tās nedrīkst likt tiesām pielāgot to procedūras.</w:t>
      </w:r>
    </w:p>
    <w:p w:rsidR="00D30BC5" w:rsidRPr="007C638E" w:rsidRDefault="00D30BC5" w:rsidP="00D30BC5">
      <w:pPr>
        <w:pStyle w:val="ListParagraph"/>
        <w:ind w:left="1080"/>
        <w:jc w:val="both"/>
        <w:rPr>
          <w:sz w:val="26"/>
          <w:szCs w:val="26"/>
        </w:rPr>
      </w:pPr>
    </w:p>
    <w:p w:rsidR="00912958" w:rsidRDefault="00D30BC5" w:rsidP="00C06956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804802">
        <w:rPr>
          <w:sz w:val="26"/>
          <w:szCs w:val="26"/>
        </w:rPr>
        <w:t xml:space="preserve">ENCJ ņem vērā, ka </w:t>
      </w:r>
      <w:proofErr w:type="gramStart"/>
      <w:r w:rsidR="00804802" w:rsidRPr="00804802">
        <w:rPr>
          <w:sz w:val="26"/>
          <w:szCs w:val="26"/>
        </w:rPr>
        <w:t>21.gadsimtā</w:t>
      </w:r>
      <w:proofErr w:type="gramEnd"/>
      <w:r w:rsidR="00804802" w:rsidRPr="00804802">
        <w:rPr>
          <w:sz w:val="26"/>
          <w:szCs w:val="26"/>
        </w:rPr>
        <w:t xml:space="preserve"> </w:t>
      </w:r>
      <w:r w:rsidRPr="00804802">
        <w:rPr>
          <w:sz w:val="26"/>
          <w:szCs w:val="26"/>
        </w:rPr>
        <w:t xml:space="preserve">Eiropas </w:t>
      </w:r>
      <w:r w:rsidR="00804802" w:rsidRPr="00804802">
        <w:rPr>
          <w:sz w:val="26"/>
          <w:szCs w:val="26"/>
        </w:rPr>
        <w:t>tieslietu sistēmu administrēšanā radikāli mainīsies</w:t>
      </w:r>
      <w:r w:rsidRPr="00804802">
        <w:rPr>
          <w:sz w:val="26"/>
          <w:szCs w:val="26"/>
        </w:rPr>
        <w:t xml:space="preserve"> </w:t>
      </w:r>
      <w:r w:rsidR="00235CA6" w:rsidRPr="00804802">
        <w:rPr>
          <w:sz w:val="26"/>
          <w:szCs w:val="26"/>
        </w:rPr>
        <w:t>informācijas un komunikācijas tehnoloģiju izmantošana</w:t>
      </w:r>
      <w:r w:rsidR="00804802">
        <w:rPr>
          <w:sz w:val="26"/>
          <w:szCs w:val="26"/>
        </w:rPr>
        <w:t xml:space="preserve">. Tā cer uz strīdu risināšanu tiešsaistē un citām tehnoloģijām, </w:t>
      </w:r>
      <w:r w:rsidR="00804802" w:rsidRPr="00804802">
        <w:rPr>
          <w:sz w:val="26"/>
          <w:szCs w:val="26"/>
        </w:rPr>
        <w:t>lai nodrošinātu ātrāku un lētāku tiesas procesu Eiropas iedzīvotājiem.</w:t>
      </w:r>
      <w:r w:rsidR="00804802">
        <w:rPr>
          <w:sz w:val="26"/>
          <w:szCs w:val="26"/>
        </w:rPr>
        <w:t xml:space="preserve"> Joprojām </w:t>
      </w:r>
      <w:r w:rsidR="00F0380F">
        <w:rPr>
          <w:sz w:val="26"/>
          <w:szCs w:val="26"/>
        </w:rPr>
        <w:t>būtiska</w:t>
      </w:r>
      <w:r w:rsidR="00804802">
        <w:rPr>
          <w:sz w:val="26"/>
          <w:szCs w:val="26"/>
        </w:rPr>
        <w:t xml:space="preserve"> ENCJ un tās dalībvalstīm un novērotājām būs tiesu neatkarības un </w:t>
      </w:r>
      <w:r w:rsidR="00826B19">
        <w:rPr>
          <w:sz w:val="26"/>
          <w:szCs w:val="26"/>
        </w:rPr>
        <w:t>atbildības</w:t>
      </w:r>
      <w:r w:rsidR="00804802">
        <w:rPr>
          <w:sz w:val="26"/>
          <w:szCs w:val="26"/>
        </w:rPr>
        <w:t xml:space="preserve"> uzturēšana un stiprināšana Eiropas iedzīvotāju interesē</w:t>
      </w:r>
      <w:r w:rsidR="00F0380F">
        <w:rPr>
          <w:sz w:val="26"/>
          <w:szCs w:val="26"/>
        </w:rPr>
        <w:t>s</w:t>
      </w:r>
      <w:r w:rsidR="00804802">
        <w:rPr>
          <w:sz w:val="26"/>
          <w:szCs w:val="26"/>
        </w:rPr>
        <w:t>, lai garantētu to efektīvu pieeju tiesai.</w:t>
      </w:r>
    </w:p>
    <w:p w:rsidR="0028510E" w:rsidRDefault="0028510E" w:rsidP="0028510E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ENCJ arvien vairāk ir norūpējusies par to, ka Turcijas valdības pieeja tiesnešu pārcelšanai, atcelšanai un apsūdzēšanai nesaskan ar tiesnešu neatkarības principiem. Tā </w:t>
      </w:r>
      <w:r w:rsidR="00826B19">
        <w:rPr>
          <w:sz w:val="26"/>
          <w:szCs w:val="26"/>
        </w:rPr>
        <w:t>mudina izpildvaru un Turcijas Tieslietu padom</w:t>
      </w:r>
      <w:r>
        <w:rPr>
          <w:sz w:val="26"/>
          <w:szCs w:val="26"/>
        </w:rPr>
        <w:t xml:space="preserve">i </w:t>
      </w:r>
      <w:r w:rsidR="00826B19">
        <w:rPr>
          <w:sz w:val="26"/>
          <w:szCs w:val="26"/>
        </w:rPr>
        <w:t>pilnībā ievērot principu</w:t>
      </w:r>
      <w:r>
        <w:rPr>
          <w:sz w:val="26"/>
          <w:szCs w:val="26"/>
        </w:rPr>
        <w:t>, ka tiesneši ir neatceļami, un ka tiesneši n</w:t>
      </w:r>
      <w:r w:rsidR="00F0380F">
        <w:rPr>
          <w:sz w:val="26"/>
          <w:szCs w:val="26"/>
        </w:rPr>
        <w:t>av pārceļami vai pazeminām</w:t>
      </w:r>
      <w:r>
        <w:rPr>
          <w:sz w:val="26"/>
          <w:szCs w:val="26"/>
        </w:rPr>
        <w:t>i, izņemot likumā noteiktos apstākļus</w:t>
      </w:r>
      <w:r w:rsidR="00F0380F">
        <w:rPr>
          <w:sz w:val="26"/>
          <w:szCs w:val="26"/>
        </w:rPr>
        <w:t>. Šādi lēmumi</w:t>
      </w:r>
      <w:r w:rsidR="0034788C">
        <w:rPr>
          <w:sz w:val="26"/>
          <w:szCs w:val="26"/>
        </w:rPr>
        <w:t xml:space="preserve"> </w:t>
      </w:r>
      <w:r w:rsidR="00F0380F">
        <w:rPr>
          <w:sz w:val="26"/>
          <w:szCs w:val="26"/>
        </w:rPr>
        <w:t xml:space="preserve">ir pieņemami </w:t>
      </w:r>
      <w:r w:rsidR="0034788C">
        <w:rPr>
          <w:sz w:val="26"/>
          <w:szCs w:val="26"/>
        </w:rPr>
        <w:t>caurspīdīgā procedūrā, ko veic neatkarīga institūcija, kuras lēmumi ir pārsūdzami.</w:t>
      </w:r>
    </w:p>
    <w:p w:rsidR="0034788C" w:rsidRPr="0034788C" w:rsidRDefault="0034788C" w:rsidP="0034788C">
      <w:pPr>
        <w:pStyle w:val="ListParagraph"/>
        <w:jc w:val="both"/>
        <w:rPr>
          <w:sz w:val="26"/>
          <w:szCs w:val="26"/>
        </w:rPr>
      </w:pPr>
    </w:p>
    <w:p w:rsidR="0028510E" w:rsidRDefault="0034788C" w:rsidP="00C06956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Attiecībā uz Polijā attīstošo</w:t>
      </w:r>
      <w:r w:rsidR="00826B19">
        <w:rPr>
          <w:sz w:val="26"/>
          <w:szCs w:val="26"/>
        </w:rPr>
        <w:t>s</w:t>
      </w:r>
      <w:r>
        <w:rPr>
          <w:sz w:val="26"/>
          <w:szCs w:val="26"/>
        </w:rPr>
        <w:t xml:space="preserve"> situāciju ENCJ </w:t>
      </w:r>
      <w:r w:rsidR="00D66AF3">
        <w:rPr>
          <w:sz w:val="26"/>
          <w:szCs w:val="26"/>
        </w:rPr>
        <w:t xml:space="preserve">uzsver, ka </w:t>
      </w:r>
      <w:r w:rsidR="00826B19">
        <w:rPr>
          <w:sz w:val="26"/>
          <w:szCs w:val="26"/>
        </w:rPr>
        <w:t>ir svarīgi, lai izpildvara cienītu</w:t>
      </w:r>
      <w:proofErr w:type="gramStart"/>
      <w:r w:rsidR="00826B19">
        <w:rPr>
          <w:sz w:val="26"/>
          <w:szCs w:val="26"/>
        </w:rPr>
        <w:t xml:space="preserve">  </w:t>
      </w:r>
      <w:proofErr w:type="gramEnd"/>
      <w:r w:rsidR="00D66AF3">
        <w:rPr>
          <w:sz w:val="26"/>
          <w:szCs w:val="26"/>
        </w:rPr>
        <w:t>tiesu varas neatkarību</w:t>
      </w:r>
      <w:r w:rsidR="00F71451">
        <w:rPr>
          <w:sz w:val="26"/>
          <w:szCs w:val="26"/>
        </w:rPr>
        <w:t>, un veikt</w:t>
      </w:r>
      <w:r w:rsidR="00826B19">
        <w:rPr>
          <w:sz w:val="26"/>
          <w:szCs w:val="26"/>
        </w:rPr>
        <w:t>u</w:t>
      </w:r>
      <w:r w:rsidR="00F71451">
        <w:rPr>
          <w:sz w:val="26"/>
          <w:szCs w:val="26"/>
        </w:rPr>
        <w:t xml:space="preserve"> tiesu sistēmas reformas tikai pēc jēgpilnām konsultācijām ar Tieslietu padomi un pašiem tiesnešiem. </w:t>
      </w:r>
    </w:p>
    <w:p w:rsidR="00F71451" w:rsidRPr="00F71451" w:rsidRDefault="00F71451" w:rsidP="00F71451">
      <w:pPr>
        <w:pStyle w:val="ListParagraph"/>
        <w:rPr>
          <w:sz w:val="26"/>
          <w:szCs w:val="26"/>
        </w:rPr>
      </w:pPr>
    </w:p>
    <w:p w:rsidR="00F71451" w:rsidRDefault="00F71451" w:rsidP="00C06956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ENCJ turpinās pārraudzīt </w:t>
      </w:r>
      <w:r w:rsidR="00F943CB">
        <w:rPr>
          <w:sz w:val="26"/>
          <w:szCs w:val="26"/>
        </w:rPr>
        <w:t xml:space="preserve">jautājumu attīstību Turcijā un Polijā, lai pārliecinātos, ka tiek ievēroti </w:t>
      </w:r>
      <w:r w:rsidR="00F0380F">
        <w:rPr>
          <w:sz w:val="26"/>
          <w:szCs w:val="26"/>
        </w:rPr>
        <w:t>tiesnešu</w:t>
      </w:r>
      <w:r w:rsidR="00F943CB">
        <w:rPr>
          <w:sz w:val="26"/>
          <w:szCs w:val="26"/>
        </w:rPr>
        <w:t xml:space="preserve"> neatkarības pamatprincipi. </w:t>
      </w:r>
    </w:p>
    <w:p w:rsidR="00F943CB" w:rsidRDefault="00F943CB" w:rsidP="00F943CB">
      <w:pPr>
        <w:pStyle w:val="ListParagraph"/>
        <w:rPr>
          <w:sz w:val="26"/>
          <w:szCs w:val="26"/>
        </w:rPr>
      </w:pPr>
    </w:p>
    <w:p w:rsidR="00F943CB" w:rsidRDefault="00F943CB" w:rsidP="00F943CB">
      <w:pPr>
        <w:pStyle w:val="ListParagraph"/>
        <w:rPr>
          <w:sz w:val="26"/>
          <w:szCs w:val="26"/>
        </w:rPr>
      </w:pPr>
    </w:p>
    <w:p w:rsidR="00F943CB" w:rsidRPr="00F943CB" w:rsidRDefault="00F943CB" w:rsidP="00F943CB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Pieņemta </w:t>
      </w:r>
      <w:proofErr w:type="gramStart"/>
      <w:r>
        <w:rPr>
          <w:sz w:val="26"/>
          <w:szCs w:val="26"/>
        </w:rPr>
        <w:t>2016.gada</w:t>
      </w:r>
      <w:proofErr w:type="gramEnd"/>
      <w:r>
        <w:rPr>
          <w:sz w:val="26"/>
          <w:szCs w:val="26"/>
        </w:rPr>
        <w:t xml:space="preserve"> 3.jūnijā Varšavā.</w:t>
      </w:r>
    </w:p>
    <w:p w:rsidR="00F943CB" w:rsidRDefault="00F943CB" w:rsidP="00F943CB">
      <w:pPr>
        <w:pStyle w:val="ListParagraph"/>
        <w:jc w:val="both"/>
        <w:rPr>
          <w:sz w:val="26"/>
          <w:szCs w:val="26"/>
        </w:rPr>
      </w:pPr>
    </w:p>
    <w:p w:rsidR="00F943CB" w:rsidRPr="00804802" w:rsidRDefault="00F943CB" w:rsidP="00F943CB">
      <w:pPr>
        <w:pStyle w:val="ListParagraph"/>
        <w:jc w:val="both"/>
        <w:rPr>
          <w:sz w:val="26"/>
          <w:szCs w:val="26"/>
        </w:rPr>
      </w:pPr>
    </w:p>
    <w:p w:rsidR="0074587B" w:rsidRPr="00EE24E5" w:rsidRDefault="0074587B" w:rsidP="0074587B">
      <w:pPr>
        <w:jc w:val="both"/>
        <w:rPr>
          <w:b/>
          <w:sz w:val="26"/>
          <w:szCs w:val="26"/>
        </w:rPr>
      </w:pPr>
    </w:p>
    <w:sectPr w:rsidR="0074587B" w:rsidRPr="00EE24E5" w:rsidSect="005A4B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C6B06"/>
    <w:multiLevelType w:val="hybridMultilevel"/>
    <w:tmpl w:val="17103E9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F15C86"/>
    <w:multiLevelType w:val="hybridMultilevel"/>
    <w:tmpl w:val="40E850AC"/>
    <w:lvl w:ilvl="0" w:tplc="AA389D6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BAD"/>
    <w:multiLevelType w:val="hybridMultilevel"/>
    <w:tmpl w:val="D3CA9F8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FA3C54"/>
    <w:multiLevelType w:val="hybridMultilevel"/>
    <w:tmpl w:val="5FD4BA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AD2E65"/>
    <w:multiLevelType w:val="hybridMultilevel"/>
    <w:tmpl w:val="70166D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B"/>
    <w:rsid w:val="000F0B27"/>
    <w:rsid w:val="001D6F4C"/>
    <w:rsid w:val="00235CA6"/>
    <w:rsid w:val="0028510E"/>
    <w:rsid w:val="002D6C68"/>
    <w:rsid w:val="0034788C"/>
    <w:rsid w:val="00482CBB"/>
    <w:rsid w:val="005A4B05"/>
    <w:rsid w:val="005C1A8D"/>
    <w:rsid w:val="005E55DC"/>
    <w:rsid w:val="005F7854"/>
    <w:rsid w:val="006560E8"/>
    <w:rsid w:val="006C5BF4"/>
    <w:rsid w:val="006D3F4E"/>
    <w:rsid w:val="0074587B"/>
    <w:rsid w:val="007C638E"/>
    <w:rsid w:val="007E18E6"/>
    <w:rsid w:val="00804802"/>
    <w:rsid w:val="00817B88"/>
    <w:rsid w:val="00826B19"/>
    <w:rsid w:val="00912958"/>
    <w:rsid w:val="00A00F3B"/>
    <w:rsid w:val="00B115CF"/>
    <w:rsid w:val="00C117C1"/>
    <w:rsid w:val="00C4218E"/>
    <w:rsid w:val="00CF7279"/>
    <w:rsid w:val="00D30BC5"/>
    <w:rsid w:val="00D66AF3"/>
    <w:rsid w:val="00DD796A"/>
    <w:rsid w:val="00EA4DF9"/>
    <w:rsid w:val="00EE24E5"/>
    <w:rsid w:val="00F0380F"/>
    <w:rsid w:val="00F05BAE"/>
    <w:rsid w:val="00F71451"/>
    <w:rsid w:val="00F943CB"/>
    <w:rsid w:val="00FB26DB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0E8A5-6078-4101-8AA3-80684159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96A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B26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Sulmane</dc:creator>
  <cp:keywords/>
  <dc:description/>
  <cp:lastModifiedBy>Dace Sulmane</cp:lastModifiedBy>
  <cp:revision>3</cp:revision>
  <cp:lastPrinted>2016-06-13T09:14:00Z</cp:lastPrinted>
  <dcterms:created xsi:type="dcterms:W3CDTF">2016-06-13T09:14:00Z</dcterms:created>
  <dcterms:modified xsi:type="dcterms:W3CDTF">2016-06-13T09:18:00Z</dcterms:modified>
</cp:coreProperties>
</file>