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8967" w14:textId="1DBDF343" w:rsidR="00C027AB" w:rsidRPr="00056A0A" w:rsidRDefault="00243646">
      <w:pPr>
        <w:tabs>
          <w:tab w:val="left" w:pos="3960"/>
        </w:tabs>
        <w:jc w:val="both"/>
        <w:rPr>
          <w:sz w:val="26"/>
          <w:highlight w:val="yellow"/>
          <w:lang w:val="cs-CZ"/>
        </w:rPr>
      </w:pPr>
      <w:r>
        <w:rPr>
          <w:noProof/>
          <w:sz w:val="26"/>
        </w:rPr>
        <w:drawing>
          <wp:inline distT="0" distB="0" distL="0" distR="0" wp14:anchorId="1B2A0498" wp14:editId="5CA71DC6">
            <wp:extent cx="5760085" cy="15227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1522730"/>
                    </a:xfrm>
                    <a:prstGeom prst="rect">
                      <a:avLst/>
                    </a:prstGeom>
                  </pic:spPr>
                </pic:pic>
              </a:graphicData>
            </a:graphic>
          </wp:inline>
        </w:drawing>
      </w:r>
    </w:p>
    <w:p w14:paraId="2BEA1FA4" w14:textId="77777777" w:rsidR="00C027AB" w:rsidRDefault="00C027AB" w:rsidP="00C027AB">
      <w:pPr>
        <w:tabs>
          <w:tab w:val="left" w:pos="3960"/>
        </w:tabs>
        <w:jc w:val="both"/>
        <w:rPr>
          <w:sz w:val="26"/>
        </w:rPr>
      </w:pPr>
    </w:p>
    <w:p w14:paraId="4FCCADA5" w14:textId="77777777" w:rsidR="00C027AB" w:rsidRDefault="00C027AB" w:rsidP="00C027AB">
      <w:pPr>
        <w:tabs>
          <w:tab w:val="left" w:pos="3960"/>
        </w:tabs>
        <w:jc w:val="center"/>
        <w:rPr>
          <w:sz w:val="26"/>
        </w:rPr>
      </w:pPr>
      <w:r>
        <w:rPr>
          <w:sz w:val="26"/>
        </w:rPr>
        <w:t>Rīgā</w:t>
      </w:r>
    </w:p>
    <w:p w14:paraId="7A2E6F53" w14:textId="77777777" w:rsidR="00C027AB" w:rsidRDefault="00C027AB">
      <w:pPr>
        <w:tabs>
          <w:tab w:val="left" w:pos="3960"/>
        </w:tabs>
        <w:jc w:val="both"/>
        <w:rPr>
          <w:sz w:val="26"/>
          <w:highlight w:val="yellow"/>
        </w:rPr>
      </w:pPr>
    </w:p>
    <w:p w14:paraId="6271C1EE" w14:textId="67E7FC8E" w:rsidR="00C027AB" w:rsidRDefault="006170F5" w:rsidP="00C027AB">
      <w:pPr>
        <w:jc w:val="both"/>
        <w:rPr>
          <w:sz w:val="26"/>
        </w:rPr>
      </w:pPr>
      <w:bookmarkStart w:id="0" w:name="OLE_LINK1"/>
      <w:bookmarkStart w:id="1" w:name="OLE_LINK2"/>
      <w:r>
        <w:rPr>
          <w:sz w:val="26"/>
        </w:rPr>
        <w:t>1</w:t>
      </w:r>
      <w:r w:rsidR="00F40ACB">
        <w:rPr>
          <w:sz w:val="26"/>
        </w:rPr>
        <w:t>4</w:t>
      </w:r>
      <w:r>
        <w:rPr>
          <w:sz w:val="26"/>
        </w:rPr>
        <w:t>.10</w:t>
      </w:r>
      <w:r w:rsidR="00FB1687">
        <w:rPr>
          <w:sz w:val="26"/>
        </w:rPr>
        <w:t>.2021.</w:t>
      </w:r>
      <w:r w:rsidR="00C027AB">
        <w:rPr>
          <w:sz w:val="26"/>
        </w:rPr>
        <w:tab/>
        <w:t>Nr.</w:t>
      </w:r>
      <w:r w:rsidR="0069523A">
        <w:rPr>
          <w:sz w:val="26"/>
        </w:rPr>
        <w:t xml:space="preserve"> 10-1/1-1168nos</w:t>
      </w:r>
    </w:p>
    <w:bookmarkEnd w:id="0"/>
    <w:bookmarkEnd w:id="1"/>
    <w:p w14:paraId="036B1811" w14:textId="77777777" w:rsidR="00FB1687" w:rsidRDefault="00FB1687" w:rsidP="00FB1687">
      <w:pPr>
        <w:jc w:val="right"/>
        <w:rPr>
          <w:sz w:val="26"/>
        </w:rPr>
      </w:pPr>
    </w:p>
    <w:p w14:paraId="3E86F3D5" w14:textId="77777777" w:rsidR="00FB1687" w:rsidRDefault="00FB1687" w:rsidP="00FB1687">
      <w:pPr>
        <w:jc w:val="right"/>
        <w:rPr>
          <w:sz w:val="26"/>
        </w:rPr>
      </w:pPr>
    </w:p>
    <w:p w14:paraId="661F0C14" w14:textId="734E1211" w:rsidR="00FB1687" w:rsidRDefault="00FB1687" w:rsidP="006170F5">
      <w:pPr>
        <w:jc w:val="right"/>
        <w:rPr>
          <w:sz w:val="26"/>
        </w:rPr>
      </w:pPr>
      <w:bookmarkStart w:id="2" w:name="_GoBack"/>
      <w:bookmarkEnd w:id="2"/>
      <w:r>
        <w:rPr>
          <w:sz w:val="26"/>
        </w:rPr>
        <w:t xml:space="preserve">Saeimas </w:t>
      </w:r>
      <w:r w:rsidR="00F40ACB">
        <w:rPr>
          <w:sz w:val="26"/>
        </w:rPr>
        <w:t>priekšsēdētājai</w:t>
      </w:r>
    </w:p>
    <w:p w14:paraId="3C840957" w14:textId="26D6CE70" w:rsidR="00F40ACB" w:rsidRPr="00FB1687" w:rsidRDefault="00F40ACB" w:rsidP="006170F5">
      <w:pPr>
        <w:jc w:val="right"/>
        <w:rPr>
          <w:sz w:val="26"/>
        </w:rPr>
      </w:pPr>
      <w:r>
        <w:rPr>
          <w:sz w:val="26"/>
        </w:rPr>
        <w:t>Inārai Mūrniecei</w:t>
      </w:r>
    </w:p>
    <w:p w14:paraId="3A30C389" w14:textId="77777777" w:rsidR="00C027AB" w:rsidRDefault="00C027AB">
      <w:pPr>
        <w:rPr>
          <w:sz w:val="26"/>
        </w:rPr>
      </w:pPr>
    </w:p>
    <w:p w14:paraId="1107C14D" w14:textId="77777777" w:rsidR="00FB1687" w:rsidRDefault="00FB1687" w:rsidP="00FB1687">
      <w:pPr>
        <w:rPr>
          <w:i/>
          <w:sz w:val="26"/>
        </w:rPr>
      </w:pPr>
    </w:p>
    <w:p w14:paraId="0B6A1C81" w14:textId="3A44FA0F" w:rsidR="00FB1687" w:rsidRDefault="00C027AB" w:rsidP="00012133">
      <w:pPr>
        <w:rPr>
          <w:sz w:val="26"/>
        </w:rPr>
      </w:pPr>
      <w:r w:rsidRPr="00FB1687">
        <w:rPr>
          <w:sz w:val="26"/>
        </w:rPr>
        <w:t xml:space="preserve">Par </w:t>
      </w:r>
      <w:r w:rsidR="00012133" w:rsidRPr="00012133">
        <w:rPr>
          <w:sz w:val="26"/>
        </w:rPr>
        <w:t xml:space="preserve">Ministru kabineta </w:t>
      </w:r>
      <w:r w:rsidR="00012133">
        <w:rPr>
          <w:sz w:val="26"/>
        </w:rPr>
        <w:t xml:space="preserve">2021. gada 9. oktobra rīkojumu </w:t>
      </w:r>
      <w:r w:rsidR="00012133" w:rsidRPr="00012133">
        <w:rPr>
          <w:sz w:val="26"/>
        </w:rPr>
        <w:t>Nr. 720</w:t>
      </w:r>
      <w:r w:rsidR="00012133">
        <w:rPr>
          <w:sz w:val="26"/>
        </w:rPr>
        <w:t xml:space="preserve"> </w:t>
      </w:r>
    </w:p>
    <w:p w14:paraId="5F80687E" w14:textId="77777777" w:rsidR="00012133" w:rsidRDefault="00012133">
      <w:pPr>
        <w:jc w:val="both"/>
        <w:rPr>
          <w:sz w:val="26"/>
        </w:rPr>
      </w:pPr>
    </w:p>
    <w:p w14:paraId="189CEDE8" w14:textId="151817F4" w:rsidR="00012133" w:rsidRDefault="00012133" w:rsidP="00012133">
      <w:pPr>
        <w:ind w:firstLine="720"/>
        <w:jc w:val="both"/>
        <w:rPr>
          <w:sz w:val="26"/>
        </w:rPr>
      </w:pPr>
      <w:r w:rsidRPr="00012133">
        <w:rPr>
          <w:sz w:val="26"/>
        </w:rPr>
        <w:t>2021. gada 9. oktobra rīkojumā Nr. 720 “Par ārkārtējās situācijas izsludināšanu”</w:t>
      </w:r>
      <w:r>
        <w:rPr>
          <w:sz w:val="26"/>
        </w:rPr>
        <w:t xml:space="preserve"> 5.3. punktā noteikts, ka </w:t>
      </w:r>
      <w:r w:rsidRPr="00012133">
        <w:rPr>
          <w:sz w:val="26"/>
        </w:rPr>
        <w:t>valsts un pašvaldību institūciju (</w:t>
      </w:r>
      <w:r w:rsidR="00F40ACB">
        <w:rPr>
          <w:sz w:val="26"/>
        </w:rPr>
        <w:t>tai skaitā kapitālsabiedrību</w:t>
      </w:r>
      <w:r w:rsidRPr="00012133">
        <w:rPr>
          <w:sz w:val="26"/>
        </w:rPr>
        <w:t>) darbinieki un amatpersonas no 2021. gada 15. novembra savus darba pienākumus var veikt tikai tad, ja viņiem ir vakcinācija</w:t>
      </w:r>
      <w:r>
        <w:rPr>
          <w:sz w:val="26"/>
        </w:rPr>
        <w:t xml:space="preserve">s vai pārslimošanas sertifikāts. </w:t>
      </w:r>
    </w:p>
    <w:p w14:paraId="0F528E1E" w14:textId="576C6481" w:rsidR="00B40A9F" w:rsidRDefault="00B40A9F" w:rsidP="00012133">
      <w:pPr>
        <w:ind w:firstLine="720"/>
        <w:jc w:val="both"/>
        <w:rPr>
          <w:sz w:val="26"/>
        </w:rPr>
      </w:pPr>
      <w:r>
        <w:rPr>
          <w:sz w:val="26"/>
        </w:rPr>
        <w:t>Pēc šā rīkojuma izsludināšanas katru dienu saņemu no dažādu tiesu tiesnešiem jautājumus, vai tas ir attiecināms uz tiesnešiem.</w:t>
      </w:r>
    </w:p>
    <w:p w14:paraId="01F39B0A" w14:textId="23E7AECE" w:rsidR="00692D60" w:rsidRDefault="00012133" w:rsidP="00012133">
      <w:pPr>
        <w:ind w:firstLine="720"/>
        <w:jc w:val="both"/>
        <w:rPr>
          <w:sz w:val="26"/>
        </w:rPr>
      </w:pPr>
      <w:r>
        <w:rPr>
          <w:sz w:val="26"/>
        </w:rPr>
        <w:t xml:space="preserve">Ņemot vērā, ka Saeimā </w:t>
      </w:r>
      <w:r w:rsidR="007562E0">
        <w:rPr>
          <w:sz w:val="26"/>
        </w:rPr>
        <w:t xml:space="preserve">šodien </w:t>
      </w:r>
      <w:r>
        <w:rPr>
          <w:sz w:val="26"/>
        </w:rPr>
        <w:t xml:space="preserve">paredzēts </w:t>
      </w:r>
      <w:r w:rsidR="00830AA9">
        <w:rPr>
          <w:sz w:val="26"/>
        </w:rPr>
        <w:t xml:space="preserve">skatīt </w:t>
      </w:r>
      <w:r w:rsidRPr="00012133">
        <w:rPr>
          <w:sz w:val="26"/>
        </w:rPr>
        <w:t xml:space="preserve">Ministru kabineta </w:t>
      </w:r>
      <w:r w:rsidR="00B40A9F">
        <w:rPr>
          <w:sz w:val="26"/>
        </w:rPr>
        <w:t>rīkojumu par</w:t>
      </w:r>
      <w:r w:rsidRPr="00012133">
        <w:rPr>
          <w:sz w:val="26"/>
        </w:rPr>
        <w:t xml:space="preserve"> </w:t>
      </w:r>
      <w:r w:rsidR="00B40A9F" w:rsidRPr="00012133">
        <w:rPr>
          <w:sz w:val="26"/>
        </w:rPr>
        <w:t>ārkārtēj</w:t>
      </w:r>
      <w:r w:rsidR="00B40A9F">
        <w:rPr>
          <w:sz w:val="26"/>
        </w:rPr>
        <w:t>ās</w:t>
      </w:r>
      <w:r w:rsidR="00B40A9F" w:rsidRPr="00012133">
        <w:rPr>
          <w:sz w:val="26"/>
        </w:rPr>
        <w:t xml:space="preserve"> situācij</w:t>
      </w:r>
      <w:r w:rsidR="00B40A9F">
        <w:rPr>
          <w:sz w:val="26"/>
        </w:rPr>
        <w:t>as izsludināšanu</w:t>
      </w:r>
      <w:r w:rsidRPr="00012133">
        <w:rPr>
          <w:sz w:val="26"/>
        </w:rPr>
        <w:t>, vienlaikus nodrošinot svarīgu valsts funkciju un pakalpojumu nepārtrauktīb</w:t>
      </w:r>
      <w:r w:rsidR="00CA5C02">
        <w:rPr>
          <w:sz w:val="26"/>
        </w:rPr>
        <w:t>u, vēršu</w:t>
      </w:r>
      <w:r w:rsidR="005E752C">
        <w:rPr>
          <w:sz w:val="26"/>
        </w:rPr>
        <w:t xml:space="preserve"> </w:t>
      </w:r>
      <w:r w:rsidR="00CA5C02">
        <w:rPr>
          <w:sz w:val="26"/>
        </w:rPr>
        <w:t xml:space="preserve">uzmanību uz </w:t>
      </w:r>
      <w:r w:rsidR="006C30AC">
        <w:rPr>
          <w:sz w:val="26"/>
        </w:rPr>
        <w:t xml:space="preserve">to, </w:t>
      </w:r>
      <w:proofErr w:type="gramStart"/>
      <w:r w:rsidR="006C30AC">
        <w:rPr>
          <w:sz w:val="26"/>
        </w:rPr>
        <w:t>ka</w:t>
      </w:r>
      <w:proofErr w:type="gramEnd"/>
      <w:r w:rsidR="006C30AC">
        <w:rPr>
          <w:sz w:val="26"/>
        </w:rPr>
        <w:t xml:space="preserve"> </w:t>
      </w:r>
      <w:r w:rsidR="00DF2B12">
        <w:rPr>
          <w:sz w:val="26"/>
        </w:rPr>
        <w:t>apstiprinot</w:t>
      </w:r>
      <w:r w:rsidR="00A9074B">
        <w:rPr>
          <w:sz w:val="26"/>
        </w:rPr>
        <w:t xml:space="preserve"> šādu normatīvo regulējumu</w:t>
      </w:r>
      <w:r w:rsidR="006C30AC">
        <w:rPr>
          <w:sz w:val="26"/>
        </w:rPr>
        <w:t xml:space="preserve">, </w:t>
      </w:r>
      <w:r w:rsidR="00DF2B12">
        <w:rPr>
          <w:sz w:val="26"/>
        </w:rPr>
        <w:t>j</w:t>
      </w:r>
      <w:r w:rsidR="00A9074B">
        <w:rPr>
          <w:sz w:val="26"/>
        </w:rPr>
        <w:t>ā</w:t>
      </w:r>
      <w:r w:rsidR="00DF2B12">
        <w:rPr>
          <w:sz w:val="26"/>
        </w:rPr>
        <w:t>iev</w:t>
      </w:r>
      <w:r w:rsidR="00A9074B">
        <w:rPr>
          <w:sz w:val="26"/>
        </w:rPr>
        <w:t>ē</w:t>
      </w:r>
      <w:r w:rsidR="00DF2B12">
        <w:rPr>
          <w:sz w:val="26"/>
        </w:rPr>
        <w:t>ro demokrātiskas tiesiskas valsts principi</w:t>
      </w:r>
      <w:r w:rsidR="00A9074B">
        <w:rPr>
          <w:sz w:val="26"/>
        </w:rPr>
        <w:t>,</w:t>
      </w:r>
      <w:r w:rsidR="00DF2B12">
        <w:rPr>
          <w:sz w:val="26"/>
        </w:rPr>
        <w:t xml:space="preserve"> tosta</w:t>
      </w:r>
      <w:r w:rsidR="00A9074B">
        <w:rPr>
          <w:sz w:val="26"/>
        </w:rPr>
        <w:t>rp</w:t>
      </w:r>
      <w:r w:rsidR="00DF2B12">
        <w:rPr>
          <w:sz w:val="26"/>
        </w:rPr>
        <w:t xml:space="preserve"> tiesne</w:t>
      </w:r>
      <w:r w:rsidR="00A9074B">
        <w:rPr>
          <w:sz w:val="26"/>
        </w:rPr>
        <w:t>š</w:t>
      </w:r>
      <w:r w:rsidR="00DF2B12">
        <w:rPr>
          <w:sz w:val="26"/>
        </w:rPr>
        <w:t>u neatkarības princips.</w:t>
      </w:r>
      <w:r w:rsidR="00CA5C02">
        <w:rPr>
          <w:sz w:val="26"/>
        </w:rPr>
        <w:t xml:space="preserve"> </w:t>
      </w:r>
      <w:r w:rsidR="006977FF">
        <w:rPr>
          <w:sz w:val="26"/>
        </w:rPr>
        <w:t>Tiesu varas un tiesnešu neatkarība ir</w:t>
      </w:r>
      <w:r w:rsidR="006977FF" w:rsidRPr="006C30AC">
        <w:rPr>
          <w:sz w:val="26"/>
        </w:rPr>
        <w:t xml:space="preserve"> demokrātijas centrālais elements un ir </w:t>
      </w:r>
      <w:r w:rsidR="006977FF">
        <w:rPr>
          <w:sz w:val="26"/>
        </w:rPr>
        <w:t>neatņemama sastāvdaļa varas dalīšanas līdzsvara nodrošināšanā</w:t>
      </w:r>
      <w:r w:rsidR="006977FF" w:rsidRPr="006C30AC">
        <w:rPr>
          <w:sz w:val="26"/>
        </w:rPr>
        <w:t>, tiesiskum</w:t>
      </w:r>
      <w:r w:rsidR="006977FF">
        <w:rPr>
          <w:sz w:val="26"/>
        </w:rPr>
        <w:t>a stiprināšanā</w:t>
      </w:r>
      <w:r w:rsidR="006977FF" w:rsidRPr="006C30AC">
        <w:rPr>
          <w:sz w:val="26"/>
        </w:rPr>
        <w:t xml:space="preserve"> un cilvēktiesīb</w:t>
      </w:r>
      <w:r w:rsidR="006977FF">
        <w:rPr>
          <w:sz w:val="26"/>
        </w:rPr>
        <w:t>u aizsardzībā</w:t>
      </w:r>
      <w:r w:rsidR="006977FF" w:rsidRPr="006C30AC">
        <w:rPr>
          <w:sz w:val="26"/>
        </w:rPr>
        <w:t>.</w:t>
      </w:r>
      <w:r w:rsidR="006977FF">
        <w:rPr>
          <w:sz w:val="26"/>
        </w:rPr>
        <w:t xml:space="preserve"> Tas</w:t>
      </w:r>
      <w:r w:rsidR="00CA5C02">
        <w:rPr>
          <w:sz w:val="26"/>
        </w:rPr>
        <w:t xml:space="preserve"> no</w:t>
      </w:r>
      <w:r w:rsidR="00692D60">
        <w:rPr>
          <w:sz w:val="26"/>
        </w:rPr>
        <w:t>stiprināt</w:t>
      </w:r>
      <w:r w:rsidR="006C30AC">
        <w:rPr>
          <w:sz w:val="26"/>
        </w:rPr>
        <w:t>s</w:t>
      </w:r>
      <w:r w:rsidR="00692D60">
        <w:rPr>
          <w:sz w:val="26"/>
        </w:rPr>
        <w:t xml:space="preserve"> </w:t>
      </w:r>
      <w:r w:rsidR="006C30AC">
        <w:rPr>
          <w:sz w:val="26"/>
        </w:rPr>
        <w:t>gan Satversmē, gan</w:t>
      </w:r>
      <w:r w:rsidR="005E752C">
        <w:rPr>
          <w:sz w:val="26"/>
        </w:rPr>
        <w:t xml:space="preserve"> starptautiskajā līmenī</w:t>
      </w:r>
      <w:r w:rsidR="00DF2B12">
        <w:rPr>
          <w:sz w:val="26"/>
        </w:rPr>
        <w:t>.</w:t>
      </w:r>
    </w:p>
    <w:p w14:paraId="18D6A411" w14:textId="77777777" w:rsidR="00F40ACB" w:rsidRDefault="00B146FA" w:rsidP="00012133">
      <w:pPr>
        <w:ind w:firstLine="720"/>
        <w:jc w:val="both"/>
        <w:rPr>
          <w:sz w:val="26"/>
        </w:rPr>
      </w:pPr>
      <w:r w:rsidRPr="00B146FA">
        <w:rPr>
          <w:bCs/>
          <w:sz w:val="26"/>
        </w:rPr>
        <w:t>Satversmes 84.</w:t>
      </w:r>
      <w:r w:rsidR="006C30AC">
        <w:rPr>
          <w:bCs/>
          <w:sz w:val="26"/>
        </w:rPr>
        <w:t> </w:t>
      </w:r>
      <w:r w:rsidRPr="00B146FA">
        <w:rPr>
          <w:bCs/>
          <w:sz w:val="26"/>
        </w:rPr>
        <w:t>pants noteic, ka t</w:t>
      </w:r>
      <w:r w:rsidR="00972245" w:rsidRPr="00B146FA">
        <w:rPr>
          <w:sz w:val="26"/>
        </w:rPr>
        <w:t>iesnešus</w:t>
      </w:r>
      <w:r w:rsidR="00972245" w:rsidRPr="00972245">
        <w:rPr>
          <w:sz w:val="26"/>
        </w:rPr>
        <w:t xml:space="preserve"> apstiprina Saeima, un viņi ir neatceļami. Tiesnesi pret viņa gribu atcelt no amata var Saeima vienīgi likumā paredzētos gadījumos, pamatojoties uz tiesnešu disciplinārkolēģijas lēmumu vai tiesas spriedumu krimināllietā.</w:t>
      </w:r>
      <w:r>
        <w:rPr>
          <w:sz w:val="26"/>
        </w:rPr>
        <w:t xml:space="preserve"> </w:t>
      </w:r>
    </w:p>
    <w:p w14:paraId="3071CF63" w14:textId="4162B4AA" w:rsidR="00972245" w:rsidRDefault="00B146FA" w:rsidP="00012133">
      <w:pPr>
        <w:ind w:firstLine="720"/>
        <w:jc w:val="both"/>
        <w:rPr>
          <w:sz w:val="26"/>
        </w:rPr>
      </w:pPr>
      <w:r>
        <w:rPr>
          <w:sz w:val="26"/>
        </w:rPr>
        <w:t>Ikvienam Latvijas tiesnesim ir Satversmē noteikts pienākums pildīt savus amata pienākumus</w:t>
      </w:r>
      <w:r w:rsidR="005E752C">
        <w:rPr>
          <w:sz w:val="26"/>
        </w:rPr>
        <w:t>.</w:t>
      </w:r>
      <w:r>
        <w:rPr>
          <w:sz w:val="26"/>
        </w:rPr>
        <w:t xml:space="preserve"> Ministru kabineta </w:t>
      </w:r>
      <w:proofErr w:type="gramStart"/>
      <w:r w:rsidR="00A9074B">
        <w:rPr>
          <w:sz w:val="26"/>
        </w:rPr>
        <w:t>2021.gada</w:t>
      </w:r>
      <w:proofErr w:type="gramEnd"/>
      <w:r w:rsidR="00A9074B">
        <w:rPr>
          <w:sz w:val="26"/>
        </w:rPr>
        <w:t xml:space="preserve"> 9.oktobra rīkojuma Nr.720</w:t>
      </w:r>
      <w:r w:rsidR="00DF2B12">
        <w:rPr>
          <w:sz w:val="26"/>
        </w:rPr>
        <w:t xml:space="preserve"> </w:t>
      </w:r>
      <w:r w:rsidR="009B3BC7" w:rsidRPr="00012133">
        <w:rPr>
          <w:sz w:val="26"/>
        </w:rPr>
        <w:t>“Par ārkārtējās situācijas izsludināšanu”</w:t>
      </w:r>
      <w:r w:rsidR="009B3BC7">
        <w:rPr>
          <w:sz w:val="26"/>
        </w:rPr>
        <w:t xml:space="preserve"> </w:t>
      </w:r>
      <w:r w:rsidR="00DF2B12">
        <w:rPr>
          <w:sz w:val="26"/>
        </w:rPr>
        <w:t>5.3 punkt</w:t>
      </w:r>
      <w:r w:rsidR="00A9074B">
        <w:rPr>
          <w:sz w:val="26"/>
        </w:rPr>
        <w:t>ā</w:t>
      </w:r>
      <w:r w:rsidR="00DF2B12">
        <w:rPr>
          <w:sz w:val="26"/>
        </w:rPr>
        <w:t xml:space="preserve"> ietvert</w:t>
      </w:r>
      <w:r w:rsidR="00A9074B">
        <w:rPr>
          <w:sz w:val="26"/>
        </w:rPr>
        <w:t>i</w:t>
      </w:r>
      <w:r w:rsidR="00DF2B12">
        <w:rPr>
          <w:sz w:val="26"/>
        </w:rPr>
        <w:t>e nosac</w:t>
      </w:r>
      <w:r w:rsidR="00A9074B">
        <w:rPr>
          <w:sz w:val="26"/>
        </w:rPr>
        <w:t xml:space="preserve">ījumi </w:t>
      </w:r>
      <w:r w:rsidR="005E752C">
        <w:rPr>
          <w:sz w:val="26"/>
        </w:rPr>
        <w:t>nevar</w:t>
      </w:r>
      <w:r w:rsidR="00A9074B">
        <w:rPr>
          <w:sz w:val="26"/>
        </w:rPr>
        <w:t>ē</w:t>
      </w:r>
      <w:r w:rsidR="00DF2B12">
        <w:rPr>
          <w:sz w:val="26"/>
        </w:rPr>
        <w:t>tu</w:t>
      </w:r>
      <w:r w:rsidR="005E752C">
        <w:rPr>
          <w:sz w:val="26"/>
        </w:rPr>
        <w:t xml:space="preserve"> attiekties uz tiesnešiem un ietekmēt tiesneša amata </w:t>
      </w:r>
      <w:r w:rsidR="00DF2B12">
        <w:rPr>
          <w:sz w:val="26"/>
        </w:rPr>
        <w:t>pien</w:t>
      </w:r>
      <w:r w:rsidR="00A9074B">
        <w:rPr>
          <w:sz w:val="26"/>
        </w:rPr>
        <w:t>ā</w:t>
      </w:r>
      <w:r w:rsidR="00DF2B12">
        <w:rPr>
          <w:sz w:val="26"/>
        </w:rPr>
        <w:t xml:space="preserve">kumu </w:t>
      </w:r>
      <w:r w:rsidR="005E752C">
        <w:rPr>
          <w:sz w:val="26"/>
        </w:rPr>
        <w:t xml:space="preserve">pildīšanu. </w:t>
      </w:r>
      <w:r>
        <w:rPr>
          <w:sz w:val="26"/>
        </w:rPr>
        <w:t xml:space="preserve">Satversme </w:t>
      </w:r>
      <w:proofErr w:type="spellStart"/>
      <w:r w:rsidRPr="00B146FA">
        <w:rPr>
          <w:i/>
          <w:sz w:val="26"/>
        </w:rPr>
        <w:t>expressis</w:t>
      </w:r>
      <w:proofErr w:type="spellEnd"/>
      <w:r w:rsidRPr="00B146FA">
        <w:rPr>
          <w:i/>
          <w:sz w:val="26"/>
        </w:rPr>
        <w:t xml:space="preserve"> </w:t>
      </w:r>
      <w:proofErr w:type="spellStart"/>
      <w:r w:rsidRPr="00B146FA">
        <w:rPr>
          <w:i/>
          <w:sz w:val="26"/>
        </w:rPr>
        <w:t>verbis</w:t>
      </w:r>
      <w:proofErr w:type="spellEnd"/>
      <w:r>
        <w:rPr>
          <w:sz w:val="26"/>
        </w:rPr>
        <w:t xml:space="preserve"> </w:t>
      </w:r>
      <w:r w:rsidR="005E752C">
        <w:rPr>
          <w:sz w:val="26"/>
        </w:rPr>
        <w:t>paredz</w:t>
      </w:r>
      <w:r>
        <w:rPr>
          <w:sz w:val="26"/>
        </w:rPr>
        <w:t xml:space="preserve"> konkrētus gadījumus, kādos tiesnesis var tikt atcelts no amata. </w:t>
      </w:r>
      <w:r w:rsidR="005E752C">
        <w:rPr>
          <w:sz w:val="26"/>
        </w:rPr>
        <w:t>Atbilstoši varas dalīšanas principam</w:t>
      </w:r>
      <w:r w:rsidR="009B3BC7">
        <w:rPr>
          <w:sz w:val="26"/>
        </w:rPr>
        <w:t>,</w:t>
      </w:r>
      <w:r w:rsidR="005E752C">
        <w:rPr>
          <w:sz w:val="26"/>
        </w:rPr>
        <w:t xml:space="preserve"> </w:t>
      </w:r>
      <w:r>
        <w:rPr>
          <w:sz w:val="26"/>
        </w:rPr>
        <w:t>Ministru kabinet</w:t>
      </w:r>
      <w:r w:rsidR="005E752C">
        <w:rPr>
          <w:sz w:val="26"/>
        </w:rPr>
        <w:t>a kompetencē neietilpst</w:t>
      </w:r>
      <w:r>
        <w:rPr>
          <w:sz w:val="26"/>
        </w:rPr>
        <w:t xml:space="preserve"> Satversmē skaidri noteikto tiesneša </w:t>
      </w:r>
      <w:r w:rsidR="005C4D4D">
        <w:rPr>
          <w:sz w:val="26"/>
        </w:rPr>
        <w:t>amata pildīšanai noteikto ierobežojumu paplašināšana.</w:t>
      </w:r>
    </w:p>
    <w:p w14:paraId="43128DFA" w14:textId="707FE92C" w:rsidR="00012133" w:rsidRDefault="00B146FA" w:rsidP="00B146FA">
      <w:pPr>
        <w:ind w:firstLine="720"/>
        <w:jc w:val="both"/>
        <w:rPr>
          <w:sz w:val="26"/>
        </w:rPr>
      </w:pPr>
      <w:r>
        <w:rPr>
          <w:sz w:val="26"/>
        </w:rPr>
        <w:t xml:space="preserve">Vienlaikus vēršu uzmanību uz vairākiem starptautiska līmeņa dokumentiem, kuros uzsvērta tiesneša </w:t>
      </w:r>
      <w:proofErr w:type="spellStart"/>
      <w:r>
        <w:rPr>
          <w:sz w:val="26"/>
        </w:rPr>
        <w:t>neatceļamības</w:t>
      </w:r>
      <w:proofErr w:type="spellEnd"/>
      <w:r>
        <w:rPr>
          <w:sz w:val="26"/>
        </w:rPr>
        <w:t xml:space="preserve"> un tiesu varas neatkarības nozīme</w:t>
      </w:r>
      <w:r w:rsidR="007562E0">
        <w:rPr>
          <w:sz w:val="26"/>
        </w:rPr>
        <w:t>, kā arī nepieļaujamība izpildvarai ierobežot tiesas darbu</w:t>
      </w:r>
      <w:r>
        <w:rPr>
          <w:sz w:val="26"/>
        </w:rPr>
        <w:t xml:space="preserve">: </w:t>
      </w:r>
    </w:p>
    <w:p w14:paraId="66B70DE0" w14:textId="77777777" w:rsidR="00CA5C02" w:rsidRPr="00012133" w:rsidRDefault="00CA5C02" w:rsidP="00012133">
      <w:pPr>
        <w:ind w:firstLine="720"/>
        <w:jc w:val="both"/>
        <w:rPr>
          <w:sz w:val="26"/>
        </w:rPr>
      </w:pPr>
    </w:p>
    <w:p w14:paraId="4813FCF0" w14:textId="5C716CC3" w:rsidR="00A02237" w:rsidRDefault="00692D60" w:rsidP="00C06B2A">
      <w:pPr>
        <w:pStyle w:val="ListParagraph"/>
        <w:numPr>
          <w:ilvl w:val="0"/>
          <w:numId w:val="1"/>
        </w:numPr>
        <w:jc w:val="both"/>
        <w:rPr>
          <w:sz w:val="26"/>
        </w:rPr>
      </w:pPr>
      <w:r w:rsidRPr="00692D60">
        <w:rPr>
          <w:sz w:val="26"/>
        </w:rPr>
        <w:lastRenderedPageBreak/>
        <w:t>Eiropas Cilvēktie</w:t>
      </w:r>
      <w:r>
        <w:rPr>
          <w:sz w:val="26"/>
        </w:rPr>
        <w:t>sību tiesas apstiprinātā R</w:t>
      </w:r>
      <w:r w:rsidRPr="00692D60">
        <w:rPr>
          <w:sz w:val="26"/>
        </w:rPr>
        <w:t xml:space="preserve">ezolūcija par </w:t>
      </w:r>
      <w:r>
        <w:rPr>
          <w:sz w:val="26"/>
        </w:rPr>
        <w:t>tiesnešu ētiku (23.06.2008.</w:t>
      </w:r>
      <w:r w:rsidR="00A02237">
        <w:rPr>
          <w:sz w:val="26"/>
        </w:rPr>
        <w:t>)</w:t>
      </w:r>
      <w:r>
        <w:rPr>
          <w:rStyle w:val="FootnoteReference"/>
          <w:sz w:val="26"/>
        </w:rPr>
        <w:footnoteReference w:id="1"/>
      </w:r>
    </w:p>
    <w:p w14:paraId="066656B3" w14:textId="1F18CD0C" w:rsidR="00C06B2A" w:rsidRPr="00C06B2A" w:rsidRDefault="00C06B2A" w:rsidP="00C06B2A">
      <w:pPr>
        <w:pStyle w:val="ListParagraph"/>
        <w:jc w:val="both"/>
        <w:rPr>
          <w:sz w:val="26"/>
        </w:rPr>
      </w:pPr>
      <w:r w:rsidRPr="00C06B2A">
        <w:rPr>
          <w:i/>
          <w:sz w:val="26"/>
        </w:rPr>
        <w:t>Tiesu varas neatkarība ir garantējama attiecībā uz tiesu darbību</w:t>
      </w:r>
      <w:r w:rsidR="00692D60" w:rsidRPr="00C06B2A">
        <w:rPr>
          <w:i/>
          <w:sz w:val="26"/>
        </w:rPr>
        <w:t xml:space="preserve"> un jo īpaši attiecībā uz </w:t>
      </w:r>
      <w:r w:rsidRPr="00C06B2A">
        <w:rPr>
          <w:i/>
          <w:sz w:val="26"/>
        </w:rPr>
        <w:t>iecelšanu</w:t>
      </w:r>
      <w:r w:rsidR="00692D60" w:rsidRPr="00C06B2A">
        <w:rPr>
          <w:i/>
          <w:sz w:val="26"/>
        </w:rPr>
        <w:t xml:space="preserve">, </w:t>
      </w:r>
      <w:r w:rsidRPr="00C06B2A">
        <w:rPr>
          <w:i/>
          <w:sz w:val="26"/>
        </w:rPr>
        <w:t xml:space="preserve">atrašanos </w:t>
      </w:r>
      <w:r w:rsidR="00692D60" w:rsidRPr="00C06B2A">
        <w:rPr>
          <w:i/>
          <w:sz w:val="26"/>
        </w:rPr>
        <w:t>amatā līdz pensijas vecum</w:t>
      </w:r>
      <w:r w:rsidRPr="00C06B2A">
        <w:rPr>
          <w:i/>
          <w:sz w:val="26"/>
        </w:rPr>
        <w:t>a sasniegšanai</w:t>
      </w:r>
      <w:r w:rsidR="00692D60" w:rsidRPr="00C06B2A">
        <w:rPr>
          <w:i/>
          <w:sz w:val="26"/>
        </w:rPr>
        <w:t>, paaugstināšanu amatā, neat</w:t>
      </w:r>
      <w:r w:rsidRPr="00C06B2A">
        <w:rPr>
          <w:i/>
          <w:sz w:val="26"/>
        </w:rPr>
        <w:t>celšanu/ neatstādināšanu, apmācību, tiesneša</w:t>
      </w:r>
      <w:r w:rsidR="00692D60" w:rsidRPr="00C06B2A">
        <w:rPr>
          <w:i/>
          <w:sz w:val="26"/>
        </w:rPr>
        <w:t xml:space="preserve"> imunitāti, discipl</w:t>
      </w:r>
      <w:r w:rsidRPr="00C06B2A">
        <w:rPr>
          <w:i/>
          <w:sz w:val="26"/>
        </w:rPr>
        <w:t>ināratbildību</w:t>
      </w:r>
      <w:r w:rsidR="00692D60" w:rsidRPr="00C06B2A">
        <w:rPr>
          <w:i/>
          <w:sz w:val="26"/>
        </w:rPr>
        <w:t>, atalgojumu un tiesu sistēmas finansēšanu.</w:t>
      </w:r>
    </w:p>
    <w:p w14:paraId="6BDE33B4" w14:textId="77777777" w:rsidR="00A02237" w:rsidRDefault="00A02237" w:rsidP="00A02237">
      <w:pPr>
        <w:pStyle w:val="ListParagraph"/>
        <w:jc w:val="both"/>
        <w:rPr>
          <w:sz w:val="26"/>
        </w:rPr>
      </w:pPr>
    </w:p>
    <w:p w14:paraId="2CD29241" w14:textId="61625E8C" w:rsidR="00A02237" w:rsidRPr="00972245" w:rsidRDefault="00A02237" w:rsidP="00972245">
      <w:pPr>
        <w:pStyle w:val="ListParagraph"/>
        <w:numPr>
          <w:ilvl w:val="0"/>
          <w:numId w:val="1"/>
        </w:numPr>
        <w:jc w:val="both"/>
        <w:rPr>
          <w:sz w:val="26"/>
        </w:rPr>
      </w:pPr>
      <w:r w:rsidRPr="00A02237">
        <w:rPr>
          <w:sz w:val="26"/>
        </w:rPr>
        <w:t>Eiropas Padomes Eiropas tiesnešu konsultatīvās padomes</w:t>
      </w:r>
      <w:r>
        <w:rPr>
          <w:sz w:val="26"/>
        </w:rPr>
        <w:t xml:space="preserve"> (CCJE</w:t>
      </w:r>
      <w:r w:rsidRPr="00A02237">
        <w:rPr>
          <w:sz w:val="26"/>
        </w:rPr>
        <w:t>) </w:t>
      </w:r>
      <w:r w:rsidRPr="00A02237">
        <w:rPr>
          <w:bCs/>
          <w:sz w:val="26"/>
        </w:rPr>
        <w:t>viedoklis Nr</w:t>
      </w:r>
      <w:r w:rsidRPr="00A02237">
        <w:rPr>
          <w:sz w:val="26"/>
        </w:rPr>
        <w:t>. </w:t>
      </w:r>
      <w:r w:rsidRPr="00A02237">
        <w:rPr>
          <w:bCs/>
          <w:sz w:val="26"/>
        </w:rPr>
        <w:t>1</w:t>
      </w:r>
      <w:r w:rsidRPr="00A02237">
        <w:rPr>
          <w:sz w:val="26"/>
        </w:rPr>
        <w:t xml:space="preserve"> par tiesu varas neatkarības un tiesnešu </w:t>
      </w:r>
      <w:proofErr w:type="spellStart"/>
      <w:r w:rsidRPr="00A02237">
        <w:rPr>
          <w:sz w:val="26"/>
        </w:rPr>
        <w:t>neatceļamības</w:t>
      </w:r>
      <w:proofErr w:type="spellEnd"/>
      <w:r w:rsidRPr="00A02237">
        <w:rPr>
          <w:sz w:val="26"/>
        </w:rPr>
        <w:t xml:space="preserve"> prasībām </w:t>
      </w:r>
      <w:r>
        <w:rPr>
          <w:rStyle w:val="FootnoteReference"/>
          <w:sz w:val="26"/>
        </w:rPr>
        <w:footnoteReference w:id="2"/>
      </w:r>
    </w:p>
    <w:p w14:paraId="35FAC740" w14:textId="7D33E637" w:rsidR="00A02237" w:rsidRPr="00972245" w:rsidRDefault="00A02237" w:rsidP="00A02237">
      <w:pPr>
        <w:pStyle w:val="ListParagraph"/>
        <w:jc w:val="both"/>
        <w:rPr>
          <w:i/>
          <w:sz w:val="26"/>
        </w:rPr>
      </w:pPr>
      <w:r w:rsidRPr="00972245">
        <w:rPr>
          <w:i/>
          <w:sz w:val="26"/>
        </w:rPr>
        <w:t xml:space="preserve">Pilnvaru laiks - </w:t>
      </w:r>
      <w:proofErr w:type="spellStart"/>
      <w:r w:rsidRPr="00972245">
        <w:rPr>
          <w:i/>
          <w:sz w:val="26"/>
        </w:rPr>
        <w:t>neatceļamība</w:t>
      </w:r>
      <w:proofErr w:type="spellEnd"/>
      <w:r w:rsidRPr="00972245">
        <w:rPr>
          <w:i/>
          <w:sz w:val="26"/>
        </w:rPr>
        <w:t xml:space="preserve"> un disciplināratbildība</w:t>
      </w:r>
    </w:p>
    <w:p w14:paraId="3672C077" w14:textId="704AE002" w:rsidR="00A02237" w:rsidRPr="00972245" w:rsidRDefault="00A02237" w:rsidP="00972245">
      <w:pPr>
        <w:pStyle w:val="ListParagraph"/>
        <w:jc w:val="both"/>
        <w:rPr>
          <w:i/>
          <w:sz w:val="26"/>
        </w:rPr>
      </w:pPr>
      <w:r w:rsidRPr="00972245">
        <w:rPr>
          <w:i/>
          <w:sz w:val="26"/>
        </w:rPr>
        <w:t>60.</w:t>
      </w:r>
      <w:r w:rsidR="003C7B14" w:rsidRPr="00972245">
        <w:rPr>
          <w:i/>
          <w:sz w:val="26"/>
        </w:rPr>
        <w:t xml:space="preserve"> punkts.</w:t>
      </w:r>
      <w:r w:rsidRPr="00972245">
        <w:rPr>
          <w:i/>
          <w:sz w:val="26"/>
        </w:rPr>
        <w:t xml:space="preserve"> CCJE uzskata</w:t>
      </w:r>
      <w:r w:rsidR="00972245">
        <w:rPr>
          <w:i/>
          <w:sz w:val="26"/>
        </w:rPr>
        <w:t xml:space="preserve">, </w:t>
      </w:r>
      <w:r w:rsidRPr="00972245">
        <w:rPr>
          <w:i/>
          <w:sz w:val="26"/>
        </w:rPr>
        <w:t xml:space="preserve">ka tiesnešu </w:t>
      </w:r>
      <w:proofErr w:type="spellStart"/>
      <w:r w:rsidRPr="00972245">
        <w:rPr>
          <w:i/>
          <w:sz w:val="26"/>
        </w:rPr>
        <w:t>neatceļamībai</w:t>
      </w:r>
      <w:proofErr w:type="spellEnd"/>
      <w:r w:rsidRPr="00972245">
        <w:rPr>
          <w:i/>
          <w:sz w:val="26"/>
        </w:rPr>
        <w:t xml:space="preserve"> jābūt </w:t>
      </w:r>
      <w:r w:rsidR="003C7B14" w:rsidRPr="00972245">
        <w:rPr>
          <w:i/>
          <w:sz w:val="26"/>
        </w:rPr>
        <w:t>īpašam</w:t>
      </w:r>
      <w:r w:rsidRPr="00972245">
        <w:rPr>
          <w:i/>
          <w:sz w:val="26"/>
        </w:rPr>
        <w:t xml:space="preserve"> tiesneša neatkarības elementam, kas nostiprināts augstākajā līmenī</w:t>
      </w:r>
      <w:r w:rsidR="003C7B14" w:rsidRPr="00972245">
        <w:rPr>
          <w:i/>
          <w:sz w:val="26"/>
        </w:rPr>
        <w:t>.</w:t>
      </w:r>
    </w:p>
    <w:p w14:paraId="0451C195" w14:textId="77777777" w:rsidR="00C027AB" w:rsidRDefault="00C027AB">
      <w:pPr>
        <w:tabs>
          <w:tab w:val="left" w:pos="7200"/>
        </w:tabs>
        <w:rPr>
          <w:sz w:val="26"/>
        </w:rPr>
      </w:pPr>
    </w:p>
    <w:p w14:paraId="363BE120" w14:textId="3DCD31B4" w:rsidR="003C7B14" w:rsidRDefault="003C7B14" w:rsidP="003C7B14">
      <w:pPr>
        <w:pStyle w:val="ListParagraph"/>
        <w:numPr>
          <w:ilvl w:val="0"/>
          <w:numId w:val="1"/>
        </w:numPr>
        <w:tabs>
          <w:tab w:val="left" w:pos="7200"/>
        </w:tabs>
        <w:rPr>
          <w:sz w:val="26"/>
        </w:rPr>
      </w:pPr>
      <w:r>
        <w:rPr>
          <w:sz w:val="26"/>
        </w:rPr>
        <w:t>Venēcijas komisija (12. – 13. 03.2010.) Ziņojums par tiesiskās sistēmas neatkarību. 1. daļa. CDL-AD(2010)004</w:t>
      </w:r>
      <w:r>
        <w:rPr>
          <w:rStyle w:val="FootnoteReference"/>
          <w:sz w:val="26"/>
        </w:rPr>
        <w:footnoteReference w:id="3"/>
      </w:r>
      <w:r w:rsidR="00692D60" w:rsidRPr="003C7B14">
        <w:rPr>
          <w:sz w:val="26"/>
        </w:rPr>
        <w:t xml:space="preserve"> </w:t>
      </w:r>
    </w:p>
    <w:p w14:paraId="5278637D" w14:textId="03F8A04F" w:rsidR="003C7B14" w:rsidRPr="00972245" w:rsidRDefault="003C7B14" w:rsidP="003C7B14">
      <w:pPr>
        <w:pStyle w:val="ListParagraph"/>
        <w:tabs>
          <w:tab w:val="left" w:pos="7200"/>
        </w:tabs>
        <w:rPr>
          <w:i/>
          <w:sz w:val="26"/>
        </w:rPr>
      </w:pPr>
      <w:r w:rsidRPr="00972245">
        <w:rPr>
          <w:i/>
          <w:sz w:val="26"/>
        </w:rPr>
        <w:t xml:space="preserve">IV. Secinājumi. </w:t>
      </w:r>
      <w:r w:rsidR="00692D60" w:rsidRPr="00972245">
        <w:rPr>
          <w:i/>
          <w:sz w:val="26"/>
        </w:rPr>
        <w:t xml:space="preserve">82. </w:t>
      </w:r>
      <w:r w:rsidRPr="00972245">
        <w:rPr>
          <w:i/>
          <w:sz w:val="26"/>
        </w:rPr>
        <w:t xml:space="preserve">punkts. </w:t>
      </w:r>
    </w:p>
    <w:p w14:paraId="5A3BD197" w14:textId="06E6E1FE" w:rsidR="003C7B14" w:rsidRDefault="003C7B14" w:rsidP="00972245">
      <w:pPr>
        <w:pStyle w:val="ListParagraph"/>
        <w:tabs>
          <w:tab w:val="left" w:pos="7200"/>
        </w:tabs>
        <w:jc w:val="both"/>
        <w:rPr>
          <w:i/>
          <w:sz w:val="26"/>
        </w:rPr>
      </w:pPr>
      <w:r w:rsidRPr="00972245">
        <w:rPr>
          <w:i/>
          <w:sz w:val="26"/>
        </w:rPr>
        <w:t xml:space="preserve">Valstīm ir jāievēro šādi standarti, lai nodrošinātu tiesu iekšējo un ārējo neatkarību: 1. Pamatprincipi, kas attiecas uz tiesu varas neatkarību, būtu jānosaka Konstitūcijā vai līdzvērtīgos normatīvajos aktos. Šie principi ietver tiesu varas neatkarību no citiem valsts varas atzariem, paredzot, ka tiesneši ir pakļauti tikai likumam (..), kā arī </w:t>
      </w:r>
      <w:r w:rsidR="00972245" w:rsidRPr="00972245">
        <w:rPr>
          <w:i/>
          <w:sz w:val="26"/>
        </w:rPr>
        <w:t>(..)</w:t>
      </w:r>
      <w:r w:rsidRPr="00972245">
        <w:rPr>
          <w:i/>
          <w:sz w:val="26"/>
        </w:rPr>
        <w:t xml:space="preserve"> </w:t>
      </w:r>
      <w:r w:rsidR="00972245" w:rsidRPr="00972245">
        <w:rPr>
          <w:i/>
          <w:sz w:val="26"/>
        </w:rPr>
        <w:t>tiesnešu</w:t>
      </w:r>
      <w:r w:rsidRPr="00972245">
        <w:rPr>
          <w:i/>
          <w:sz w:val="26"/>
        </w:rPr>
        <w:t xml:space="preserve"> </w:t>
      </w:r>
      <w:proofErr w:type="spellStart"/>
      <w:r w:rsidRPr="00972245">
        <w:rPr>
          <w:i/>
          <w:sz w:val="26"/>
        </w:rPr>
        <w:t>neat</w:t>
      </w:r>
      <w:r w:rsidR="00972245" w:rsidRPr="00972245">
        <w:rPr>
          <w:i/>
          <w:sz w:val="26"/>
        </w:rPr>
        <w:t>ceļamību</w:t>
      </w:r>
      <w:proofErr w:type="spellEnd"/>
      <w:r w:rsidR="00972245" w:rsidRPr="00972245">
        <w:rPr>
          <w:i/>
          <w:sz w:val="26"/>
        </w:rPr>
        <w:t xml:space="preserve">. </w:t>
      </w:r>
    </w:p>
    <w:p w14:paraId="4391F197" w14:textId="77777777" w:rsidR="009E444F" w:rsidRDefault="009E444F" w:rsidP="00972245">
      <w:pPr>
        <w:pStyle w:val="ListParagraph"/>
        <w:tabs>
          <w:tab w:val="left" w:pos="7200"/>
        </w:tabs>
        <w:jc w:val="both"/>
        <w:rPr>
          <w:i/>
          <w:sz w:val="26"/>
        </w:rPr>
      </w:pPr>
    </w:p>
    <w:p w14:paraId="0A367EA6" w14:textId="6817350B" w:rsidR="00B146FA" w:rsidRPr="009E444F" w:rsidRDefault="009E444F" w:rsidP="009E444F">
      <w:pPr>
        <w:pStyle w:val="ListParagraph"/>
        <w:numPr>
          <w:ilvl w:val="0"/>
          <w:numId w:val="1"/>
        </w:numPr>
        <w:tabs>
          <w:tab w:val="left" w:pos="7200"/>
        </w:tabs>
        <w:jc w:val="both"/>
        <w:rPr>
          <w:sz w:val="26"/>
        </w:rPr>
      </w:pPr>
      <w:r w:rsidRPr="009E444F">
        <w:rPr>
          <w:sz w:val="26"/>
        </w:rPr>
        <w:t xml:space="preserve">Monreālas deklarācija, Universālā deklarācija par tiesu varas neatkarību, Starptautiskā tiesnešu neatkarības un pasaules miera asociācija </w:t>
      </w:r>
      <w:r w:rsidR="00B146FA" w:rsidRPr="009E444F">
        <w:rPr>
          <w:bCs/>
          <w:iCs/>
          <w:sz w:val="26"/>
        </w:rPr>
        <w:t>(JIWP), 1983</w:t>
      </w:r>
      <w:r w:rsidRPr="009E444F">
        <w:rPr>
          <w:rStyle w:val="FootnoteReference"/>
          <w:sz w:val="26"/>
        </w:rPr>
        <w:footnoteReference w:id="4"/>
      </w:r>
      <w:r w:rsidR="00B146FA" w:rsidRPr="009E444F">
        <w:rPr>
          <w:b/>
          <w:bCs/>
          <w:iCs/>
          <w:sz w:val="26"/>
        </w:rPr>
        <w:t xml:space="preserve"> </w:t>
      </w:r>
    </w:p>
    <w:p w14:paraId="7346ED67" w14:textId="00B8625A" w:rsidR="00C06B2A" w:rsidRPr="007562E0" w:rsidRDefault="00C06B2A" w:rsidP="007562E0">
      <w:pPr>
        <w:tabs>
          <w:tab w:val="left" w:pos="7200"/>
        </w:tabs>
        <w:ind w:left="720"/>
        <w:rPr>
          <w:i/>
          <w:iCs/>
          <w:sz w:val="26"/>
        </w:rPr>
      </w:pPr>
      <w:r w:rsidRPr="007562E0">
        <w:rPr>
          <w:i/>
          <w:iCs/>
          <w:sz w:val="26"/>
        </w:rPr>
        <w:t xml:space="preserve"> 2.04. punkts. Tiesu vara ir neatkarīga no izpildvaras un likumdevēja.</w:t>
      </w:r>
    </w:p>
    <w:p w14:paraId="030E79CA" w14:textId="239405A7" w:rsidR="00C06B2A" w:rsidRPr="007562E0" w:rsidRDefault="00C06B2A" w:rsidP="007562E0">
      <w:pPr>
        <w:tabs>
          <w:tab w:val="left" w:pos="7200"/>
        </w:tabs>
        <w:ind w:left="720"/>
        <w:rPr>
          <w:i/>
          <w:iCs/>
          <w:sz w:val="26"/>
        </w:rPr>
      </w:pPr>
      <w:r w:rsidRPr="007562E0">
        <w:rPr>
          <w:i/>
          <w:iCs/>
          <w:sz w:val="26"/>
        </w:rPr>
        <w:t>2.06. punkts b) Izpildvara nekontrolē tiesu funkcijas.</w:t>
      </w:r>
    </w:p>
    <w:p w14:paraId="5D62E71D" w14:textId="62A4D4BF" w:rsidR="00C06B2A" w:rsidRPr="00C06B2A" w:rsidRDefault="00C06B2A" w:rsidP="007562E0">
      <w:pPr>
        <w:tabs>
          <w:tab w:val="left" w:pos="7200"/>
        </w:tabs>
        <w:ind w:left="720"/>
        <w:rPr>
          <w:sz w:val="26"/>
        </w:rPr>
      </w:pPr>
      <w:r w:rsidRPr="007562E0">
        <w:rPr>
          <w:i/>
          <w:iCs/>
          <w:sz w:val="26"/>
        </w:rPr>
        <w:t>c) Izpildvarai nedrīkst būt pilnvaras slēgt vai apturēt tiesu darbību.</w:t>
      </w:r>
    </w:p>
    <w:p w14:paraId="1B3081F0" w14:textId="77777777" w:rsidR="00B146FA" w:rsidRDefault="00B146FA">
      <w:pPr>
        <w:tabs>
          <w:tab w:val="left" w:pos="7200"/>
        </w:tabs>
        <w:rPr>
          <w:sz w:val="26"/>
        </w:rPr>
      </w:pPr>
    </w:p>
    <w:p w14:paraId="2EF59946" w14:textId="1BB3C754" w:rsidR="00B146FA" w:rsidRPr="00C06B2A" w:rsidRDefault="00830AA9" w:rsidP="003B4891">
      <w:pPr>
        <w:pStyle w:val="ListParagraph"/>
        <w:numPr>
          <w:ilvl w:val="0"/>
          <w:numId w:val="1"/>
        </w:numPr>
        <w:tabs>
          <w:tab w:val="left" w:pos="7200"/>
        </w:tabs>
        <w:jc w:val="both"/>
        <w:rPr>
          <w:sz w:val="26"/>
        </w:rPr>
      </w:pPr>
      <w:proofErr w:type="gramStart"/>
      <w:r>
        <w:rPr>
          <w:sz w:val="26"/>
        </w:rPr>
        <w:t>Skopus kalna apstiprinātie pārskatītie</w:t>
      </w:r>
      <w:r w:rsidRPr="00830AA9">
        <w:rPr>
          <w:sz w:val="26"/>
        </w:rPr>
        <w:t xml:space="preserve"> </w:t>
      </w:r>
      <w:r>
        <w:rPr>
          <w:sz w:val="26"/>
        </w:rPr>
        <w:t>starptautiskie tiesu varas neatkarības standarti</w:t>
      </w:r>
      <w:proofErr w:type="gramEnd"/>
      <w:r w:rsidRPr="00830AA9">
        <w:rPr>
          <w:sz w:val="26"/>
        </w:rPr>
        <w:t>, Starptautiskā tiesnešu neatkarības un pasaules miera as</w:t>
      </w:r>
      <w:r>
        <w:rPr>
          <w:sz w:val="26"/>
        </w:rPr>
        <w:t>ociācija, (2008, 2011., 2012.)</w:t>
      </w:r>
      <w:r>
        <w:rPr>
          <w:rStyle w:val="FootnoteReference"/>
          <w:sz w:val="26"/>
        </w:rPr>
        <w:footnoteReference w:id="5"/>
      </w:r>
    </w:p>
    <w:p w14:paraId="0F0A7DD2" w14:textId="77777777" w:rsidR="00B146FA" w:rsidRDefault="00B146FA" w:rsidP="00B146FA">
      <w:pPr>
        <w:tabs>
          <w:tab w:val="left" w:pos="7200"/>
        </w:tabs>
        <w:rPr>
          <w:sz w:val="26"/>
        </w:rPr>
      </w:pPr>
    </w:p>
    <w:p w14:paraId="4EBCBB9B" w14:textId="48D52BE1" w:rsidR="00830AA9" w:rsidRPr="003B4891" w:rsidRDefault="00B146FA" w:rsidP="00830AA9">
      <w:pPr>
        <w:tabs>
          <w:tab w:val="left" w:pos="7200"/>
        </w:tabs>
        <w:rPr>
          <w:i/>
          <w:sz w:val="26"/>
        </w:rPr>
      </w:pPr>
      <w:r w:rsidRPr="003B4891">
        <w:rPr>
          <w:i/>
          <w:sz w:val="26"/>
        </w:rPr>
        <w:t>1.26.</w:t>
      </w:r>
      <w:r w:rsidR="00830AA9" w:rsidRPr="003B4891">
        <w:rPr>
          <w:i/>
          <w:sz w:val="26"/>
        </w:rPr>
        <w:t xml:space="preserve"> punkts. Izpildvarai nedrīkst būt pilnvaras slēgt, apturēt vai aizkavēt tiesu sistēmas darbību </w:t>
      </w:r>
      <w:r w:rsidR="003B4891">
        <w:rPr>
          <w:i/>
          <w:sz w:val="26"/>
        </w:rPr>
        <w:t>nevienā</w:t>
      </w:r>
      <w:r w:rsidR="00830AA9" w:rsidRPr="003B4891">
        <w:rPr>
          <w:i/>
          <w:sz w:val="26"/>
        </w:rPr>
        <w:t xml:space="preserve"> </w:t>
      </w:r>
      <w:r w:rsidR="003B4891">
        <w:rPr>
          <w:i/>
          <w:sz w:val="26"/>
        </w:rPr>
        <w:t xml:space="preserve">tiesu </w:t>
      </w:r>
      <w:r w:rsidR="00830AA9" w:rsidRPr="003B4891">
        <w:rPr>
          <w:i/>
          <w:sz w:val="26"/>
        </w:rPr>
        <w:t>instancē.</w:t>
      </w:r>
    </w:p>
    <w:p w14:paraId="2AE87A4D" w14:textId="05A51265" w:rsidR="00B146FA" w:rsidRDefault="00B146FA" w:rsidP="00830AA9">
      <w:pPr>
        <w:tabs>
          <w:tab w:val="left" w:pos="7200"/>
        </w:tabs>
        <w:rPr>
          <w:sz w:val="26"/>
        </w:rPr>
      </w:pPr>
    </w:p>
    <w:p w14:paraId="35013AD8" w14:textId="77777777" w:rsidR="003B4891" w:rsidRDefault="003B4891" w:rsidP="00830AA9">
      <w:pPr>
        <w:tabs>
          <w:tab w:val="left" w:pos="7200"/>
        </w:tabs>
        <w:rPr>
          <w:sz w:val="26"/>
        </w:rPr>
      </w:pPr>
    </w:p>
    <w:p w14:paraId="0B3B3DB9" w14:textId="77777777" w:rsidR="003B4891" w:rsidRDefault="003B4891" w:rsidP="00830AA9">
      <w:pPr>
        <w:tabs>
          <w:tab w:val="left" w:pos="7200"/>
        </w:tabs>
        <w:rPr>
          <w:sz w:val="26"/>
        </w:rPr>
      </w:pPr>
    </w:p>
    <w:p w14:paraId="702BB16A" w14:textId="77777777" w:rsidR="00FB1687" w:rsidRPr="00FB1687" w:rsidRDefault="00FB1687" w:rsidP="00FB1687">
      <w:pPr>
        <w:tabs>
          <w:tab w:val="left" w:pos="7200"/>
        </w:tabs>
        <w:rPr>
          <w:sz w:val="26"/>
        </w:rPr>
      </w:pPr>
      <w:r w:rsidRPr="00FB1687">
        <w:rPr>
          <w:sz w:val="26"/>
        </w:rPr>
        <w:t>Ar cieņu</w:t>
      </w:r>
    </w:p>
    <w:p w14:paraId="5742200D" w14:textId="038C63FB" w:rsidR="00FB1687" w:rsidRPr="00FB1687" w:rsidRDefault="00FB1687" w:rsidP="00FB1687">
      <w:pPr>
        <w:tabs>
          <w:tab w:val="left" w:pos="7200"/>
        </w:tabs>
        <w:rPr>
          <w:sz w:val="26"/>
        </w:rPr>
      </w:pPr>
      <w:r w:rsidRPr="00FB1687">
        <w:rPr>
          <w:sz w:val="26"/>
        </w:rPr>
        <w:t>Ties</w:t>
      </w:r>
      <w:r>
        <w:rPr>
          <w:sz w:val="26"/>
        </w:rPr>
        <w:t>lietu padomes priekšsēdētājs</w:t>
      </w:r>
      <w:r w:rsidRPr="00FB1687">
        <w:rPr>
          <w:sz w:val="26"/>
        </w:rPr>
        <w:tab/>
        <w:t>A.Strupišs</w:t>
      </w:r>
      <w:r w:rsidRPr="00FB1687">
        <w:rPr>
          <w:sz w:val="26"/>
        </w:rPr>
        <w:tab/>
      </w:r>
    </w:p>
    <w:p w14:paraId="1ED465F8" w14:textId="77777777" w:rsidR="00FB1687" w:rsidRPr="00FB1687" w:rsidRDefault="00FB1687" w:rsidP="00FB1687">
      <w:pPr>
        <w:tabs>
          <w:tab w:val="left" w:pos="7200"/>
        </w:tabs>
        <w:rPr>
          <w:sz w:val="26"/>
        </w:rPr>
      </w:pPr>
    </w:p>
    <w:p w14:paraId="3BE443B0" w14:textId="77777777" w:rsidR="00FB1687" w:rsidRDefault="00FB1687" w:rsidP="00FB1687">
      <w:pPr>
        <w:tabs>
          <w:tab w:val="left" w:pos="7200"/>
        </w:tabs>
        <w:rPr>
          <w:sz w:val="26"/>
        </w:rPr>
      </w:pPr>
    </w:p>
    <w:p w14:paraId="3F0596EC" w14:textId="77777777" w:rsidR="00FB1687" w:rsidRDefault="00FB1687" w:rsidP="00FB1687">
      <w:pPr>
        <w:tabs>
          <w:tab w:val="left" w:pos="7200"/>
        </w:tabs>
        <w:rPr>
          <w:sz w:val="26"/>
        </w:rPr>
      </w:pPr>
    </w:p>
    <w:p w14:paraId="7D984891" w14:textId="77777777" w:rsidR="00FB1687" w:rsidRDefault="00FB1687" w:rsidP="00FB1687">
      <w:pPr>
        <w:tabs>
          <w:tab w:val="left" w:pos="7200"/>
        </w:tabs>
        <w:rPr>
          <w:sz w:val="26"/>
        </w:rPr>
      </w:pPr>
    </w:p>
    <w:p w14:paraId="6AD88F90" w14:textId="77777777" w:rsidR="00FB1687" w:rsidRPr="00FB1687" w:rsidRDefault="00FB1687" w:rsidP="00FB1687">
      <w:pPr>
        <w:tabs>
          <w:tab w:val="left" w:pos="7200"/>
        </w:tabs>
        <w:rPr>
          <w:sz w:val="26"/>
        </w:rPr>
      </w:pPr>
    </w:p>
    <w:p w14:paraId="5624D7CA" w14:textId="7BD70594" w:rsidR="00FB1687" w:rsidRPr="00FB1687" w:rsidRDefault="006170F5" w:rsidP="00FB1687">
      <w:pPr>
        <w:tabs>
          <w:tab w:val="left" w:pos="7200"/>
        </w:tabs>
        <w:rPr>
          <w:szCs w:val="24"/>
        </w:rPr>
      </w:pPr>
      <w:r>
        <w:rPr>
          <w:szCs w:val="24"/>
        </w:rPr>
        <w:t>Šulmane 67020352</w:t>
      </w:r>
    </w:p>
    <w:p w14:paraId="3494596A" w14:textId="33D16F60" w:rsidR="00C027AB" w:rsidRPr="00707D34" w:rsidRDefault="006170F5" w:rsidP="00C027AB">
      <w:pPr>
        <w:tabs>
          <w:tab w:val="left" w:pos="7200"/>
        </w:tabs>
      </w:pPr>
      <w:r>
        <w:t>dace.sulmane</w:t>
      </w:r>
      <w:r w:rsidR="00FB1687">
        <w:t>@at.gov.lv</w:t>
      </w:r>
    </w:p>
    <w:sectPr w:rsidR="00C027AB" w:rsidRPr="00707D34" w:rsidSect="00243646">
      <w:type w:val="continuous"/>
      <w:pgSz w:w="11906" w:h="16838" w:code="9"/>
      <w:pgMar w:top="720"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ACB48" w14:textId="77777777" w:rsidR="001B4F9F" w:rsidRDefault="001B4F9F">
      <w:r>
        <w:separator/>
      </w:r>
    </w:p>
  </w:endnote>
  <w:endnote w:type="continuationSeparator" w:id="0">
    <w:p w14:paraId="4AC80C1F" w14:textId="77777777" w:rsidR="001B4F9F" w:rsidRDefault="001B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BC66A" w14:textId="77777777" w:rsidR="001B4F9F" w:rsidRDefault="001B4F9F">
      <w:r>
        <w:separator/>
      </w:r>
    </w:p>
  </w:footnote>
  <w:footnote w:type="continuationSeparator" w:id="0">
    <w:p w14:paraId="7F889D54" w14:textId="77777777" w:rsidR="001B4F9F" w:rsidRDefault="001B4F9F">
      <w:r>
        <w:continuationSeparator/>
      </w:r>
    </w:p>
  </w:footnote>
  <w:footnote w:id="1">
    <w:p w14:paraId="378EECAB" w14:textId="1A4D72FB" w:rsidR="00692D60" w:rsidRDefault="00692D60">
      <w:pPr>
        <w:pStyle w:val="FootnoteText"/>
      </w:pPr>
      <w:r>
        <w:rPr>
          <w:rStyle w:val="FootnoteReference"/>
        </w:rPr>
        <w:footnoteRef/>
      </w:r>
      <w:r>
        <w:t xml:space="preserve"> </w:t>
      </w:r>
      <w:r w:rsidRPr="00692D60">
        <w:t xml:space="preserve">RESOLUTION ON JUDICIAL ETHICS, </w:t>
      </w:r>
      <w:proofErr w:type="spellStart"/>
      <w:r w:rsidRPr="00692D60">
        <w:t>European</w:t>
      </w:r>
      <w:proofErr w:type="spellEnd"/>
      <w:r w:rsidRPr="00692D60">
        <w:t xml:space="preserve"> </w:t>
      </w:r>
      <w:proofErr w:type="spellStart"/>
      <w:r w:rsidRPr="00692D60">
        <w:t>Court</w:t>
      </w:r>
      <w:proofErr w:type="spellEnd"/>
      <w:r w:rsidRPr="00692D60">
        <w:t xml:space="preserve"> </w:t>
      </w:r>
      <w:proofErr w:type="spellStart"/>
      <w:r w:rsidRPr="00692D60">
        <w:t>of</w:t>
      </w:r>
      <w:proofErr w:type="spellEnd"/>
      <w:r w:rsidRPr="00692D60">
        <w:t xml:space="preserve"> </w:t>
      </w:r>
      <w:proofErr w:type="spellStart"/>
      <w:r w:rsidRPr="00692D60">
        <w:t>Human</w:t>
      </w:r>
      <w:proofErr w:type="spellEnd"/>
      <w:r w:rsidRPr="00692D60">
        <w:t xml:space="preserve"> </w:t>
      </w:r>
      <w:proofErr w:type="spellStart"/>
      <w:r w:rsidRPr="00692D60">
        <w:t>Rights</w:t>
      </w:r>
      <w:proofErr w:type="spellEnd"/>
      <w:r w:rsidRPr="00692D60">
        <w:t xml:space="preserve">, </w:t>
      </w:r>
      <w:proofErr w:type="spellStart"/>
      <w:r w:rsidRPr="00692D60">
        <w:t>Adopted</w:t>
      </w:r>
      <w:proofErr w:type="spellEnd"/>
      <w:r w:rsidRPr="00692D60">
        <w:t xml:space="preserve"> </w:t>
      </w:r>
      <w:proofErr w:type="spellStart"/>
      <w:r w:rsidRPr="00692D60">
        <w:t>by</w:t>
      </w:r>
      <w:proofErr w:type="spellEnd"/>
      <w:r w:rsidRPr="00692D60">
        <w:t xml:space="preserve"> </w:t>
      </w:r>
      <w:proofErr w:type="spellStart"/>
      <w:r w:rsidRPr="00692D60">
        <w:t>the</w:t>
      </w:r>
      <w:proofErr w:type="spellEnd"/>
      <w:r w:rsidRPr="00692D60">
        <w:t xml:space="preserve"> </w:t>
      </w:r>
      <w:proofErr w:type="spellStart"/>
      <w:r w:rsidRPr="00692D60">
        <w:t>Plenary</w:t>
      </w:r>
      <w:proofErr w:type="spellEnd"/>
      <w:r w:rsidRPr="00692D60">
        <w:t xml:space="preserve"> </w:t>
      </w:r>
      <w:proofErr w:type="spellStart"/>
      <w:r w:rsidRPr="00692D60">
        <w:t>Court</w:t>
      </w:r>
      <w:proofErr w:type="spellEnd"/>
      <w:r w:rsidRPr="00692D60">
        <w:t xml:space="preserve"> </w:t>
      </w:r>
      <w:proofErr w:type="spellStart"/>
      <w:r w:rsidRPr="00692D60">
        <w:t>on</w:t>
      </w:r>
      <w:proofErr w:type="spellEnd"/>
      <w:r w:rsidRPr="00692D60">
        <w:t xml:space="preserve"> 23 </w:t>
      </w:r>
      <w:proofErr w:type="spellStart"/>
      <w:r w:rsidRPr="00692D60">
        <w:t>June</w:t>
      </w:r>
      <w:proofErr w:type="spellEnd"/>
      <w:r w:rsidRPr="00692D60">
        <w:t xml:space="preserve"> 2008</w:t>
      </w:r>
      <w:r>
        <w:t xml:space="preserve">. </w:t>
      </w:r>
      <w:proofErr w:type="spellStart"/>
      <w:r w:rsidRPr="00692D60">
        <w:t>Judicial</w:t>
      </w:r>
      <w:proofErr w:type="spellEnd"/>
      <w:r w:rsidRPr="00692D60">
        <w:t xml:space="preserve"> </w:t>
      </w:r>
      <w:proofErr w:type="spellStart"/>
      <w:r w:rsidRPr="00692D60">
        <w:t>independence</w:t>
      </w:r>
      <w:proofErr w:type="spellEnd"/>
      <w:r w:rsidRPr="00692D60">
        <w:t xml:space="preserve"> </w:t>
      </w:r>
      <w:proofErr w:type="spellStart"/>
      <w:r w:rsidRPr="00692D60">
        <w:t>shall</w:t>
      </w:r>
      <w:proofErr w:type="spellEnd"/>
      <w:r w:rsidRPr="00692D60">
        <w:t xml:space="preserve"> </w:t>
      </w:r>
      <w:proofErr w:type="spellStart"/>
      <w:r w:rsidRPr="00692D60">
        <w:t>be</w:t>
      </w:r>
      <w:proofErr w:type="spellEnd"/>
      <w:r w:rsidRPr="00692D60">
        <w:t xml:space="preserve"> </w:t>
      </w:r>
      <w:proofErr w:type="spellStart"/>
      <w:r w:rsidRPr="00692D60">
        <w:t>guaranteed</w:t>
      </w:r>
      <w:proofErr w:type="spellEnd"/>
      <w:r w:rsidRPr="00692D60">
        <w:t xml:space="preserve"> </w:t>
      </w:r>
      <w:proofErr w:type="spellStart"/>
      <w:r w:rsidRPr="00692D60">
        <w:t>in</w:t>
      </w:r>
      <w:proofErr w:type="spellEnd"/>
      <w:r w:rsidRPr="00692D60">
        <w:t xml:space="preserve"> </w:t>
      </w:r>
      <w:proofErr w:type="spellStart"/>
      <w:r w:rsidRPr="00692D60">
        <w:t>respect</w:t>
      </w:r>
      <w:proofErr w:type="spellEnd"/>
      <w:r w:rsidRPr="00692D60">
        <w:t xml:space="preserve"> </w:t>
      </w:r>
      <w:proofErr w:type="spellStart"/>
      <w:r w:rsidRPr="00692D60">
        <w:t>of</w:t>
      </w:r>
      <w:proofErr w:type="spellEnd"/>
      <w:r w:rsidRPr="00692D60">
        <w:t xml:space="preserve"> </w:t>
      </w:r>
      <w:proofErr w:type="spellStart"/>
      <w:r w:rsidRPr="00692D60">
        <w:t>judicial</w:t>
      </w:r>
      <w:proofErr w:type="spellEnd"/>
      <w:r w:rsidRPr="00692D60">
        <w:t xml:space="preserve"> </w:t>
      </w:r>
      <w:proofErr w:type="spellStart"/>
      <w:r w:rsidRPr="00692D60">
        <w:t>activities</w:t>
      </w:r>
      <w:proofErr w:type="spellEnd"/>
      <w:r w:rsidRPr="00692D60">
        <w:t xml:space="preserve"> </w:t>
      </w:r>
      <w:proofErr w:type="spellStart"/>
      <w:r w:rsidRPr="00692D60">
        <w:t>and</w:t>
      </w:r>
      <w:proofErr w:type="spellEnd"/>
      <w:r w:rsidRPr="00692D60">
        <w:t xml:space="preserve"> </w:t>
      </w:r>
      <w:proofErr w:type="spellStart"/>
      <w:r w:rsidRPr="00692D60">
        <w:t>in</w:t>
      </w:r>
      <w:proofErr w:type="spellEnd"/>
      <w:r w:rsidRPr="00692D60">
        <w:t xml:space="preserve"> </w:t>
      </w:r>
      <w:proofErr w:type="spellStart"/>
      <w:r w:rsidRPr="00692D60">
        <w:t>particular</w:t>
      </w:r>
      <w:proofErr w:type="spellEnd"/>
      <w:r w:rsidRPr="00692D60">
        <w:t xml:space="preserve"> </w:t>
      </w:r>
      <w:proofErr w:type="spellStart"/>
      <w:r w:rsidRPr="00692D60">
        <w:t>in</w:t>
      </w:r>
      <w:proofErr w:type="spellEnd"/>
      <w:r w:rsidRPr="00692D60">
        <w:t xml:space="preserve"> </w:t>
      </w:r>
      <w:proofErr w:type="spellStart"/>
      <w:r w:rsidRPr="00692D60">
        <w:t>respect</w:t>
      </w:r>
      <w:proofErr w:type="spellEnd"/>
      <w:r w:rsidRPr="00692D60">
        <w:t xml:space="preserve"> </w:t>
      </w:r>
      <w:proofErr w:type="spellStart"/>
      <w:r w:rsidRPr="00692D60">
        <w:t>of</w:t>
      </w:r>
      <w:proofErr w:type="spellEnd"/>
      <w:r w:rsidRPr="00692D60">
        <w:t xml:space="preserve"> </w:t>
      </w:r>
      <w:proofErr w:type="spellStart"/>
      <w:r w:rsidRPr="00692D60">
        <w:t>recruitment</w:t>
      </w:r>
      <w:proofErr w:type="spellEnd"/>
      <w:r w:rsidRPr="00692D60">
        <w:t xml:space="preserve">, </w:t>
      </w:r>
      <w:proofErr w:type="spellStart"/>
      <w:r w:rsidRPr="00692D60">
        <w:t>nomination</w:t>
      </w:r>
      <w:proofErr w:type="spellEnd"/>
      <w:r w:rsidRPr="00692D60">
        <w:t xml:space="preserve"> </w:t>
      </w:r>
      <w:proofErr w:type="spellStart"/>
      <w:r w:rsidRPr="00692D60">
        <w:t>until</w:t>
      </w:r>
      <w:proofErr w:type="spellEnd"/>
      <w:r w:rsidRPr="00692D60">
        <w:t xml:space="preserve"> </w:t>
      </w:r>
      <w:proofErr w:type="spellStart"/>
      <w:r w:rsidRPr="00692D60">
        <w:t>the</w:t>
      </w:r>
      <w:proofErr w:type="spellEnd"/>
      <w:r w:rsidRPr="00692D60">
        <w:t xml:space="preserve"> </w:t>
      </w:r>
      <w:proofErr w:type="spellStart"/>
      <w:r w:rsidRPr="00692D60">
        <w:t>age</w:t>
      </w:r>
      <w:proofErr w:type="spellEnd"/>
      <w:r w:rsidRPr="00692D60">
        <w:t xml:space="preserve"> </w:t>
      </w:r>
      <w:proofErr w:type="spellStart"/>
      <w:r w:rsidRPr="00692D60">
        <w:t>of</w:t>
      </w:r>
      <w:proofErr w:type="spellEnd"/>
      <w:r w:rsidRPr="00692D60">
        <w:t xml:space="preserve"> </w:t>
      </w:r>
      <w:proofErr w:type="spellStart"/>
      <w:r w:rsidRPr="00692D60">
        <w:t>retirement</w:t>
      </w:r>
      <w:proofErr w:type="spellEnd"/>
      <w:r w:rsidRPr="00692D60">
        <w:t xml:space="preserve">, </w:t>
      </w:r>
      <w:proofErr w:type="spellStart"/>
      <w:r w:rsidRPr="00692D60">
        <w:t>promotions</w:t>
      </w:r>
      <w:proofErr w:type="spellEnd"/>
      <w:r w:rsidRPr="00692D60">
        <w:t xml:space="preserve">, </w:t>
      </w:r>
      <w:proofErr w:type="spellStart"/>
      <w:r w:rsidRPr="00692D60">
        <w:t>irremovability</w:t>
      </w:r>
      <w:proofErr w:type="spellEnd"/>
      <w:r w:rsidRPr="00692D60">
        <w:t xml:space="preserve">, </w:t>
      </w:r>
      <w:proofErr w:type="spellStart"/>
      <w:r w:rsidRPr="00692D60">
        <w:t>training</w:t>
      </w:r>
      <w:proofErr w:type="spellEnd"/>
      <w:r w:rsidRPr="00692D60">
        <w:t xml:space="preserve">, </w:t>
      </w:r>
      <w:proofErr w:type="spellStart"/>
      <w:r w:rsidRPr="00692D60">
        <w:t>judicial</w:t>
      </w:r>
      <w:proofErr w:type="spellEnd"/>
      <w:r w:rsidRPr="00692D60">
        <w:t xml:space="preserve"> </w:t>
      </w:r>
      <w:proofErr w:type="spellStart"/>
      <w:r w:rsidRPr="00692D60">
        <w:t>immunity</w:t>
      </w:r>
      <w:proofErr w:type="spellEnd"/>
      <w:r w:rsidRPr="00692D60">
        <w:t xml:space="preserve">, </w:t>
      </w:r>
      <w:proofErr w:type="spellStart"/>
      <w:r w:rsidRPr="00692D60">
        <w:t>discipline</w:t>
      </w:r>
      <w:proofErr w:type="spellEnd"/>
      <w:r w:rsidRPr="00692D60">
        <w:t xml:space="preserve">, </w:t>
      </w:r>
      <w:proofErr w:type="spellStart"/>
      <w:r w:rsidRPr="00692D60">
        <w:t>remuneration</w:t>
      </w:r>
      <w:proofErr w:type="spellEnd"/>
      <w:r w:rsidRPr="00692D60">
        <w:t xml:space="preserve"> </w:t>
      </w:r>
      <w:proofErr w:type="spellStart"/>
      <w:r w:rsidRPr="00692D60">
        <w:t>and</w:t>
      </w:r>
      <w:proofErr w:type="spellEnd"/>
      <w:r w:rsidRPr="00692D60">
        <w:t xml:space="preserve"> </w:t>
      </w:r>
      <w:proofErr w:type="spellStart"/>
      <w:r w:rsidRPr="00692D60">
        <w:t>financing</w:t>
      </w:r>
      <w:proofErr w:type="spellEnd"/>
      <w:r w:rsidRPr="00692D60">
        <w:t xml:space="preserve"> </w:t>
      </w:r>
      <w:proofErr w:type="spellStart"/>
      <w:r w:rsidRPr="00692D60">
        <w:t>of</w:t>
      </w:r>
      <w:proofErr w:type="spellEnd"/>
      <w:r w:rsidRPr="00692D60">
        <w:t xml:space="preserve"> </w:t>
      </w:r>
      <w:proofErr w:type="spellStart"/>
      <w:r w:rsidRPr="00692D60">
        <w:t>the</w:t>
      </w:r>
      <w:proofErr w:type="spellEnd"/>
      <w:r w:rsidRPr="00692D60">
        <w:t xml:space="preserve"> </w:t>
      </w:r>
      <w:proofErr w:type="spellStart"/>
      <w:r w:rsidRPr="00692D60">
        <w:t>judiciary</w:t>
      </w:r>
      <w:proofErr w:type="spellEnd"/>
    </w:p>
  </w:footnote>
  <w:footnote w:id="2">
    <w:p w14:paraId="6245A454" w14:textId="4687F4DF" w:rsidR="00A02237" w:rsidRDefault="00A02237">
      <w:pPr>
        <w:pStyle w:val="FootnoteText"/>
      </w:pPr>
      <w:r>
        <w:rPr>
          <w:rStyle w:val="FootnoteReference"/>
        </w:rPr>
        <w:footnoteRef/>
      </w:r>
      <w:r>
        <w:t xml:space="preserve"> </w:t>
      </w:r>
      <w:r w:rsidRPr="00A02237">
        <w:t xml:space="preserve">OPINION NO. 1 (2001) OF THE CONSULTATIVE COUNCIL OF EUROPEAN JUDGES (CCJE) FOR THE ATTENTION OF THE COMMITTEE OF MINISTERS OF COUNCIL OF EUROPE ON STANDARDS CONCERNING THE INDEPENDENCE OF THE JUDICIARY AND THE IRREMOVABILITY OF JUDGES, </w:t>
      </w:r>
      <w:proofErr w:type="spellStart"/>
      <w:r w:rsidRPr="00A02237">
        <w:t>Council</w:t>
      </w:r>
      <w:proofErr w:type="spellEnd"/>
      <w:r w:rsidRPr="00A02237">
        <w:t xml:space="preserve"> </w:t>
      </w:r>
      <w:proofErr w:type="spellStart"/>
      <w:r w:rsidRPr="00A02237">
        <w:t>of</w:t>
      </w:r>
      <w:proofErr w:type="spellEnd"/>
      <w:r w:rsidRPr="00A02237">
        <w:t xml:space="preserve"> </w:t>
      </w:r>
      <w:proofErr w:type="spellStart"/>
      <w:r w:rsidRPr="00A02237">
        <w:t>Europe</w:t>
      </w:r>
      <w:proofErr w:type="spellEnd"/>
      <w:r w:rsidRPr="00A02237">
        <w:t>, 2001</w:t>
      </w:r>
    </w:p>
  </w:footnote>
  <w:footnote w:id="3">
    <w:p w14:paraId="4ACCE332" w14:textId="7F23C51A" w:rsidR="00692D60" w:rsidRPr="00CE4D2F" w:rsidRDefault="003C7B14" w:rsidP="00972245">
      <w:pPr>
        <w:pStyle w:val="FootnoteText"/>
        <w:jc w:val="both"/>
      </w:pPr>
      <w:r>
        <w:rPr>
          <w:rStyle w:val="FootnoteReference"/>
        </w:rPr>
        <w:footnoteRef/>
      </w:r>
      <w:r>
        <w:t xml:space="preserve"> REPORT ON THE INDEPENDENCE OF THE JUDICIAL SYSTEM PART I: THE INDEPENDENCE OF JUDGES, </w:t>
      </w:r>
      <w:proofErr w:type="spellStart"/>
      <w:r>
        <w:t>Venice</w:t>
      </w:r>
      <w:proofErr w:type="spellEnd"/>
      <w:r>
        <w:t xml:space="preserve"> </w:t>
      </w:r>
      <w:proofErr w:type="spellStart"/>
      <w:r>
        <w:t>Commission</w:t>
      </w:r>
      <w:proofErr w:type="spellEnd"/>
      <w:r>
        <w:t xml:space="preserve">, </w:t>
      </w:r>
      <w:proofErr w:type="spellStart"/>
      <w:r>
        <w:t>Venice</w:t>
      </w:r>
      <w:proofErr w:type="spellEnd"/>
      <w:r>
        <w:t xml:space="preserve">, 12-13 </w:t>
      </w:r>
      <w:proofErr w:type="spellStart"/>
      <w:r>
        <w:t>March</w:t>
      </w:r>
      <w:proofErr w:type="spellEnd"/>
      <w:r>
        <w:t xml:space="preserve"> 2010 CDL-AD(2010)004. </w:t>
      </w:r>
      <w:proofErr w:type="spellStart"/>
      <w:r w:rsidR="00692D60" w:rsidRPr="003C7B14">
        <w:t>The</w:t>
      </w:r>
      <w:proofErr w:type="spellEnd"/>
      <w:r w:rsidR="00692D60" w:rsidRPr="003C7B14">
        <w:t xml:space="preserve"> </w:t>
      </w:r>
      <w:proofErr w:type="spellStart"/>
      <w:r w:rsidR="00692D60" w:rsidRPr="003C7B14">
        <w:t>following</w:t>
      </w:r>
      <w:proofErr w:type="spellEnd"/>
      <w:r w:rsidR="00692D60" w:rsidRPr="003C7B14">
        <w:t xml:space="preserve"> </w:t>
      </w:r>
      <w:proofErr w:type="spellStart"/>
      <w:r w:rsidR="00692D60" w:rsidRPr="003C7B14">
        <w:t>standards</w:t>
      </w:r>
      <w:proofErr w:type="spellEnd"/>
      <w:r w:rsidR="00692D60" w:rsidRPr="003C7B14">
        <w:t xml:space="preserve"> </w:t>
      </w:r>
      <w:proofErr w:type="spellStart"/>
      <w:r w:rsidR="00692D60" w:rsidRPr="003C7B14">
        <w:t>should</w:t>
      </w:r>
      <w:proofErr w:type="spellEnd"/>
      <w:r w:rsidR="00692D60" w:rsidRPr="003C7B14">
        <w:t xml:space="preserve"> </w:t>
      </w:r>
      <w:proofErr w:type="spellStart"/>
      <w:r w:rsidR="00692D60" w:rsidRPr="003C7B14">
        <w:t>be</w:t>
      </w:r>
      <w:proofErr w:type="spellEnd"/>
      <w:r w:rsidR="00692D60" w:rsidRPr="003C7B14">
        <w:t xml:space="preserve"> </w:t>
      </w:r>
      <w:proofErr w:type="spellStart"/>
      <w:r w:rsidR="00692D60" w:rsidRPr="003C7B14">
        <w:t>respected</w:t>
      </w:r>
      <w:proofErr w:type="spellEnd"/>
      <w:r w:rsidR="00692D60" w:rsidRPr="003C7B14">
        <w:t xml:space="preserve"> </w:t>
      </w:r>
      <w:proofErr w:type="spellStart"/>
      <w:r w:rsidR="00692D60" w:rsidRPr="003C7B14">
        <w:t>by</w:t>
      </w:r>
      <w:proofErr w:type="spellEnd"/>
      <w:r w:rsidR="00692D60" w:rsidRPr="003C7B14">
        <w:t xml:space="preserve"> </w:t>
      </w:r>
      <w:proofErr w:type="spellStart"/>
      <w:r w:rsidR="00692D60" w:rsidRPr="003C7B14">
        <w:t>states</w:t>
      </w:r>
      <w:proofErr w:type="spellEnd"/>
      <w:r w:rsidR="00692D60" w:rsidRPr="003C7B14">
        <w:t xml:space="preserve"> </w:t>
      </w:r>
      <w:proofErr w:type="spellStart"/>
      <w:r w:rsidR="00692D60" w:rsidRPr="003C7B14">
        <w:t>in</w:t>
      </w:r>
      <w:proofErr w:type="spellEnd"/>
      <w:r w:rsidR="00692D60" w:rsidRPr="003C7B14">
        <w:t xml:space="preserve"> </w:t>
      </w:r>
      <w:proofErr w:type="spellStart"/>
      <w:r w:rsidR="00692D60" w:rsidRPr="003C7B14">
        <w:t>order</w:t>
      </w:r>
      <w:proofErr w:type="spellEnd"/>
      <w:r w:rsidR="00692D60" w:rsidRPr="003C7B14">
        <w:t xml:space="preserve"> to </w:t>
      </w:r>
      <w:proofErr w:type="spellStart"/>
      <w:r w:rsidR="00692D60" w:rsidRPr="003C7B14">
        <w:t>ensure</w:t>
      </w:r>
      <w:proofErr w:type="spellEnd"/>
      <w:r w:rsidR="00692D60" w:rsidRPr="003C7B14">
        <w:t xml:space="preserve"> </w:t>
      </w:r>
      <w:proofErr w:type="spellStart"/>
      <w:r w:rsidR="00692D60" w:rsidRPr="003C7B14">
        <w:t>internal</w:t>
      </w:r>
      <w:proofErr w:type="spellEnd"/>
      <w:r w:rsidR="00692D60" w:rsidRPr="003C7B14">
        <w:t xml:space="preserve"> </w:t>
      </w:r>
      <w:proofErr w:type="spellStart"/>
      <w:r w:rsidR="00692D60" w:rsidRPr="003C7B14">
        <w:t>and</w:t>
      </w:r>
      <w:proofErr w:type="spellEnd"/>
      <w:r w:rsidR="00692D60" w:rsidRPr="003C7B14">
        <w:t xml:space="preserve"> </w:t>
      </w:r>
      <w:proofErr w:type="spellStart"/>
      <w:r w:rsidR="00692D60" w:rsidRPr="003C7B14">
        <w:t>external</w:t>
      </w:r>
      <w:proofErr w:type="spellEnd"/>
      <w:r w:rsidR="00692D60" w:rsidRPr="003C7B14">
        <w:t xml:space="preserve"> </w:t>
      </w:r>
      <w:proofErr w:type="spellStart"/>
      <w:r w:rsidR="00692D60" w:rsidRPr="003C7B14">
        <w:t>judicial</w:t>
      </w:r>
      <w:proofErr w:type="spellEnd"/>
      <w:r w:rsidR="00692D60" w:rsidRPr="003C7B14">
        <w:t xml:space="preserve"> </w:t>
      </w:r>
      <w:proofErr w:type="spellStart"/>
      <w:r w:rsidR="00692D60" w:rsidRPr="003C7B14">
        <w:t>independence</w:t>
      </w:r>
      <w:proofErr w:type="spellEnd"/>
      <w:r w:rsidR="00692D60" w:rsidRPr="003C7B14">
        <w:t xml:space="preserve">: 1. </w:t>
      </w:r>
      <w:proofErr w:type="spellStart"/>
      <w:r w:rsidR="00692D60" w:rsidRPr="003C7B14">
        <w:t>The</w:t>
      </w:r>
      <w:proofErr w:type="spellEnd"/>
      <w:r w:rsidR="00692D60" w:rsidRPr="003C7B14">
        <w:t xml:space="preserve"> </w:t>
      </w:r>
      <w:proofErr w:type="spellStart"/>
      <w:r w:rsidR="00692D60" w:rsidRPr="003C7B14">
        <w:t>basic</w:t>
      </w:r>
      <w:proofErr w:type="spellEnd"/>
      <w:r w:rsidR="00692D60" w:rsidRPr="003C7B14">
        <w:t xml:space="preserve"> </w:t>
      </w:r>
      <w:proofErr w:type="spellStart"/>
      <w:r w:rsidR="00692D60" w:rsidRPr="003C7B14">
        <w:t>principles</w:t>
      </w:r>
      <w:proofErr w:type="spellEnd"/>
      <w:r w:rsidR="00692D60" w:rsidRPr="003C7B14">
        <w:t xml:space="preserve"> </w:t>
      </w:r>
      <w:proofErr w:type="spellStart"/>
      <w:r w:rsidR="00692D60" w:rsidRPr="003C7B14">
        <w:t>relevant</w:t>
      </w:r>
      <w:proofErr w:type="spellEnd"/>
      <w:r w:rsidR="00692D60" w:rsidRPr="003C7B14">
        <w:t xml:space="preserve"> to </w:t>
      </w:r>
      <w:proofErr w:type="spellStart"/>
      <w:r w:rsidR="00692D60" w:rsidRPr="003C7B14">
        <w:t>the</w:t>
      </w:r>
      <w:proofErr w:type="spellEnd"/>
      <w:r w:rsidR="00692D60" w:rsidRPr="003C7B14">
        <w:t xml:space="preserve"> </w:t>
      </w:r>
      <w:proofErr w:type="spellStart"/>
      <w:r w:rsidR="00692D60" w:rsidRPr="003C7B14">
        <w:t>independence</w:t>
      </w:r>
      <w:proofErr w:type="spellEnd"/>
      <w:r w:rsidR="00692D60" w:rsidRPr="003C7B14">
        <w:t xml:space="preserve"> </w:t>
      </w:r>
      <w:proofErr w:type="spellStart"/>
      <w:r w:rsidR="00692D60" w:rsidRPr="003C7B14">
        <w:t>of</w:t>
      </w:r>
      <w:proofErr w:type="spellEnd"/>
      <w:r w:rsidR="00692D60" w:rsidRPr="003C7B14">
        <w:t xml:space="preserve"> </w:t>
      </w:r>
      <w:proofErr w:type="spellStart"/>
      <w:r w:rsidR="00692D60" w:rsidRPr="003C7B14">
        <w:t>the</w:t>
      </w:r>
      <w:proofErr w:type="spellEnd"/>
      <w:r w:rsidR="00692D60" w:rsidRPr="003C7B14">
        <w:t xml:space="preserve"> </w:t>
      </w:r>
      <w:proofErr w:type="spellStart"/>
      <w:r w:rsidR="00692D60" w:rsidRPr="003C7B14">
        <w:t>judiciary</w:t>
      </w:r>
      <w:proofErr w:type="spellEnd"/>
      <w:r w:rsidR="00692D60" w:rsidRPr="003C7B14">
        <w:t xml:space="preserve"> </w:t>
      </w:r>
      <w:proofErr w:type="spellStart"/>
      <w:r w:rsidR="00692D60" w:rsidRPr="003C7B14">
        <w:t>should</w:t>
      </w:r>
      <w:proofErr w:type="spellEnd"/>
      <w:r w:rsidR="00692D60" w:rsidRPr="003C7B14">
        <w:t xml:space="preserve"> </w:t>
      </w:r>
      <w:proofErr w:type="spellStart"/>
      <w:r w:rsidR="00692D60" w:rsidRPr="003C7B14">
        <w:t>be</w:t>
      </w:r>
      <w:proofErr w:type="spellEnd"/>
      <w:r w:rsidR="00692D60" w:rsidRPr="003C7B14">
        <w:t xml:space="preserve"> </w:t>
      </w:r>
      <w:proofErr w:type="spellStart"/>
      <w:r w:rsidR="00692D60" w:rsidRPr="003C7B14">
        <w:t>set</w:t>
      </w:r>
      <w:proofErr w:type="spellEnd"/>
      <w:r w:rsidR="00692D60" w:rsidRPr="003C7B14">
        <w:t xml:space="preserve"> </w:t>
      </w:r>
      <w:proofErr w:type="spellStart"/>
      <w:r w:rsidR="00692D60" w:rsidRPr="003C7B14">
        <w:t>out</w:t>
      </w:r>
      <w:proofErr w:type="spellEnd"/>
      <w:r w:rsidR="00692D60" w:rsidRPr="003C7B14">
        <w:t xml:space="preserve"> </w:t>
      </w:r>
      <w:proofErr w:type="spellStart"/>
      <w:r w:rsidR="00692D60" w:rsidRPr="003C7B14">
        <w:t>in</w:t>
      </w:r>
      <w:proofErr w:type="spellEnd"/>
      <w:r w:rsidR="00692D60" w:rsidRPr="003C7B14">
        <w:t xml:space="preserve"> </w:t>
      </w:r>
      <w:proofErr w:type="spellStart"/>
      <w:r w:rsidR="00692D60" w:rsidRPr="003C7B14">
        <w:t>the</w:t>
      </w:r>
      <w:proofErr w:type="spellEnd"/>
      <w:r w:rsidR="00692D60" w:rsidRPr="003C7B14">
        <w:t xml:space="preserve"> </w:t>
      </w:r>
      <w:proofErr w:type="spellStart"/>
      <w:r w:rsidR="00692D60" w:rsidRPr="003C7B14">
        <w:t>Constitution</w:t>
      </w:r>
      <w:proofErr w:type="spellEnd"/>
      <w:r w:rsidR="00692D60" w:rsidRPr="003C7B14">
        <w:t xml:space="preserve"> </w:t>
      </w:r>
      <w:proofErr w:type="spellStart"/>
      <w:r w:rsidR="00692D60" w:rsidRPr="003C7B14">
        <w:t>or</w:t>
      </w:r>
      <w:proofErr w:type="spellEnd"/>
      <w:r w:rsidR="00692D60" w:rsidRPr="003C7B14">
        <w:t xml:space="preserve"> </w:t>
      </w:r>
      <w:proofErr w:type="spellStart"/>
      <w:r w:rsidR="00692D60" w:rsidRPr="003C7B14">
        <w:t>equivalent</w:t>
      </w:r>
      <w:proofErr w:type="spellEnd"/>
      <w:r w:rsidR="00692D60" w:rsidRPr="003C7B14">
        <w:t xml:space="preserve"> </w:t>
      </w:r>
      <w:proofErr w:type="spellStart"/>
      <w:r w:rsidR="00692D60" w:rsidRPr="003C7B14">
        <w:t>texts</w:t>
      </w:r>
      <w:proofErr w:type="spellEnd"/>
      <w:r w:rsidR="00692D60" w:rsidRPr="003C7B14">
        <w:t xml:space="preserve">. </w:t>
      </w:r>
      <w:proofErr w:type="spellStart"/>
      <w:r w:rsidR="00692D60" w:rsidRPr="003C7B14">
        <w:t>These</w:t>
      </w:r>
      <w:proofErr w:type="spellEnd"/>
      <w:r w:rsidR="00692D60" w:rsidRPr="003C7B14">
        <w:t xml:space="preserve"> </w:t>
      </w:r>
      <w:proofErr w:type="spellStart"/>
      <w:r w:rsidR="00692D60" w:rsidRPr="003C7B14">
        <w:t>principles</w:t>
      </w:r>
      <w:proofErr w:type="spellEnd"/>
      <w:r w:rsidR="00692D60" w:rsidRPr="003C7B14">
        <w:t xml:space="preserve"> </w:t>
      </w:r>
      <w:proofErr w:type="spellStart"/>
      <w:r w:rsidR="00692D60" w:rsidRPr="003C7B14">
        <w:t>include</w:t>
      </w:r>
      <w:proofErr w:type="spellEnd"/>
      <w:r w:rsidR="00692D60" w:rsidRPr="003C7B14">
        <w:t xml:space="preserve"> </w:t>
      </w:r>
      <w:proofErr w:type="spellStart"/>
      <w:r w:rsidR="00692D60" w:rsidRPr="003C7B14">
        <w:t>the</w:t>
      </w:r>
      <w:proofErr w:type="spellEnd"/>
      <w:r w:rsidR="00692D60" w:rsidRPr="003C7B14">
        <w:t xml:space="preserve"> </w:t>
      </w:r>
      <w:proofErr w:type="spellStart"/>
      <w:r w:rsidR="00692D60" w:rsidRPr="003C7B14">
        <w:t>judiciary's</w:t>
      </w:r>
      <w:proofErr w:type="spellEnd"/>
      <w:r w:rsidR="00692D60" w:rsidRPr="003C7B14">
        <w:t xml:space="preserve"> </w:t>
      </w:r>
      <w:proofErr w:type="spellStart"/>
      <w:r w:rsidR="00692D60" w:rsidRPr="003C7B14">
        <w:t>independence</w:t>
      </w:r>
      <w:proofErr w:type="spellEnd"/>
      <w:r w:rsidR="00692D60" w:rsidRPr="003C7B14">
        <w:t xml:space="preserve"> </w:t>
      </w:r>
      <w:proofErr w:type="spellStart"/>
      <w:r w:rsidR="00692D60" w:rsidRPr="003C7B14">
        <w:t>from</w:t>
      </w:r>
      <w:proofErr w:type="spellEnd"/>
      <w:r w:rsidR="00692D60" w:rsidRPr="003C7B14">
        <w:t xml:space="preserve"> </w:t>
      </w:r>
      <w:proofErr w:type="spellStart"/>
      <w:r w:rsidR="00692D60" w:rsidRPr="003C7B14">
        <w:t>other</w:t>
      </w:r>
      <w:proofErr w:type="spellEnd"/>
      <w:r w:rsidR="00692D60" w:rsidRPr="003C7B14">
        <w:t xml:space="preserve"> </w:t>
      </w:r>
      <w:proofErr w:type="spellStart"/>
      <w:r w:rsidR="00692D60" w:rsidRPr="003C7B14">
        <w:t>state</w:t>
      </w:r>
      <w:proofErr w:type="spellEnd"/>
      <w:r w:rsidR="00692D60" w:rsidRPr="003C7B14">
        <w:t xml:space="preserve"> </w:t>
      </w:r>
      <w:proofErr w:type="spellStart"/>
      <w:r w:rsidR="00692D60" w:rsidRPr="003C7B14">
        <w:t>powers</w:t>
      </w:r>
      <w:proofErr w:type="spellEnd"/>
      <w:r w:rsidR="00692D60" w:rsidRPr="003C7B14">
        <w:t xml:space="preserve">, </w:t>
      </w:r>
      <w:proofErr w:type="spellStart"/>
      <w:r w:rsidR="00692D60" w:rsidRPr="003C7B14">
        <w:t>that</w:t>
      </w:r>
      <w:proofErr w:type="spellEnd"/>
      <w:r w:rsidR="00692D60" w:rsidRPr="003C7B14">
        <w:t xml:space="preserve"> </w:t>
      </w:r>
      <w:proofErr w:type="spellStart"/>
      <w:r w:rsidR="00692D60" w:rsidRPr="003C7B14">
        <w:t>judges</w:t>
      </w:r>
      <w:proofErr w:type="spellEnd"/>
      <w:r w:rsidR="00692D60" w:rsidRPr="003C7B14">
        <w:t xml:space="preserve"> </w:t>
      </w:r>
      <w:proofErr w:type="spellStart"/>
      <w:r w:rsidR="00692D60" w:rsidRPr="003C7B14">
        <w:t>are</w:t>
      </w:r>
      <w:proofErr w:type="spellEnd"/>
      <w:r w:rsidR="00692D60" w:rsidRPr="003C7B14">
        <w:t xml:space="preserve"> </w:t>
      </w:r>
      <w:proofErr w:type="spellStart"/>
      <w:r w:rsidR="00692D60" w:rsidRPr="003C7B14">
        <w:t>subject</w:t>
      </w:r>
      <w:proofErr w:type="spellEnd"/>
      <w:r w:rsidR="00692D60" w:rsidRPr="003C7B14">
        <w:t xml:space="preserve"> </w:t>
      </w:r>
      <w:proofErr w:type="spellStart"/>
      <w:r w:rsidR="00692D60" w:rsidRPr="003C7B14">
        <w:t>only</w:t>
      </w:r>
      <w:proofErr w:type="spellEnd"/>
      <w:r w:rsidR="00692D60" w:rsidRPr="003C7B14">
        <w:t xml:space="preserve"> to </w:t>
      </w:r>
      <w:proofErr w:type="spellStart"/>
      <w:r w:rsidR="00692D60" w:rsidRPr="003C7B14">
        <w:t>the</w:t>
      </w:r>
      <w:proofErr w:type="spellEnd"/>
      <w:r w:rsidR="00692D60" w:rsidRPr="003C7B14">
        <w:t xml:space="preserve"> </w:t>
      </w:r>
      <w:proofErr w:type="spellStart"/>
      <w:r w:rsidR="00692D60" w:rsidRPr="003C7B14">
        <w:t>law</w:t>
      </w:r>
      <w:proofErr w:type="spellEnd"/>
      <w:r w:rsidR="00692D60" w:rsidRPr="003C7B14">
        <w:t xml:space="preserve">, </w:t>
      </w:r>
      <w:proofErr w:type="spellStart"/>
      <w:r w:rsidR="00692D60" w:rsidRPr="003C7B14">
        <w:t>that</w:t>
      </w:r>
      <w:proofErr w:type="spellEnd"/>
      <w:r w:rsidR="00692D60" w:rsidRPr="003C7B14">
        <w:t xml:space="preserve"> </w:t>
      </w:r>
      <w:proofErr w:type="spellStart"/>
      <w:r w:rsidR="00692D60" w:rsidRPr="003C7B14">
        <w:t>they</w:t>
      </w:r>
      <w:proofErr w:type="spellEnd"/>
      <w:r w:rsidR="00692D60" w:rsidRPr="003C7B14">
        <w:t xml:space="preserve"> </w:t>
      </w:r>
      <w:proofErr w:type="spellStart"/>
      <w:r w:rsidR="00692D60" w:rsidRPr="003C7B14">
        <w:t>are</w:t>
      </w:r>
      <w:proofErr w:type="spellEnd"/>
      <w:r w:rsidR="00692D60" w:rsidRPr="003C7B14">
        <w:t xml:space="preserve"> </w:t>
      </w:r>
      <w:proofErr w:type="spellStart"/>
      <w:r w:rsidR="00692D60" w:rsidRPr="003C7B14">
        <w:t>distinguished</w:t>
      </w:r>
      <w:proofErr w:type="spellEnd"/>
      <w:r w:rsidR="00692D60" w:rsidRPr="003C7B14">
        <w:t xml:space="preserve"> </w:t>
      </w:r>
      <w:proofErr w:type="spellStart"/>
      <w:r w:rsidR="00692D60" w:rsidRPr="003C7B14">
        <w:t>only</w:t>
      </w:r>
      <w:proofErr w:type="spellEnd"/>
      <w:r w:rsidR="00692D60" w:rsidRPr="003C7B14">
        <w:t xml:space="preserve"> </w:t>
      </w:r>
      <w:proofErr w:type="spellStart"/>
      <w:r w:rsidR="00692D60" w:rsidRPr="003C7B14">
        <w:t>by</w:t>
      </w:r>
      <w:proofErr w:type="spellEnd"/>
      <w:r w:rsidR="00692D60" w:rsidRPr="003C7B14">
        <w:t xml:space="preserve"> </w:t>
      </w:r>
      <w:proofErr w:type="spellStart"/>
      <w:r w:rsidR="00692D60" w:rsidRPr="003C7B14">
        <w:t>their</w:t>
      </w:r>
      <w:proofErr w:type="spellEnd"/>
      <w:r w:rsidR="00692D60" w:rsidRPr="003C7B14">
        <w:t xml:space="preserve"> </w:t>
      </w:r>
      <w:proofErr w:type="spellStart"/>
      <w:r w:rsidR="00692D60" w:rsidRPr="003C7B14">
        <w:t>different</w:t>
      </w:r>
      <w:proofErr w:type="spellEnd"/>
      <w:r w:rsidR="00692D60" w:rsidRPr="003C7B14">
        <w:t xml:space="preserve"> </w:t>
      </w:r>
      <w:proofErr w:type="spellStart"/>
      <w:r w:rsidR="00692D60" w:rsidRPr="003C7B14">
        <w:t>functions</w:t>
      </w:r>
      <w:proofErr w:type="spellEnd"/>
      <w:r w:rsidR="00692D60" w:rsidRPr="003C7B14">
        <w:t xml:space="preserve">, as </w:t>
      </w:r>
      <w:proofErr w:type="spellStart"/>
      <w:r w:rsidR="00692D60" w:rsidRPr="003C7B14">
        <w:t>well</w:t>
      </w:r>
      <w:proofErr w:type="spellEnd"/>
      <w:r w:rsidR="00692D60" w:rsidRPr="003C7B14">
        <w:t xml:space="preserve"> as </w:t>
      </w:r>
      <w:proofErr w:type="spellStart"/>
      <w:r w:rsidR="00692D60" w:rsidRPr="003C7B14">
        <w:t>the</w:t>
      </w:r>
      <w:proofErr w:type="spellEnd"/>
      <w:r w:rsidR="00692D60" w:rsidRPr="003C7B14">
        <w:t xml:space="preserve"> </w:t>
      </w:r>
      <w:proofErr w:type="spellStart"/>
      <w:r w:rsidR="00692D60" w:rsidRPr="003C7B14">
        <w:t>principles</w:t>
      </w:r>
      <w:proofErr w:type="spellEnd"/>
      <w:r w:rsidR="00692D60" w:rsidRPr="003C7B14">
        <w:t xml:space="preserve"> </w:t>
      </w:r>
      <w:proofErr w:type="spellStart"/>
      <w:r w:rsidR="00692D60" w:rsidRPr="003C7B14">
        <w:t>of</w:t>
      </w:r>
      <w:proofErr w:type="spellEnd"/>
      <w:r w:rsidR="00692D60" w:rsidRPr="003C7B14">
        <w:t xml:space="preserve"> </w:t>
      </w:r>
      <w:proofErr w:type="spellStart"/>
      <w:r w:rsidR="00692D60" w:rsidRPr="003C7B14">
        <w:t>the</w:t>
      </w:r>
      <w:proofErr w:type="spellEnd"/>
      <w:r w:rsidR="00692D60" w:rsidRPr="003C7B14">
        <w:t xml:space="preserve"> </w:t>
      </w:r>
      <w:proofErr w:type="spellStart"/>
      <w:r w:rsidR="00692D60" w:rsidRPr="003C7B14">
        <w:t>natural</w:t>
      </w:r>
      <w:proofErr w:type="spellEnd"/>
      <w:r w:rsidR="00692D60" w:rsidRPr="003C7B14">
        <w:t xml:space="preserve"> </w:t>
      </w:r>
      <w:proofErr w:type="spellStart"/>
      <w:r w:rsidR="00692D60" w:rsidRPr="003C7B14">
        <w:t>or</w:t>
      </w:r>
      <w:proofErr w:type="spellEnd"/>
      <w:r w:rsidR="00692D60" w:rsidRPr="003C7B14">
        <w:t xml:space="preserve"> </w:t>
      </w:r>
      <w:proofErr w:type="spellStart"/>
      <w:r w:rsidR="00692D60" w:rsidRPr="003C7B14">
        <w:t>lawful</w:t>
      </w:r>
      <w:proofErr w:type="spellEnd"/>
      <w:r w:rsidR="00692D60" w:rsidRPr="003C7B14">
        <w:t xml:space="preserve"> </w:t>
      </w:r>
      <w:proofErr w:type="spellStart"/>
      <w:r w:rsidR="00692D60" w:rsidRPr="003C7B14">
        <w:t>judge</w:t>
      </w:r>
      <w:proofErr w:type="spellEnd"/>
      <w:r w:rsidR="00692D60" w:rsidRPr="003C7B14">
        <w:t xml:space="preserve"> </w:t>
      </w:r>
      <w:proofErr w:type="spellStart"/>
      <w:r w:rsidR="00692D60" w:rsidRPr="00CE4D2F">
        <w:t>pre-established</w:t>
      </w:r>
      <w:proofErr w:type="spellEnd"/>
      <w:r w:rsidR="00692D60" w:rsidRPr="00CE4D2F">
        <w:t xml:space="preserve"> </w:t>
      </w:r>
      <w:proofErr w:type="spellStart"/>
      <w:r w:rsidR="00692D60" w:rsidRPr="00CE4D2F">
        <w:t>by</w:t>
      </w:r>
      <w:proofErr w:type="spellEnd"/>
      <w:r w:rsidR="00692D60" w:rsidRPr="00CE4D2F">
        <w:t xml:space="preserve"> </w:t>
      </w:r>
      <w:proofErr w:type="spellStart"/>
      <w:r w:rsidR="00692D60" w:rsidRPr="00CE4D2F">
        <w:t>law</w:t>
      </w:r>
      <w:proofErr w:type="spellEnd"/>
      <w:r w:rsidR="00692D60" w:rsidRPr="00CE4D2F">
        <w:t xml:space="preserve"> </w:t>
      </w:r>
      <w:proofErr w:type="spellStart"/>
      <w:r w:rsidR="00692D60" w:rsidRPr="00CE4D2F">
        <w:t>and</w:t>
      </w:r>
      <w:proofErr w:type="spellEnd"/>
      <w:r w:rsidR="00692D60" w:rsidRPr="00CE4D2F">
        <w:t xml:space="preserve"> </w:t>
      </w:r>
      <w:proofErr w:type="spellStart"/>
      <w:r w:rsidR="00692D60" w:rsidRPr="00CE4D2F">
        <w:t>that</w:t>
      </w:r>
      <w:proofErr w:type="spellEnd"/>
      <w:r w:rsidR="00692D60" w:rsidRPr="00CE4D2F">
        <w:t xml:space="preserve"> </w:t>
      </w:r>
      <w:proofErr w:type="spellStart"/>
      <w:r w:rsidR="00692D60" w:rsidRPr="00CE4D2F">
        <w:t>of</w:t>
      </w:r>
      <w:proofErr w:type="spellEnd"/>
      <w:r w:rsidR="00692D60" w:rsidRPr="00CE4D2F">
        <w:t xml:space="preserve"> </w:t>
      </w:r>
      <w:proofErr w:type="spellStart"/>
      <w:r w:rsidR="00692D60" w:rsidRPr="00CE4D2F">
        <w:t>his</w:t>
      </w:r>
      <w:proofErr w:type="spellEnd"/>
      <w:r w:rsidR="00692D60" w:rsidRPr="00CE4D2F">
        <w:t xml:space="preserve"> </w:t>
      </w:r>
      <w:proofErr w:type="spellStart"/>
      <w:r w:rsidR="00692D60" w:rsidRPr="00CE4D2F">
        <w:t>or</w:t>
      </w:r>
      <w:proofErr w:type="spellEnd"/>
      <w:r w:rsidR="00692D60" w:rsidRPr="00CE4D2F">
        <w:t xml:space="preserve"> </w:t>
      </w:r>
      <w:proofErr w:type="spellStart"/>
      <w:r w:rsidR="00692D60" w:rsidRPr="00CE4D2F">
        <w:t>her</w:t>
      </w:r>
      <w:proofErr w:type="spellEnd"/>
      <w:r w:rsidR="00692D60" w:rsidRPr="00CE4D2F">
        <w:t xml:space="preserve"> </w:t>
      </w:r>
      <w:proofErr w:type="spellStart"/>
      <w:r w:rsidR="00692D60" w:rsidRPr="00CE4D2F">
        <w:t>irremovability</w:t>
      </w:r>
      <w:proofErr w:type="spellEnd"/>
    </w:p>
    <w:p w14:paraId="33D586D4" w14:textId="66D6487C" w:rsidR="003C7B14" w:rsidRPr="00CE4D2F" w:rsidRDefault="003C7B14">
      <w:pPr>
        <w:pStyle w:val="FootnoteText"/>
      </w:pPr>
    </w:p>
  </w:footnote>
  <w:footnote w:id="4">
    <w:p w14:paraId="75EABCF9" w14:textId="77777777" w:rsidR="009E444F" w:rsidRPr="00CE4D2F" w:rsidRDefault="009E444F" w:rsidP="009E444F">
      <w:pPr>
        <w:pStyle w:val="FootnoteText"/>
        <w:rPr>
          <w:bCs/>
          <w:i/>
          <w:iCs/>
        </w:rPr>
      </w:pPr>
      <w:r w:rsidRPr="00CE4D2F">
        <w:rPr>
          <w:rStyle w:val="FootnoteReference"/>
        </w:rPr>
        <w:footnoteRef/>
      </w:r>
      <w:r w:rsidRPr="00CE4D2F">
        <w:t xml:space="preserve"> </w:t>
      </w:r>
      <w:r w:rsidRPr="00CE4D2F">
        <w:rPr>
          <w:bCs/>
          <w:i/>
          <w:iCs/>
        </w:rPr>
        <w:t xml:space="preserve">MONTREAL DECLARATION, UNIVERSAL DECLARATION ON THE INDEPENDENCE OF JUSTICE, </w:t>
      </w:r>
      <w:proofErr w:type="spellStart"/>
      <w:r w:rsidRPr="00CE4D2F">
        <w:rPr>
          <w:bCs/>
          <w:i/>
          <w:iCs/>
        </w:rPr>
        <w:t>International</w:t>
      </w:r>
      <w:proofErr w:type="spellEnd"/>
      <w:r w:rsidRPr="00CE4D2F">
        <w:rPr>
          <w:bCs/>
          <w:i/>
          <w:iCs/>
        </w:rPr>
        <w:t xml:space="preserve"> </w:t>
      </w:r>
      <w:proofErr w:type="spellStart"/>
      <w:r w:rsidRPr="00CE4D2F">
        <w:rPr>
          <w:bCs/>
          <w:i/>
          <w:iCs/>
        </w:rPr>
        <w:t>Association</w:t>
      </w:r>
      <w:proofErr w:type="spellEnd"/>
      <w:r w:rsidRPr="00CE4D2F">
        <w:rPr>
          <w:bCs/>
          <w:i/>
          <w:iCs/>
        </w:rPr>
        <w:t xml:space="preserve"> </w:t>
      </w:r>
      <w:proofErr w:type="spellStart"/>
      <w:r w:rsidRPr="00CE4D2F">
        <w:rPr>
          <w:bCs/>
          <w:i/>
          <w:iCs/>
        </w:rPr>
        <w:t>of</w:t>
      </w:r>
      <w:proofErr w:type="spellEnd"/>
      <w:r w:rsidRPr="00CE4D2F">
        <w:rPr>
          <w:bCs/>
          <w:i/>
          <w:iCs/>
        </w:rPr>
        <w:t xml:space="preserve"> </w:t>
      </w:r>
      <w:proofErr w:type="spellStart"/>
      <w:r w:rsidRPr="00CE4D2F">
        <w:rPr>
          <w:bCs/>
          <w:i/>
          <w:iCs/>
        </w:rPr>
        <w:t>Judicial</w:t>
      </w:r>
      <w:proofErr w:type="spellEnd"/>
      <w:r w:rsidRPr="00CE4D2F">
        <w:rPr>
          <w:bCs/>
          <w:i/>
          <w:iCs/>
        </w:rPr>
        <w:t xml:space="preserve"> </w:t>
      </w:r>
      <w:proofErr w:type="spellStart"/>
      <w:r w:rsidRPr="00CE4D2F">
        <w:rPr>
          <w:bCs/>
          <w:i/>
          <w:iCs/>
        </w:rPr>
        <w:t>Independence</w:t>
      </w:r>
      <w:proofErr w:type="spellEnd"/>
      <w:r w:rsidRPr="00CE4D2F">
        <w:rPr>
          <w:bCs/>
          <w:i/>
          <w:iCs/>
        </w:rPr>
        <w:t xml:space="preserve"> </w:t>
      </w:r>
      <w:proofErr w:type="spellStart"/>
      <w:r w:rsidRPr="00CE4D2F">
        <w:rPr>
          <w:bCs/>
          <w:i/>
          <w:iCs/>
        </w:rPr>
        <w:t>and</w:t>
      </w:r>
      <w:proofErr w:type="spellEnd"/>
      <w:r w:rsidRPr="00CE4D2F">
        <w:rPr>
          <w:bCs/>
          <w:i/>
          <w:iCs/>
        </w:rPr>
        <w:t xml:space="preserve"> </w:t>
      </w:r>
      <w:proofErr w:type="spellStart"/>
      <w:r w:rsidRPr="00CE4D2F">
        <w:rPr>
          <w:bCs/>
          <w:i/>
          <w:iCs/>
        </w:rPr>
        <w:t>World</w:t>
      </w:r>
      <w:proofErr w:type="spellEnd"/>
      <w:r w:rsidRPr="00CE4D2F">
        <w:rPr>
          <w:bCs/>
          <w:i/>
          <w:iCs/>
        </w:rPr>
        <w:t xml:space="preserve"> </w:t>
      </w:r>
      <w:proofErr w:type="spellStart"/>
      <w:r w:rsidRPr="00CE4D2F">
        <w:rPr>
          <w:bCs/>
          <w:i/>
          <w:iCs/>
        </w:rPr>
        <w:t>Peace</w:t>
      </w:r>
      <w:proofErr w:type="spellEnd"/>
      <w:r w:rsidRPr="00CE4D2F">
        <w:rPr>
          <w:bCs/>
          <w:i/>
          <w:iCs/>
        </w:rPr>
        <w:t xml:space="preserve"> (JIWP), 1983</w:t>
      </w:r>
    </w:p>
    <w:p w14:paraId="49609BFC" w14:textId="77777777" w:rsidR="009E444F" w:rsidRPr="00CE4D2F" w:rsidRDefault="009E444F" w:rsidP="009E444F">
      <w:pPr>
        <w:pStyle w:val="FootnoteText"/>
      </w:pPr>
      <w:r w:rsidRPr="00CE4D2F">
        <w:t xml:space="preserve">Art. 2.04. </w:t>
      </w:r>
      <w:proofErr w:type="spellStart"/>
      <w:r w:rsidRPr="00CE4D2F">
        <w:t>The</w:t>
      </w:r>
      <w:proofErr w:type="spellEnd"/>
      <w:r w:rsidRPr="00CE4D2F">
        <w:t xml:space="preserve"> </w:t>
      </w:r>
      <w:proofErr w:type="spellStart"/>
      <w:r w:rsidRPr="00CE4D2F">
        <w:t>judiciary</w:t>
      </w:r>
      <w:proofErr w:type="spellEnd"/>
      <w:r w:rsidRPr="00CE4D2F">
        <w:t xml:space="preserve"> </w:t>
      </w:r>
      <w:proofErr w:type="spellStart"/>
      <w:r w:rsidRPr="00CE4D2F">
        <w:t>shall</w:t>
      </w:r>
      <w:proofErr w:type="spellEnd"/>
      <w:r w:rsidRPr="00CE4D2F">
        <w:t xml:space="preserve"> </w:t>
      </w:r>
      <w:proofErr w:type="spellStart"/>
      <w:r w:rsidRPr="00CE4D2F">
        <w:t>be</w:t>
      </w:r>
      <w:proofErr w:type="spellEnd"/>
      <w:r w:rsidRPr="00CE4D2F">
        <w:t xml:space="preserve"> </w:t>
      </w:r>
      <w:proofErr w:type="spellStart"/>
      <w:r w:rsidRPr="00CE4D2F">
        <w:t>independent</w:t>
      </w:r>
      <w:proofErr w:type="spellEnd"/>
      <w:r w:rsidRPr="00CE4D2F">
        <w:t xml:space="preserve"> </w:t>
      </w:r>
      <w:proofErr w:type="spellStart"/>
      <w:r w:rsidRPr="00CE4D2F">
        <w:t>of</w:t>
      </w:r>
      <w:proofErr w:type="spellEnd"/>
      <w:r w:rsidRPr="00CE4D2F">
        <w:t xml:space="preserve"> </w:t>
      </w:r>
      <w:proofErr w:type="spellStart"/>
      <w:r w:rsidRPr="00CE4D2F">
        <w:t>the</w:t>
      </w:r>
      <w:proofErr w:type="spellEnd"/>
      <w:r w:rsidRPr="00CE4D2F">
        <w:t xml:space="preserve"> </w:t>
      </w:r>
      <w:proofErr w:type="spellStart"/>
      <w:r w:rsidRPr="00CE4D2F">
        <w:t>Executive</w:t>
      </w:r>
      <w:proofErr w:type="spellEnd"/>
      <w:r w:rsidRPr="00CE4D2F">
        <w:t xml:space="preserve"> </w:t>
      </w:r>
      <w:proofErr w:type="spellStart"/>
      <w:r w:rsidRPr="00CE4D2F">
        <w:t>and</w:t>
      </w:r>
      <w:proofErr w:type="spellEnd"/>
      <w:r w:rsidRPr="00CE4D2F">
        <w:t xml:space="preserve"> </w:t>
      </w:r>
      <w:proofErr w:type="spellStart"/>
      <w:r w:rsidRPr="00CE4D2F">
        <w:t>Legislative</w:t>
      </w:r>
      <w:proofErr w:type="spellEnd"/>
      <w:r w:rsidRPr="00CE4D2F">
        <w:t>.</w:t>
      </w:r>
    </w:p>
    <w:p w14:paraId="1A4CF262" w14:textId="77777777" w:rsidR="009E444F" w:rsidRPr="009E444F" w:rsidRDefault="009E444F" w:rsidP="009E444F">
      <w:pPr>
        <w:pStyle w:val="FootnoteText"/>
      </w:pPr>
      <w:r w:rsidRPr="009E444F">
        <w:t xml:space="preserve">Art. 2.06. b) </w:t>
      </w:r>
      <w:proofErr w:type="spellStart"/>
      <w:r w:rsidRPr="009E444F">
        <w:t>The</w:t>
      </w:r>
      <w:proofErr w:type="spellEnd"/>
      <w:r w:rsidRPr="009E444F">
        <w:t xml:space="preserve"> </w:t>
      </w:r>
      <w:proofErr w:type="spellStart"/>
      <w:r w:rsidRPr="009E444F">
        <w:t>Executive</w:t>
      </w:r>
      <w:proofErr w:type="spellEnd"/>
      <w:r w:rsidRPr="009E444F">
        <w:t xml:space="preserve"> </w:t>
      </w:r>
      <w:proofErr w:type="spellStart"/>
      <w:r w:rsidRPr="009E444F">
        <w:t>shall</w:t>
      </w:r>
      <w:proofErr w:type="spellEnd"/>
      <w:r w:rsidRPr="009E444F">
        <w:t xml:space="preserve"> </w:t>
      </w:r>
      <w:proofErr w:type="spellStart"/>
      <w:r w:rsidRPr="009E444F">
        <w:t>not</w:t>
      </w:r>
      <w:proofErr w:type="spellEnd"/>
      <w:r w:rsidRPr="009E444F">
        <w:t xml:space="preserve"> </w:t>
      </w:r>
      <w:proofErr w:type="spellStart"/>
      <w:r w:rsidRPr="009E444F">
        <w:t>have</w:t>
      </w:r>
      <w:proofErr w:type="spellEnd"/>
      <w:r w:rsidRPr="009E444F">
        <w:t xml:space="preserve"> </w:t>
      </w:r>
      <w:proofErr w:type="spellStart"/>
      <w:r w:rsidRPr="009E444F">
        <w:t>control</w:t>
      </w:r>
      <w:proofErr w:type="spellEnd"/>
      <w:r w:rsidRPr="009E444F">
        <w:t xml:space="preserve"> </w:t>
      </w:r>
      <w:proofErr w:type="spellStart"/>
      <w:r w:rsidRPr="009E444F">
        <w:t>over</w:t>
      </w:r>
      <w:proofErr w:type="spellEnd"/>
      <w:r w:rsidRPr="009E444F">
        <w:t xml:space="preserve"> </w:t>
      </w:r>
      <w:proofErr w:type="spellStart"/>
      <w:r w:rsidRPr="009E444F">
        <w:t>judicial</w:t>
      </w:r>
      <w:proofErr w:type="spellEnd"/>
      <w:r w:rsidRPr="009E444F">
        <w:t xml:space="preserve"> </w:t>
      </w:r>
      <w:proofErr w:type="spellStart"/>
      <w:r w:rsidRPr="009E444F">
        <w:t>functions</w:t>
      </w:r>
      <w:proofErr w:type="spellEnd"/>
      <w:r w:rsidRPr="009E444F">
        <w:t>.</w:t>
      </w:r>
    </w:p>
    <w:p w14:paraId="14FB594B" w14:textId="77777777" w:rsidR="009E444F" w:rsidRPr="009E444F" w:rsidRDefault="009E444F" w:rsidP="009E444F">
      <w:pPr>
        <w:pStyle w:val="FootnoteText"/>
      </w:pPr>
      <w:r w:rsidRPr="009E444F">
        <w:t xml:space="preserve">c) </w:t>
      </w:r>
      <w:proofErr w:type="spellStart"/>
      <w:r w:rsidRPr="009E444F">
        <w:t>The</w:t>
      </w:r>
      <w:proofErr w:type="spellEnd"/>
      <w:r w:rsidRPr="009E444F">
        <w:t xml:space="preserve"> </w:t>
      </w:r>
      <w:proofErr w:type="spellStart"/>
      <w:r w:rsidRPr="009E444F">
        <w:t>Executive</w:t>
      </w:r>
      <w:proofErr w:type="spellEnd"/>
      <w:r w:rsidRPr="009E444F">
        <w:t xml:space="preserve"> </w:t>
      </w:r>
      <w:proofErr w:type="spellStart"/>
      <w:r w:rsidRPr="009E444F">
        <w:t>shall</w:t>
      </w:r>
      <w:proofErr w:type="spellEnd"/>
      <w:r w:rsidRPr="009E444F">
        <w:t xml:space="preserve"> </w:t>
      </w:r>
      <w:proofErr w:type="spellStart"/>
      <w:r w:rsidRPr="009E444F">
        <w:t>not</w:t>
      </w:r>
      <w:proofErr w:type="spellEnd"/>
      <w:r w:rsidRPr="009E444F">
        <w:t xml:space="preserve"> </w:t>
      </w:r>
      <w:proofErr w:type="spellStart"/>
      <w:r w:rsidRPr="009E444F">
        <w:t>have</w:t>
      </w:r>
      <w:proofErr w:type="spellEnd"/>
      <w:r w:rsidRPr="009E444F">
        <w:t xml:space="preserve"> </w:t>
      </w:r>
      <w:proofErr w:type="spellStart"/>
      <w:r w:rsidRPr="009E444F">
        <w:t>the</w:t>
      </w:r>
      <w:proofErr w:type="spellEnd"/>
      <w:r w:rsidRPr="009E444F">
        <w:t xml:space="preserve"> </w:t>
      </w:r>
      <w:proofErr w:type="spellStart"/>
      <w:r w:rsidRPr="009E444F">
        <w:t>power</w:t>
      </w:r>
      <w:proofErr w:type="spellEnd"/>
      <w:r w:rsidRPr="009E444F">
        <w:t xml:space="preserve"> to </w:t>
      </w:r>
      <w:proofErr w:type="spellStart"/>
      <w:r w:rsidRPr="009E444F">
        <w:t>close</w:t>
      </w:r>
      <w:proofErr w:type="spellEnd"/>
      <w:r w:rsidRPr="009E444F">
        <w:t xml:space="preserve"> </w:t>
      </w:r>
      <w:proofErr w:type="spellStart"/>
      <w:r w:rsidRPr="009E444F">
        <w:t>down</w:t>
      </w:r>
      <w:proofErr w:type="spellEnd"/>
      <w:r w:rsidRPr="009E444F">
        <w:t xml:space="preserve"> </w:t>
      </w:r>
      <w:proofErr w:type="spellStart"/>
      <w:r w:rsidRPr="009E444F">
        <w:t>or</w:t>
      </w:r>
      <w:proofErr w:type="spellEnd"/>
      <w:r w:rsidRPr="009E444F">
        <w:t xml:space="preserve"> </w:t>
      </w:r>
      <w:proofErr w:type="spellStart"/>
      <w:r w:rsidRPr="009E444F">
        <w:t>suspend</w:t>
      </w:r>
      <w:proofErr w:type="spellEnd"/>
      <w:r w:rsidRPr="009E444F">
        <w:t xml:space="preserve"> </w:t>
      </w:r>
      <w:proofErr w:type="spellStart"/>
      <w:r w:rsidRPr="009E444F">
        <w:t>the</w:t>
      </w:r>
      <w:proofErr w:type="spellEnd"/>
      <w:r w:rsidRPr="009E444F">
        <w:t xml:space="preserve"> </w:t>
      </w:r>
      <w:proofErr w:type="spellStart"/>
      <w:r w:rsidRPr="009E444F">
        <w:t>operation</w:t>
      </w:r>
      <w:proofErr w:type="spellEnd"/>
      <w:r w:rsidRPr="009E444F">
        <w:t xml:space="preserve"> </w:t>
      </w:r>
      <w:proofErr w:type="spellStart"/>
      <w:r w:rsidRPr="009E444F">
        <w:t>of</w:t>
      </w:r>
      <w:proofErr w:type="spellEnd"/>
      <w:r w:rsidRPr="009E444F">
        <w:t xml:space="preserve"> </w:t>
      </w:r>
      <w:proofErr w:type="spellStart"/>
      <w:r w:rsidRPr="009E444F">
        <w:t>the</w:t>
      </w:r>
      <w:proofErr w:type="spellEnd"/>
      <w:r w:rsidRPr="009E444F">
        <w:t xml:space="preserve"> </w:t>
      </w:r>
      <w:proofErr w:type="spellStart"/>
      <w:r w:rsidRPr="009E444F">
        <w:t>courts</w:t>
      </w:r>
      <w:proofErr w:type="spellEnd"/>
      <w:r w:rsidRPr="009E444F">
        <w:t>.</w:t>
      </w:r>
    </w:p>
    <w:p w14:paraId="6DF2AF05" w14:textId="054E4667" w:rsidR="009E444F" w:rsidRDefault="009E444F">
      <w:pPr>
        <w:pStyle w:val="FootnoteText"/>
      </w:pPr>
    </w:p>
  </w:footnote>
  <w:footnote w:id="5">
    <w:p w14:paraId="7A1A902D" w14:textId="77777777" w:rsidR="00830AA9" w:rsidRPr="00CE4D2F" w:rsidRDefault="00830AA9" w:rsidP="003B4891">
      <w:pPr>
        <w:pStyle w:val="FootnoteText"/>
        <w:jc w:val="both"/>
        <w:rPr>
          <w:bCs/>
          <w:i/>
          <w:iCs/>
        </w:rPr>
      </w:pPr>
      <w:r w:rsidRPr="00CE4D2F">
        <w:rPr>
          <w:rStyle w:val="FootnoteReference"/>
        </w:rPr>
        <w:footnoteRef/>
      </w:r>
      <w:r w:rsidRPr="00CE4D2F">
        <w:t xml:space="preserve"> </w:t>
      </w:r>
      <w:r w:rsidRPr="00CE4D2F">
        <w:rPr>
          <w:bCs/>
          <w:i/>
          <w:iCs/>
        </w:rPr>
        <w:t>MT. SCOPUS APPROVED REVISED INTERNATIONAL STANDARDS OF JUDICIAL</w:t>
      </w:r>
    </w:p>
    <w:p w14:paraId="681A16F1" w14:textId="77777777" w:rsidR="00830AA9" w:rsidRPr="00CE4D2F" w:rsidRDefault="00830AA9" w:rsidP="003B4891">
      <w:pPr>
        <w:pStyle w:val="FootnoteText"/>
        <w:jc w:val="both"/>
        <w:rPr>
          <w:bCs/>
          <w:i/>
          <w:iCs/>
        </w:rPr>
      </w:pPr>
      <w:r w:rsidRPr="00CE4D2F">
        <w:rPr>
          <w:bCs/>
          <w:i/>
          <w:iCs/>
        </w:rPr>
        <w:t xml:space="preserve">INDEPENDENCE, </w:t>
      </w:r>
      <w:proofErr w:type="spellStart"/>
      <w:r w:rsidRPr="00CE4D2F">
        <w:rPr>
          <w:bCs/>
          <w:i/>
          <w:iCs/>
        </w:rPr>
        <w:t>International</w:t>
      </w:r>
      <w:proofErr w:type="spellEnd"/>
      <w:r w:rsidRPr="00CE4D2F">
        <w:rPr>
          <w:bCs/>
          <w:i/>
          <w:iCs/>
        </w:rPr>
        <w:t xml:space="preserve"> </w:t>
      </w:r>
      <w:proofErr w:type="spellStart"/>
      <w:r w:rsidRPr="00CE4D2F">
        <w:rPr>
          <w:bCs/>
          <w:i/>
          <w:iCs/>
        </w:rPr>
        <w:t>Association</w:t>
      </w:r>
      <w:proofErr w:type="spellEnd"/>
      <w:r w:rsidRPr="00CE4D2F">
        <w:rPr>
          <w:bCs/>
          <w:i/>
          <w:iCs/>
        </w:rPr>
        <w:t xml:space="preserve"> </w:t>
      </w:r>
      <w:proofErr w:type="spellStart"/>
      <w:r w:rsidRPr="00CE4D2F">
        <w:rPr>
          <w:bCs/>
          <w:i/>
          <w:iCs/>
        </w:rPr>
        <w:t>of</w:t>
      </w:r>
      <w:proofErr w:type="spellEnd"/>
      <w:r w:rsidRPr="00CE4D2F">
        <w:rPr>
          <w:bCs/>
          <w:i/>
          <w:iCs/>
        </w:rPr>
        <w:t xml:space="preserve"> </w:t>
      </w:r>
      <w:proofErr w:type="spellStart"/>
      <w:r w:rsidRPr="00CE4D2F">
        <w:rPr>
          <w:bCs/>
          <w:i/>
          <w:iCs/>
        </w:rPr>
        <w:t>Judicial</w:t>
      </w:r>
      <w:proofErr w:type="spellEnd"/>
      <w:r w:rsidRPr="00CE4D2F">
        <w:rPr>
          <w:bCs/>
          <w:i/>
          <w:iCs/>
        </w:rPr>
        <w:t xml:space="preserve"> </w:t>
      </w:r>
      <w:proofErr w:type="spellStart"/>
      <w:r w:rsidRPr="00CE4D2F">
        <w:rPr>
          <w:bCs/>
          <w:i/>
          <w:iCs/>
        </w:rPr>
        <w:t>Independence</w:t>
      </w:r>
      <w:proofErr w:type="spellEnd"/>
      <w:r w:rsidRPr="00CE4D2F">
        <w:rPr>
          <w:bCs/>
          <w:i/>
          <w:iCs/>
        </w:rPr>
        <w:t xml:space="preserve"> </w:t>
      </w:r>
      <w:proofErr w:type="spellStart"/>
      <w:r w:rsidRPr="00CE4D2F">
        <w:rPr>
          <w:bCs/>
          <w:i/>
          <w:iCs/>
        </w:rPr>
        <w:t>and</w:t>
      </w:r>
      <w:proofErr w:type="spellEnd"/>
      <w:r w:rsidRPr="00CE4D2F">
        <w:rPr>
          <w:bCs/>
          <w:i/>
          <w:iCs/>
        </w:rPr>
        <w:t xml:space="preserve"> </w:t>
      </w:r>
      <w:proofErr w:type="spellStart"/>
      <w:r w:rsidRPr="00CE4D2F">
        <w:rPr>
          <w:bCs/>
          <w:i/>
          <w:iCs/>
        </w:rPr>
        <w:t>World</w:t>
      </w:r>
      <w:proofErr w:type="spellEnd"/>
      <w:r w:rsidRPr="00CE4D2F">
        <w:rPr>
          <w:bCs/>
          <w:i/>
          <w:iCs/>
        </w:rPr>
        <w:t xml:space="preserve"> </w:t>
      </w:r>
      <w:proofErr w:type="spellStart"/>
      <w:r w:rsidRPr="00CE4D2F">
        <w:rPr>
          <w:bCs/>
          <w:i/>
          <w:iCs/>
        </w:rPr>
        <w:t>Peace</w:t>
      </w:r>
      <w:proofErr w:type="spellEnd"/>
      <w:r w:rsidRPr="00CE4D2F">
        <w:rPr>
          <w:bCs/>
          <w:i/>
          <w:iCs/>
        </w:rPr>
        <w:t>, 2008,</w:t>
      </w:r>
    </w:p>
    <w:p w14:paraId="4BEEFA7C" w14:textId="77777777" w:rsidR="00830AA9" w:rsidRPr="00CE4D2F" w:rsidRDefault="00830AA9" w:rsidP="00830AA9">
      <w:pPr>
        <w:pStyle w:val="FootnoteText"/>
      </w:pPr>
      <w:r w:rsidRPr="00CE4D2F">
        <w:rPr>
          <w:bCs/>
          <w:i/>
          <w:iCs/>
        </w:rPr>
        <w:t>2011, 2012</w:t>
      </w:r>
    </w:p>
    <w:p w14:paraId="2A0C4635" w14:textId="77777777" w:rsidR="00830AA9" w:rsidRPr="00830AA9" w:rsidRDefault="00830AA9" w:rsidP="00830AA9">
      <w:pPr>
        <w:pStyle w:val="FootnoteText"/>
      </w:pPr>
      <w:r w:rsidRPr="00830AA9">
        <w:t xml:space="preserve">1.26. </w:t>
      </w:r>
      <w:proofErr w:type="spellStart"/>
      <w:r w:rsidRPr="00830AA9">
        <w:t>The</w:t>
      </w:r>
      <w:proofErr w:type="spellEnd"/>
      <w:r w:rsidRPr="00830AA9">
        <w:t xml:space="preserve"> </w:t>
      </w:r>
      <w:proofErr w:type="spellStart"/>
      <w:r w:rsidRPr="00830AA9">
        <w:t>Executive</w:t>
      </w:r>
      <w:proofErr w:type="spellEnd"/>
      <w:r w:rsidRPr="00830AA9">
        <w:t xml:space="preserve"> </w:t>
      </w:r>
      <w:proofErr w:type="spellStart"/>
      <w:r w:rsidRPr="00830AA9">
        <w:t>shall</w:t>
      </w:r>
      <w:proofErr w:type="spellEnd"/>
      <w:r w:rsidRPr="00830AA9">
        <w:t xml:space="preserve"> </w:t>
      </w:r>
      <w:proofErr w:type="spellStart"/>
      <w:r w:rsidRPr="00830AA9">
        <w:t>not</w:t>
      </w:r>
      <w:proofErr w:type="spellEnd"/>
      <w:r w:rsidRPr="00830AA9">
        <w:t xml:space="preserve"> </w:t>
      </w:r>
      <w:proofErr w:type="spellStart"/>
      <w:r w:rsidRPr="00830AA9">
        <w:t>have</w:t>
      </w:r>
      <w:proofErr w:type="spellEnd"/>
      <w:r w:rsidRPr="00830AA9">
        <w:t xml:space="preserve"> </w:t>
      </w:r>
      <w:proofErr w:type="spellStart"/>
      <w:r w:rsidRPr="00830AA9">
        <w:t>the</w:t>
      </w:r>
      <w:proofErr w:type="spellEnd"/>
      <w:r w:rsidRPr="00830AA9">
        <w:t xml:space="preserve"> </w:t>
      </w:r>
      <w:proofErr w:type="spellStart"/>
      <w:r w:rsidRPr="00830AA9">
        <w:t>power</w:t>
      </w:r>
      <w:proofErr w:type="spellEnd"/>
      <w:r w:rsidRPr="00830AA9">
        <w:t xml:space="preserve"> to </w:t>
      </w:r>
      <w:proofErr w:type="spellStart"/>
      <w:r w:rsidRPr="00830AA9">
        <w:t>close</w:t>
      </w:r>
      <w:proofErr w:type="spellEnd"/>
      <w:r w:rsidRPr="00830AA9">
        <w:t xml:space="preserve"> </w:t>
      </w:r>
      <w:proofErr w:type="spellStart"/>
      <w:r w:rsidRPr="00830AA9">
        <w:t>down</w:t>
      </w:r>
      <w:proofErr w:type="spellEnd"/>
      <w:r w:rsidRPr="00830AA9">
        <w:t xml:space="preserve">, </w:t>
      </w:r>
      <w:proofErr w:type="spellStart"/>
      <w:r w:rsidRPr="00830AA9">
        <w:t>or</w:t>
      </w:r>
      <w:proofErr w:type="spellEnd"/>
      <w:r w:rsidRPr="00830AA9">
        <w:t xml:space="preserve"> </w:t>
      </w:r>
      <w:proofErr w:type="spellStart"/>
      <w:r w:rsidRPr="00830AA9">
        <w:t>suspend</w:t>
      </w:r>
      <w:proofErr w:type="spellEnd"/>
      <w:r w:rsidRPr="00830AA9">
        <w:t xml:space="preserve">, </w:t>
      </w:r>
      <w:proofErr w:type="spellStart"/>
      <w:r w:rsidRPr="00830AA9">
        <w:t>or</w:t>
      </w:r>
      <w:proofErr w:type="spellEnd"/>
      <w:r w:rsidRPr="00830AA9">
        <w:t xml:space="preserve"> </w:t>
      </w:r>
      <w:proofErr w:type="spellStart"/>
      <w:r w:rsidRPr="00830AA9">
        <w:t>delay</w:t>
      </w:r>
      <w:proofErr w:type="spellEnd"/>
      <w:r w:rsidRPr="00830AA9">
        <w:t xml:space="preserve">, </w:t>
      </w:r>
      <w:proofErr w:type="spellStart"/>
      <w:r w:rsidRPr="00830AA9">
        <w:t>the</w:t>
      </w:r>
      <w:proofErr w:type="spellEnd"/>
      <w:r w:rsidRPr="00830AA9">
        <w:t xml:space="preserve"> </w:t>
      </w:r>
      <w:proofErr w:type="spellStart"/>
      <w:r w:rsidRPr="00830AA9">
        <w:t>operation</w:t>
      </w:r>
      <w:proofErr w:type="spellEnd"/>
      <w:r w:rsidRPr="00830AA9">
        <w:t xml:space="preserve"> </w:t>
      </w:r>
      <w:proofErr w:type="spellStart"/>
      <w:r w:rsidRPr="00830AA9">
        <w:t>of</w:t>
      </w:r>
      <w:proofErr w:type="spellEnd"/>
    </w:p>
    <w:p w14:paraId="367093D4" w14:textId="33EE2CF5" w:rsidR="00830AA9" w:rsidRDefault="00830AA9" w:rsidP="00830AA9">
      <w:pPr>
        <w:pStyle w:val="FootnoteText"/>
      </w:pPr>
      <w:proofErr w:type="spellStart"/>
      <w:r w:rsidRPr="00830AA9">
        <w:t>the</w:t>
      </w:r>
      <w:proofErr w:type="spellEnd"/>
      <w:r w:rsidRPr="00830AA9">
        <w:t xml:space="preserve"> </w:t>
      </w:r>
      <w:proofErr w:type="spellStart"/>
      <w:r w:rsidRPr="00830AA9">
        <w:t>court</w:t>
      </w:r>
      <w:proofErr w:type="spellEnd"/>
      <w:r w:rsidRPr="00830AA9">
        <w:t xml:space="preserve"> </w:t>
      </w:r>
      <w:proofErr w:type="spellStart"/>
      <w:r w:rsidRPr="00830AA9">
        <w:t>system</w:t>
      </w:r>
      <w:proofErr w:type="spellEnd"/>
      <w:r w:rsidRPr="00830AA9">
        <w:t xml:space="preserve"> </w:t>
      </w:r>
      <w:proofErr w:type="spellStart"/>
      <w:r w:rsidRPr="00830AA9">
        <w:t>at</w:t>
      </w:r>
      <w:proofErr w:type="spellEnd"/>
      <w:r w:rsidRPr="00830AA9">
        <w:t xml:space="preserve"> </w:t>
      </w:r>
      <w:proofErr w:type="spellStart"/>
      <w:r w:rsidRPr="00830AA9">
        <w:t>any</w:t>
      </w:r>
      <w:proofErr w:type="spellEnd"/>
      <w:r w:rsidRPr="00830AA9">
        <w:t xml:space="preserve"> </w:t>
      </w:r>
      <w:proofErr w:type="spellStart"/>
      <w:r w:rsidRPr="00830AA9">
        <w:t>level</w:t>
      </w:r>
      <w:proofErr w:type="spellEnd"/>
      <w:r w:rsidRPr="00830AA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B18AA"/>
    <w:multiLevelType w:val="hybridMultilevel"/>
    <w:tmpl w:val="B5F27A32"/>
    <w:lvl w:ilvl="0" w:tplc="5B76225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A4A5A67"/>
    <w:multiLevelType w:val="hybridMultilevel"/>
    <w:tmpl w:val="DDEA03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79"/>
    <w:rsid w:val="00012133"/>
    <w:rsid w:val="000D66C5"/>
    <w:rsid w:val="001B4F9F"/>
    <w:rsid w:val="00243646"/>
    <w:rsid w:val="003B4891"/>
    <w:rsid w:val="003C7B14"/>
    <w:rsid w:val="003E35B3"/>
    <w:rsid w:val="00442218"/>
    <w:rsid w:val="0047528A"/>
    <w:rsid w:val="00477D6B"/>
    <w:rsid w:val="004805A8"/>
    <w:rsid w:val="00493ACD"/>
    <w:rsid w:val="004973C5"/>
    <w:rsid w:val="005C4D4D"/>
    <w:rsid w:val="005E752C"/>
    <w:rsid w:val="006170F5"/>
    <w:rsid w:val="00692D60"/>
    <w:rsid w:val="0069523A"/>
    <w:rsid w:val="006977FF"/>
    <w:rsid w:val="006C30AC"/>
    <w:rsid w:val="006E0955"/>
    <w:rsid w:val="007562E0"/>
    <w:rsid w:val="00830AA9"/>
    <w:rsid w:val="00972245"/>
    <w:rsid w:val="009B3BC7"/>
    <w:rsid w:val="009E444F"/>
    <w:rsid w:val="00A02237"/>
    <w:rsid w:val="00A345F2"/>
    <w:rsid w:val="00A9074B"/>
    <w:rsid w:val="00B146FA"/>
    <w:rsid w:val="00B24EF2"/>
    <w:rsid w:val="00B40A9F"/>
    <w:rsid w:val="00C027AB"/>
    <w:rsid w:val="00C06B2A"/>
    <w:rsid w:val="00CA5C02"/>
    <w:rsid w:val="00CE4D2F"/>
    <w:rsid w:val="00D9154A"/>
    <w:rsid w:val="00DB318B"/>
    <w:rsid w:val="00DF2B12"/>
    <w:rsid w:val="00E24405"/>
    <w:rsid w:val="00E30E79"/>
    <w:rsid w:val="00E72BF3"/>
    <w:rsid w:val="00E83DE7"/>
    <w:rsid w:val="00E91D0B"/>
    <w:rsid w:val="00ED6CB8"/>
    <w:rsid w:val="00EF7354"/>
    <w:rsid w:val="00F40ACB"/>
    <w:rsid w:val="00F4157D"/>
    <w:rsid w:val="00F858BB"/>
    <w:rsid w:val="00F85C83"/>
    <w:rsid w:val="00FB1687"/>
    <w:rsid w:val="00FB520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B4745"/>
  <w15:chartTrackingRefBased/>
  <w15:docId w15:val="{D6C4B5ED-8E19-524D-8A5B-41CA9836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Caption">
    <w:name w:val="caption"/>
    <w:basedOn w:val="Normal"/>
    <w:next w:val="Normal"/>
    <w:qFormat/>
    <w:pPr>
      <w:jc w:val="center"/>
    </w:pPr>
    <w:rPr>
      <w:rFonts w:ascii="RimTimes" w:hAnsi="RimTimes"/>
      <w:b/>
      <w:noProof/>
      <w:sz w:val="32"/>
    </w:r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692D60"/>
    <w:pPr>
      <w:ind w:left="720"/>
      <w:contextualSpacing/>
    </w:pPr>
  </w:style>
  <w:style w:type="paragraph" w:styleId="FootnoteText">
    <w:name w:val="footnote text"/>
    <w:basedOn w:val="Normal"/>
    <w:link w:val="FootnoteTextChar"/>
    <w:rsid w:val="00692D60"/>
    <w:rPr>
      <w:sz w:val="20"/>
    </w:rPr>
  </w:style>
  <w:style w:type="character" w:customStyle="1" w:styleId="FootnoteTextChar">
    <w:name w:val="Footnote Text Char"/>
    <w:basedOn w:val="DefaultParagraphFont"/>
    <w:link w:val="FootnoteText"/>
    <w:rsid w:val="00692D60"/>
    <w:rPr>
      <w:lang w:eastAsia="lv-LV"/>
    </w:rPr>
  </w:style>
  <w:style w:type="character" w:styleId="FootnoteReference">
    <w:name w:val="footnote reference"/>
    <w:basedOn w:val="DefaultParagraphFont"/>
    <w:rsid w:val="00692D60"/>
    <w:rPr>
      <w:vertAlign w:val="superscript"/>
    </w:rPr>
  </w:style>
  <w:style w:type="paragraph" w:styleId="BalloonText">
    <w:name w:val="Balloon Text"/>
    <w:basedOn w:val="Normal"/>
    <w:link w:val="BalloonTextChar"/>
    <w:rsid w:val="00972245"/>
    <w:rPr>
      <w:rFonts w:ascii="Segoe UI" w:hAnsi="Segoe UI" w:cs="Segoe UI"/>
      <w:sz w:val="18"/>
      <w:szCs w:val="18"/>
    </w:rPr>
  </w:style>
  <w:style w:type="character" w:customStyle="1" w:styleId="BalloonTextChar">
    <w:name w:val="Balloon Text Char"/>
    <w:basedOn w:val="DefaultParagraphFont"/>
    <w:link w:val="BalloonText"/>
    <w:rsid w:val="00972245"/>
    <w:rPr>
      <w:rFonts w:ascii="Segoe UI" w:hAnsi="Segoe UI" w:cs="Segoe UI"/>
      <w:sz w:val="18"/>
      <w:szCs w:val="18"/>
      <w:lang w:eastAsia="lv-LV"/>
    </w:rPr>
  </w:style>
  <w:style w:type="paragraph" w:styleId="HTMLPreformatted">
    <w:name w:val="HTML Preformatted"/>
    <w:basedOn w:val="Normal"/>
    <w:link w:val="HTMLPreformattedChar"/>
    <w:rsid w:val="00830AA9"/>
    <w:rPr>
      <w:rFonts w:ascii="Consolas" w:hAnsi="Consolas"/>
      <w:sz w:val="20"/>
    </w:rPr>
  </w:style>
  <w:style w:type="character" w:customStyle="1" w:styleId="HTMLPreformattedChar">
    <w:name w:val="HTML Preformatted Char"/>
    <w:basedOn w:val="DefaultParagraphFont"/>
    <w:link w:val="HTMLPreformatted"/>
    <w:rsid w:val="00830AA9"/>
    <w:rPr>
      <w:rFonts w:ascii="Consolas" w:hAnsi="Consola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6405">
      <w:bodyDiv w:val="1"/>
      <w:marLeft w:val="0"/>
      <w:marRight w:val="0"/>
      <w:marTop w:val="0"/>
      <w:marBottom w:val="0"/>
      <w:divBdr>
        <w:top w:val="none" w:sz="0" w:space="0" w:color="auto"/>
        <w:left w:val="none" w:sz="0" w:space="0" w:color="auto"/>
        <w:bottom w:val="none" w:sz="0" w:space="0" w:color="auto"/>
        <w:right w:val="none" w:sz="0" w:space="0" w:color="auto"/>
      </w:divBdr>
    </w:div>
    <w:div w:id="78647941">
      <w:bodyDiv w:val="1"/>
      <w:marLeft w:val="0"/>
      <w:marRight w:val="0"/>
      <w:marTop w:val="0"/>
      <w:marBottom w:val="0"/>
      <w:divBdr>
        <w:top w:val="none" w:sz="0" w:space="0" w:color="auto"/>
        <w:left w:val="none" w:sz="0" w:space="0" w:color="auto"/>
        <w:bottom w:val="none" w:sz="0" w:space="0" w:color="auto"/>
        <w:right w:val="none" w:sz="0" w:space="0" w:color="auto"/>
      </w:divBdr>
    </w:div>
    <w:div w:id="218707628">
      <w:bodyDiv w:val="1"/>
      <w:marLeft w:val="0"/>
      <w:marRight w:val="0"/>
      <w:marTop w:val="0"/>
      <w:marBottom w:val="0"/>
      <w:divBdr>
        <w:top w:val="none" w:sz="0" w:space="0" w:color="auto"/>
        <w:left w:val="none" w:sz="0" w:space="0" w:color="auto"/>
        <w:bottom w:val="none" w:sz="0" w:space="0" w:color="auto"/>
        <w:right w:val="none" w:sz="0" w:space="0" w:color="auto"/>
      </w:divBdr>
    </w:div>
    <w:div w:id="290938693">
      <w:bodyDiv w:val="1"/>
      <w:marLeft w:val="0"/>
      <w:marRight w:val="0"/>
      <w:marTop w:val="0"/>
      <w:marBottom w:val="0"/>
      <w:divBdr>
        <w:top w:val="none" w:sz="0" w:space="0" w:color="auto"/>
        <w:left w:val="none" w:sz="0" w:space="0" w:color="auto"/>
        <w:bottom w:val="none" w:sz="0" w:space="0" w:color="auto"/>
        <w:right w:val="none" w:sz="0" w:space="0" w:color="auto"/>
      </w:divBdr>
    </w:div>
    <w:div w:id="545024246">
      <w:bodyDiv w:val="1"/>
      <w:marLeft w:val="0"/>
      <w:marRight w:val="0"/>
      <w:marTop w:val="0"/>
      <w:marBottom w:val="0"/>
      <w:divBdr>
        <w:top w:val="none" w:sz="0" w:space="0" w:color="auto"/>
        <w:left w:val="none" w:sz="0" w:space="0" w:color="auto"/>
        <w:bottom w:val="none" w:sz="0" w:space="0" w:color="auto"/>
        <w:right w:val="none" w:sz="0" w:space="0" w:color="auto"/>
      </w:divBdr>
    </w:div>
    <w:div w:id="659702032">
      <w:bodyDiv w:val="1"/>
      <w:marLeft w:val="0"/>
      <w:marRight w:val="0"/>
      <w:marTop w:val="0"/>
      <w:marBottom w:val="0"/>
      <w:divBdr>
        <w:top w:val="none" w:sz="0" w:space="0" w:color="auto"/>
        <w:left w:val="none" w:sz="0" w:space="0" w:color="auto"/>
        <w:bottom w:val="none" w:sz="0" w:space="0" w:color="auto"/>
        <w:right w:val="none" w:sz="0" w:space="0" w:color="auto"/>
      </w:divBdr>
    </w:div>
    <w:div w:id="686908595">
      <w:bodyDiv w:val="1"/>
      <w:marLeft w:val="0"/>
      <w:marRight w:val="0"/>
      <w:marTop w:val="0"/>
      <w:marBottom w:val="0"/>
      <w:divBdr>
        <w:top w:val="none" w:sz="0" w:space="0" w:color="auto"/>
        <w:left w:val="none" w:sz="0" w:space="0" w:color="auto"/>
        <w:bottom w:val="none" w:sz="0" w:space="0" w:color="auto"/>
        <w:right w:val="none" w:sz="0" w:space="0" w:color="auto"/>
      </w:divBdr>
    </w:div>
    <w:div w:id="802583544">
      <w:bodyDiv w:val="1"/>
      <w:marLeft w:val="0"/>
      <w:marRight w:val="0"/>
      <w:marTop w:val="0"/>
      <w:marBottom w:val="0"/>
      <w:divBdr>
        <w:top w:val="none" w:sz="0" w:space="0" w:color="auto"/>
        <w:left w:val="none" w:sz="0" w:space="0" w:color="auto"/>
        <w:bottom w:val="none" w:sz="0" w:space="0" w:color="auto"/>
        <w:right w:val="none" w:sz="0" w:space="0" w:color="auto"/>
      </w:divBdr>
    </w:div>
    <w:div w:id="807093451">
      <w:bodyDiv w:val="1"/>
      <w:marLeft w:val="0"/>
      <w:marRight w:val="0"/>
      <w:marTop w:val="0"/>
      <w:marBottom w:val="0"/>
      <w:divBdr>
        <w:top w:val="none" w:sz="0" w:space="0" w:color="auto"/>
        <w:left w:val="none" w:sz="0" w:space="0" w:color="auto"/>
        <w:bottom w:val="none" w:sz="0" w:space="0" w:color="auto"/>
        <w:right w:val="none" w:sz="0" w:space="0" w:color="auto"/>
      </w:divBdr>
    </w:div>
    <w:div w:id="879129315">
      <w:bodyDiv w:val="1"/>
      <w:marLeft w:val="0"/>
      <w:marRight w:val="0"/>
      <w:marTop w:val="0"/>
      <w:marBottom w:val="0"/>
      <w:divBdr>
        <w:top w:val="none" w:sz="0" w:space="0" w:color="auto"/>
        <w:left w:val="none" w:sz="0" w:space="0" w:color="auto"/>
        <w:bottom w:val="none" w:sz="0" w:space="0" w:color="auto"/>
        <w:right w:val="none" w:sz="0" w:space="0" w:color="auto"/>
      </w:divBdr>
    </w:div>
    <w:div w:id="1089618521">
      <w:bodyDiv w:val="1"/>
      <w:marLeft w:val="0"/>
      <w:marRight w:val="0"/>
      <w:marTop w:val="0"/>
      <w:marBottom w:val="0"/>
      <w:divBdr>
        <w:top w:val="none" w:sz="0" w:space="0" w:color="auto"/>
        <w:left w:val="none" w:sz="0" w:space="0" w:color="auto"/>
        <w:bottom w:val="none" w:sz="0" w:space="0" w:color="auto"/>
        <w:right w:val="none" w:sz="0" w:space="0" w:color="auto"/>
      </w:divBdr>
    </w:div>
    <w:div w:id="1129057249">
      <w:bodyDiv w:val="1"/>
      <w:marLeft w:val="0"/>
      <w:marRight w:val="0"/>
      <w:marTop w:val="0"/>
      <w:marBottom w:val="0"/>
      <w:divBdr>
        <w:top w:val="none" w:sz="0" w:space="0" w:color="auto"/>
        <w:left w:val="none" w:sz="0" w:space="0" w:color="auto"/>
        <w:bottom w:val="none" w:sz="0" w:space="0" w:color="auto"/>
        <w:right w:val="none" w:sz="0" w:space="0" w:color="auto"/>
      </w:divBdr>
    </w:div>
    <w:div w:id="1134762112">
      <w:bodyDiv w:val="1"/>
      <w:marLeft w:val="0"/>
      <w:marRight w:val="0"/>
      <w:marTop w:val="0"/>
      <w:marBottom w:val="0"/>
      <w:divBdr>
        <w:top w:val="none" w:sz="0" w:space="0" w:color="auto"/>
        <w:left w:val="none" w:sz="0" w:space="0" w:color="auto"/>
        <w:bottom w:val="none" w:sz="0" w:space="0" w:color="auto"/>
        <w:right w:val="none" w:sz="0" w:space="0" w:color="auto"/>
      </w:divBdr>
    </w:div>
    <w:div w:id="1448352968">
      <w:bodyDiv w:val="1"/>
      <w:marLeft w:val="0"/>
      <w:marRight w:val="0"/>
      <w:marTop w:val="0"/>
      <w:marBottom w:val="0"/>
      <w:divBdr>
        <w:top w:val="none" w:sz="0" w:space="0" w:color="auto"/>
        <w:left w:val="none" w:sz="0" w:space="0" w:color="auto"/>
        <w:bottom w:val="none" w:sz="0" w:space="0" w:color="auto"/>
        <w:right w:val="none" w:sz="0" w:space="0" w:color="auto"/>
      </w:divBdr>
    </w:div>
    <w:div w:id="17397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C1AB-BEEB-49B2-8925-32C3AF43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2689</Words>
  <Characters>1533</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dd</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subject/>
  <dc:creator>Administrators</dc:creator>
  <cp:keywords/>
  <dc:description/>
  <cp:lastModifiedBy>Rasma Zvejniece</cp:lastModifiedBy>
  <cp:revision>2</cp:revision>
  <cp:lastPrinted>2021-10-14T04:35:00Z</cp:lastPrinted>
  <dcterms:created xsi:type="dcterms:W3CDTF">2021-10-20T10:58:00Z</dcterms:created>
  <dcterms:modified xsi:type="dcterms:W3CDTF">2021-10-20T10:58:00Z</dcterms:modified>
</cp:coreProperties>
</file>